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1633B2">
      <w:pPr>
        <w:adjustRightInd w:val="0"/>
        <w:snapToGrid w:val="0"/>
        <w:jc w:val="center"/>
        <w:outlineLvl w:val="0"/>
        <w:rPr>
          <w:rFonts w:hint="default" w:ascii="方正小标宋_GBK" w:hAnsi="Calibri" w:eastAsia="方正小标宋_GBK" w:cs="Times New Roman"/>
          <w:bCs/>
          <w:color w:val="auto"/>
          <w:spacing w:val="0"/>
          <w:kern w:val="21"/>
          <w:sz w:val="72"/>
          <w:szCs w:val="72"/>
        </w:rPr>
      </w:pPr>
      <w:bookmarkStart w:id="0" w:name="_Toc10"/>
      <w:bookmarkStart w:id="1" w:name="_Toc27109"/>
      <w:r>
        <w:rPr>
          <w:rFonts w:hint="default" w:ascii="方正小标宋_GBK" w:hAnsi="Calibri" w:eastAsia="方正小标宋_GBK" w:cs="Times New Roman"/>
          <w:bCs/>
          <w:color w:val="auto"/>
          <w:spacing w:val="0"/>
          <w:kern w:val="21"/>
          <w:sz w:val="72"/>
          <w:szCs w:val="72"/>
        </w:rPr>
        <w:t>建设项目环境影响报告表</w:t>
      </w:r>
      <w:bookmarkEnd w:id="0"/>
      <w:bookmarkEnd w:id="1"/>
    </w:p>
    <w:p w14:paraId="7DD9A78B">
      <w:pPr>
        <w:adjustRightInd w:val="0"/>
        <w:snapToGrid w:val="0"/>
        <w:spacing w:before="192" w:beforeLines="80"/>
        <w:jc w:val="center"/>
        <w:rPr>
          <w:rFonts w:hint="default" w:ascii="楷体_GB2312" w:hAnsi="Calibri" w:eastAsia="楷体_GB2312" w:cs="Times New Roman"/>
          <w:bCs/>
          <w:color w:val="auto"/>
          <w:spacing w:val="0"/>
          <w:kern w:val="21"/>
          <w:sz w:val="48"/>
          <w:szCs w:val="48"/>
        </w:rPr>
      </w:pPr>
      <w:r>
        <w:rPr>
          <w:rFonts w:hint="default" w:ascii="楷体_GB2312" w:hAnsi="Calibri" w:eastAsia="楷体_GB2312" w:cs="Times New Roman"/>
          <w:bCs/>
          <w:color w:val="auto"/>
          <w:spacing w:val="0"/>
          <w:kern w:val="21"/>
          <w:sz w:val="48"/>
          <w:szCs w:val="48"/>
        </w:rPr>
        <w:t>（污染影响类）</w:t>
      </w:r>
    </w:p>
    <w:p w14:paraId="06367CB6">
      <w:pPr>
        <w:keepNext w:val="0"/>
        <w:keepLines w:val="0"/>
        <w:pageBreakBefore w:val="0"/>
        <w:widowControl w:val="0"/>
        <w:kinsoku/>
        <w:wordWrap/>
        <w:overflowPunct/>
        <w:topLinePunct w:val="0"/>
        <w:autoSpaceDE/>
        <w:autoSpaceDN/>
        <w:bidi w:val="0"/>
        <w:adjustRightInd w:val="0"/>
        <w:snapToGrid w:val="0"/>
        <w:spacing w:before="192" w:beforeLines="80"/>
        <w:jc w:val="center"/>
        <w:textAlignment w:val="auto"/>
        <w:rPr>
          <w:rFonts w:hint="eastAsia" w:ascii="楷体_GB2312" w:hAnsi="Calibri" w:eastAsia="楷体_GB2312" w:cs="Times New Roman"/>
          <w:bCs/>
          <w:color w:val="auto"/>
          <w:spacing w:val="0"/>
          <w:kern w:val="21"/>
          <w:sz w:val="48"/>
          <w:szCs w:val="48"/>
          <w:lang w:eastAsia="zh-CN"/>
        </w:rPr>
      </w:pPr>
      <w:r>
        <w:rPr>
          <w:rFonts w:hint="eastAsia" w:ascii="楷体_GB2312" w:hAnsi="Calibri" w:eastAsia="楷体_GB2312" w:cs="Times New Roman"/>
          <w:bCs/>
          <w:color w:val="auto"/>
          <w:spacing w:val="0"/>
          <w:kern w:val="21"/>
          <w:sz w:val="48"/>
          <w:szCs w:val="48"/>
          <w:lang w:eastAsia="zh-CN"/>
        </w:rPr>
        <w:t>（</w:t>
      </w:r>
      <w:r>
        <w:rPr>
          <w:rFonts w:hint="eastAsia" w:ascii="楷体_GB2312" w:hAnsi="Calibri" w:eastAsia="楷体_GB2312" w:cs="Times New Roman"/>
          <w:bCs/>
          <w:color w:val="auto"/>
          <w:spacing w:val="0"/>
          <w:kern w:val="21"/>
          <w:sz w:val="48"/>
          <w:szCs w:val="48"/>
          <w:lang w:val="en-US" w:eastAsia="zh-CN"/>
        </w:rPr>
        <w:t>报批稿</w:t>
      </w:r>
      <w:r>
        <w:rPr>
          <w:rFonts w:hint="eastAsia" w:ascii="楷体_GB2312" w:hAnsi="Calibri" w:eastAsia="楷体_GB2312" w:cs="Times New Roman"/>
          <w:bCs/>
          <w:color w:val="auto"/>
          <w:spacing w:val="0"/>
          <w:kern w:val="21"/>
          <w:sz w:val="48"/>
          <w:szCs w:val="48"/>
          <w:lang w:eastAsia="zh-CN"/>
        </w:rPr>
        <w:t>）</w:t>
      </w:r>
    </w:p>
    <w:p w14:paraId="151FF5DD">
      <w:pPr>
        <w:ind w:firstLine="880"/>
        <w:rPr>
          <w:rFonts w:hint="default" w:ascii="Times New Roman" w:hAnsi="Times New Roman" w:eastAsia="宋体" w:cs="Times New Roman"/>
          <w:color w:val="auto"/>
          <w:kern w:val="21"/>
          <w:sz w:val="44"/>
          <w:szCs w:val="44"/>
        </w:rPr>
      </w:pPr>
      <w:bookmarkStart w:id="28" w:name="_GoBack"/>
      <w:bookmarkEnd w:id="28"/>
    </w:p>
    <w:p w14:paraId="157C5D6E">
      <w:pPr>
        <w:ind w:firstLine="880"/>
        <w:rPr>
          <w:rFonts w:hint="default" w:ascii="Times New Roman" w:hAnsi="Times New Roman" w:eastAsia="宋体" w:cs="Times New Roman"/>
          <w:color w:val="auto"/>
          <w:kern w:val="21"/>
          <w:sz w:val="44"/>
          <w:szCs w:val="44"/>
        </w:rPr>
      </w:pPr>
    </w:p>
    <w:p w14:paraId="79BA0679">
      <w:pPr>
        <w:ind w:firstLine="880"/>
        <w:rPr>
          <w:rFonts w:hint="default" w:ascii="Times New Roman" w:hAnsi="Times New Roman" w:eastAsia="宋体" w:cs="Times New Roman"/>
          <w:color w:val="auto"/>
          <w:kern w:val="21"/>
          <w:sz w:val="44"/>
          <w:szCs w:val="44"/>
        </w:rPr>
      </w:pPr>
    </w:p>
    <w:p w14:paraId="55AE86E5">
      <w:pPr>
        <w:ind w:firstLine="880"/>
        <w:rPr>
          <w:rFonts w:hint="default" w:ascii="Times New Roman" w:hAnsi="Times New Roman" w:eastAsia="宋体" w:cs="Times New Roman"/>
          <w:color w:val="auto"/>
          <w:kern w:val="21"/>
          <w:sz w:val="44"/>
          <w:szCs w:val="44"/>
        </w:rPr>
      </w:pPr>
    </w:p>
    <w:p w14:paraId="128EBA93">
      <w:pPr>
        <w:ind w:firstLine="880"/>
        <w:rPr>
          <w:rFonts w:hint="default" w:ascii="Times New Roman" w:hAnsi="Times New Roman" w:eastAsia="宋体" w:cs="Times New Roman"/>
          <w:color w:val="auto"/>
          <w:kern w:val="21"/>
          <w:sz w:val="44"/>
          <w:szCs w:val="44"/>
        </w:rPr>
      </w:pPr>
    </w:p>
    <w:p w14:paraId="162EBE1E">
      <w:pPr>
        <w:keepNext w:val="0"/>
        <w:keepLines w:val="0"/>
        <w:pageBreakBefore w:val="0"/>
        <w:widowControl w:val="0"/>
        <w:kinsoku/>
        <w:wordWrap/>
        <w:overflowPunct/>
        <w:topLinePunct w:val="0"/>
        <w:autoSpaceDE/>
        <w:autoSpaceDN/>
        <w:bidi w:val="0"/>
        <w:adjustRightInd w:val="0"/>
        <w:snapToGrid w:val="0"/>
        <w:spacing w:line="480" w:lineRule="auto"/>
        <w:jc w:val="both"/>
        <w:textAlignment w:val="auto"/>
        <w:rPr>
          <w:rFonts w:hint="default" w:ascii="仿宋_GB2312" w:hAnsi="Calibri" w:eastAsia="仿宋_GB2312" w:cs="Times New Roman"/>
          <w:color w:val="auto"/>
          <w:spacing w:val="0"/>
          <w:kern w:val="21"/>
          <w:sz w:val="36"/>
          <w:szCs w:val="36"/>
          <w:u w:val="single"/>
          <w:lang w:val="en-US" w:eastAsia="zh-CN"/>
        </w:rPr>
      </w:pPr>
      <w:r>
        <w:rPr>
          <w:rFonts w:hint="default" w:ascii="仿宋_GB2312" w:hAnsi="Calibri" w:eastAsia="仿宋_GB2312" w:cs="Times New Roman"/>
          <w:color w:val="auto"/>
          <w:spacing w:val="0"/>
          <w:kern w:val="21"/>
          <w:sz w:val="36"/>
          <w:szCs w:val="36"/>
        </w:rPr>
        <w:t>项目名称：</w:t>
      </w:r>
      <w:r>
        <w:rPr>
          <w:rFonts w:hint="eastAsia" w:ascii="仿宋_GB2312" w:hAnsi="Calibri" w:eastAsia="仿宋_GB2312" w:cs="Times New Roman"/>
          <w:color w:val="auto"/>
          <w:spacing w:val="0"/>
          <w:kern w:val="21"/>
          <w:sz w:val="36"/>
          <w:szCs w:val="36"/>
          <w:u w:val="single"/>
          <w:lang w:val="en-US" w:eastAsia="zh-CN"/>
        </w:rPr>
        <w:t>易门铜业渣选工艺流程提效升级改造项目</w:t>
      </w:r>
    </w:p>
    <w:p w14:paraId="69D9A375">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default" w:ascii="仿宋_GB2312" w:hAnsi="Calibri" w:eastAsia="仿宋_GB2312" w:cs="Times New Roman"/>
          <w:color w:val="auto"/>
          <w:spacing w:val="0"/>
          <w:kern w:val="21"/>
          <w:sz w:val="36"/>
          <w:szCs w:val="36"/>
          <w:u w:val="single"/>
          <w:lang w:val="en-US" w:eastAsia="zh-CN"/>
        </w:rPr>
      </w:pPr>
      <w:r>
        <w:rPr>
          <w:rFonts w:hint="default" w:ascii="仿宋_GB2312" w:hAnsi="Calibri" w:eastAsia="仿宋_GB2312" w:cs="Times New Roman"/>
          <w:color w:val="auto"/>
          <w:spacing w:val="0"/>
          <w:kern w:val="21"/>
          <w:sz w:val="36"/>
          <w:szCs w:val="36"/>
        </w:rPr>
        <w:t>建设单位（盖章）：</w:t>
      </w:r>
      <w:r>
        <w:rPr>
          <w:rFonts w:hint="eastAsia" w:ascii="仿宋_GB2312" w:hAnsi="Calibri" w:eastAsia="仿宋_GB2312" w:cs="Times New Roman"/>
          <w:color w:val="auto"/>
          <w:spacing w:val="0"/>
          <w:kern w:val="21"/>
          <w:sz w:val="36"/>
          <w:szCs w:val="36"/>
          <w:u w:val="single"/>
          <w:lang w:val="en-US" w:eastAsia="zh-CN"/>
        </w:rPr>
        <w:t xml:space="preserve">易门铜业有限公司             </w:t>
      </w:r>
    </w:p>
    <w:p w14:paraId="121EFDD1">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default" w:ascii="仿宋_GB2312" w:hAnsi="Calibri" w:eastAsia="仿宋_GB2312" w:cs="Times New Roman"/>
          <w:color w:val="auto"/>
          <w:spacing w:val="0"/>
          <w:kern w:val="21"/>
          <w:sz w:val="32"/>
          <w:szCs w:val="32"/>
          <w:u w:val="single"/>
        </w:rPr>
      </w:pPr>
      <w:r>
        <w:rPr>
          <w:rFonts w:hint="default" w:ascii="仿宋_GB2312" w:hAnsi="Calibri" w:eastAsia="仿宋_GB2312" w:cs="Times New Roman"/>
          <w:color w:val="auto"/>
          <w:spacing w:val="0"/>
          <w:kern w:val="21"/>
          <w:sz w:val="36"/>
          <w:szCs w:val="36"/>
        </w:rPr>
        <w:t>编制日期：</w:t>
      </w:r>
      <w:r>
        <w:rPr>
          <w:rFonts w:hint="default" w:ascii="仿宋_GB2312" w:hAnsi="Calibri" w:eastAsia="仿宋_GB2312" w:cs="Times New Roman"/>
          <w:color w:val="auto"/>
          <w:spacing w:val="0"/>
          <w:kern w:val="21"/>
          <w:sz w:val="36"/>
          <w:szCs w:val="36"/>
          <w:u w:val="single"/>
        </w:rPr>
        <w:t xml:space="preserve">        </w:t>
      </w:r>
      <w:r>
        <w:rPr>
          <w:rFonts w:hint="eastAsia" w:ascii="仿宋_GB2312" w:hAnsi="Calibri" w:eastAsia="仿宋_GB2312" w:cs="Times New Roman"/>
          <w:color w:val="auto"/>
          <w:spacing w:val="0"/>
          <w:kern w:val="21"/>
          <w:sz w:val="36"/>
          <w:szCs w:val="36"/>
          <w:u w:val="single"/>
          <w:lang w:val="en-US" w:eastAsia="zh-CN"/>
        </w:rPr>
        <w:t xml:space="preserve">  </w:t>
      </w:r>
      <w:r>
        <w:rPr>
          <w:rFonts w:hint="default" w:ascii="仿宋_GB2312" w:hAnsi="Calibri" w:eastAsia="仿宋_GB2312" w:cs="Times New Roman"/>
          <w:color w:val="auto"/>
          <w:spacing w:val="0"/>
          <w:kern w:val="21"/>
          <w:sz w:val="36"/>
          <w:szCs w:val="36"/>
          <w:u w:val="single"/>
        </w:rPr>
        <w:t xml:space="preserve"> 二零二</w:t>
      </w:r>
      <w:r>
        <w:rPr>
          <w:rFonts w:hint="eastAsia" w:ascii="仿宋_GB2312" w:hAnsi="Calibri" w:eastAsia="仿宋_GB2312" w:cs="Times New Roman"/>
          <w:color w:val="auto"/>
          <w:spacing w:val="0"/>
          <w:kern w:val="21"/>
          <w:sz w:val="36"/>
          <w:szCs w:val="36"/>
          <w:u w:val="single"/>
          <w:lang w:val="en-US" w:eastAsia="zh-CN"/>
        </w:rPr>
        <w:t>六</w:t>
      </w:r>
      <w:r>
        <w:rPr>
          <w:rFonts w:hint="default" w:ascii="仿宋_GB2312" w:hAnsi="Calibri" w:eastAsia="仿宋_GB2312" w:cs="Times New Roman"/>
          <w:color w:val="auto"/>
          <w:spacing w:val="0"/>
          <w:kern w:val="21"/>
          <w:sz w:val="36"/>
          <w:szCs w:val="36"/>
          <w:u w:val="single"/>
        </w:rPr>
        <w:t>年</w:t>
      </w:r>
      <w:r>
        <w:rPr>
          <w:rFonts w:hint="eastAsia" w:ascii="仿宋_GB2312" w:hAnsi="Calibri" w:eastAsia="仿宋_GB2312" w:cs="Times New Roman"/>
          <w:color w:val="auto"/>
          <w:spacing w:val="0"/>
          <w:kern w:val="21"/>
          <w:sz w:val="36"/>
          <w:szCs w:val="36"/>
          <w:u w:val="single"/>
          <w:lang w:val="en-US" w:eastAsia="zh-CN"/>
        </w:rPr>
        <w:t>六</w:t>
      </w:r>
      <w:r>
        <w:rPr>
          <w:rFonts w:hint="default" w:ascii="仿宋_GB2312" w:hAnsi="Calibri" w:eastAsia="仿宋_GB2312" w:cs="Times New Roman"/>
          <w:color w:val="auto"/>
          <w:spacing w:val="0"/>
          <w:kern w:val="21"/>
          <w:sz w:val="36"/>
          <w:szCs w:val="36"/>
          <w:u w:val="single"/>
        </w:rPr>
        <w:t xml:space="preserve">月      </w:t>
      </w:r>
      <w:r>
        <w:rPr>
          <w:rFonts w:hint="default" w:ascii="仿宋_GB2312" w:hAnsi="Calibri" w:eastAsia="仿宋_GB2312" w:cs="Times New Roman"/>
          <w:color w:val="auto"/>
          <w:spacing w:val="0"/>
          <w:kern w:val="21"/>
          <w:sz w:val="32"/>
          <w:szCs w:val="32"/>
          <w:u w:val="single"/>
        </w:rPr>
        <w:t xml:space="preserve">    </w:t>
      </w:r>
      <w:r>
        <w:rPr>
          <w:rFonts w:hint="eastAsia" w:ascii="仿宋_GB2312" w:hAnsi="Calibri" w:eastAsia="仿宋_GB2312" w:cs="Times New Roman"/>
          <w:color w:val="auto"/>
          <w:spacing w:val="0"/>
          <w:kern w:val="21"/>
          <w:sz w:val="32"/>
          <w:szCs w:val="32"/>
          <w:u w:val="single"/>
          <w:lang w:val="en-US" w:eastAsia="zh-CN"/>
        </w:rPr>
        <w:t xml:space="preserve">  </w:t>
      </w:r>
    </w:p>
    <w:p w14:paraId="7FB67B8F">
      <w:pPr>
        <w:adjustRightInd w:val="0"/>
        <w:snapToGrid w:val="0"/>
        <w:spacing w:line="288" w:lineRule="auto"/>
        <w:rPr>
          <w:rFonts w:hint="default" w:ascii="Times New Roman" w:hAnsi="Times New Roman" w:eastAsia="宋体" w:cs="Times New Roman"/>
          <w:color w:val="auto"/>
          <w:kern w:val="21"/>
          <w:sz w:val="36"/>
          <w:szCs w:val="36"/>
          <w:u w:val="single"/>
        </w:rPr>
      </w:pPr>
      <w:bookmarkStart w:id="2" w:name="_Hlk57884087"/>
    </w:p>
    <w:p w14:paraId="01D8A213">
      <w:pPr>
        <w:adjustRightInd w:val="0"/>
        <w:snapToGrid w:val="0"/>
        <w:spacing w:line="288" w:lineRule="auto"/>
        <w:rPr>
          <w:rFonts w:hint="default" w:ascii="Times New Roman" w:hAnsi="Times New Roman" w:eastAsia="宋体" w:cs="Times New Roman"/>
          <w:color w:val="auto"/>
          <w:kern w:val="21"/>
          <w:sz w:val="36"/>
          <w:szCs w:val="36"/>
        </w:rPr>
      </w:pPr>
    </w:p>
    <w:p w14:paraId="6C148DF6">
      <w:pPr>
        <w:adjustRightInd w:val="0"/>
        <w:snapToGrid w:val="0"/>
        <w:spacing w:line="288" w:lineRule="auto"/>
        <w:rPr>
          <w:rFonts w:hint="default" w:ascii="Times New Roman" w:hAnsi="Times New Roman" w:eastAsia="宋体" w:cs="Times New Roman"/>
          <w:color w:val="auto"/>
          <w:kern w:val="21"/>
          <w:sz w:val="36"/>
          <w:szCs w:val="36"/>
        </w:rPr>
      </w:pPr>
    </w:p>
    <w:p w14:paraId="2F629B35">
      <w:pPr>
        <w:adjustRightInd w:val="0"/>
        <w:snapToGrid w:val="0"/>
        <w:spacing w:line="288" w:lineRule="auto"/>
        <w:rPr>
          <w:rFonts w:hint="default" w:ascii="Times New Roman" w:hAnsi="Times New Roman" w:eastAsia="宋体" w:cs="Times New Roman"/>
          <w:color w:val="auto"/>
          <w:kern w:val="21"/>
          <w:sz w:val="36"/>
          <w:szCs w:val="36"/>
        </w:rPr>
      </w:pPr>
    </w:p>
    <w:bookmarkEnd w:id="2"/>
    <w:p w14:paraId="4ED095D4">
      <w:pPr>
        <w:adjustRightInd w:val="0"/>
        <w:snapToGrid w:val="0"/>
        <w:spacing w:line="288" w:lineRule="auto"/>
        <w:jc w:val="center"/>
        <w:rPr>
          <w:rFonts w:hint="default" w:ascii="Times New Roman" w:hAnsi="Times New Roman" w:eastAsia="宋体" w:cs="Times New Roman"/>
          <w:color w:val="auto"/>
          <w:kern w:val="21"/>
          <w:sz w:val="36"/>
          <w:szCs w:val="36"/>
        </w:rPr>
      </w:pPr>
    </w:p>
    <w:p w14:paraId="79F88746">
      <w:pPr>
        <w:adjustRightInd w:val="0"/>
        <w:snapToGrid w:val="0"/>
        <w:spacing w:line="288" w:lineRule="auto"/>
        <w:jc w:val="center"/>
        <w:rPr>
          <w:rFonts w:hint="default" w:ascii="Times New Roman" w:hAnsi="Times New Roman" w:eastAsia="宋体" w:cs="Times New Roman"/>
          <w:color w:val="auto"/>
          <w:kern w:val="21"/>
          <w:sz w:val="36"/>
          <w:szCs w:val="36"/>
        </w:rPr>
      </w:pPr>
    </w:p>
    <w:p w14:paraId="0F3F5E9E">
      <w:pPr>
        <w:ind w:left="0" w:leftChars="0" w:right="0" w:rightChars="0" w:firstLine="0" w:firstLineChars="0"/>
        <w:jc w:val="center"/>
        <w:rPr>
          <w:rFonts w:hint="eastAsia" w:ascii="楷体_GB2312" w:eastAsia="楷体_GB2312"/>
          <w:spacing w:val="0"/>
          <w:kern w:val="21"/>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_GB2312" w:eastAsia="楷体_GB2312"/>
          <w:spacing w:val="0"/>
          <w:kern w:val="21"/>
          <w:sz w:val="36"/>
          <w:szCs w:val="36"/>
        </w:rPr>
        <w:t>中华人民共和国生态环境部制</w:t>
      </w:r>
    </w:p>
    <w:p w14:paraId="18B292ED">
      <w:pPr>
        <w:pStyle w:val="18"/>
        <w:tabs>
          <w:tab w:val="right" w:leader="dot" w:pos="8306"/>
        </w:tabs>
        <w:ind w:left="0" w:leftChars="0" w:right="0" w:rightChars="0" w:firstLine="0" w:firstLineChars="0"/>
        <w:jc w:val="center"/>
        <w:rPr>
          <w:rFonts w:hint="eastAsia" w:eastAsia="楷体_GB2312"/>
          <w:sz w:val="44"/>
          <w:szCs w:val="44"/>
          <w:lang w:val="en-US" w:eastAsia="zh-CN"/>
        </w:rPr>
      </w:pPr>
      <w:r>
        <w:rPr>
          <w:rFonts w:hint="eastAsia" w:ascii="楷体_GB2312" w:eastAsia="楷体_GB2312"/>
          <w:spacing w:val="0"/>
          <w:kern w:val="21"/>
          <w:sz w:val="36"/>
          <w:szCs w:val="36"/>
        </w:rPr>
        <w:fldChar w:fldCharType="begin"/>
      </w:r>
      <w:r>
        <w:rPr>
          <w:rFonts w:hint="eastAsia" w:ascii="楷体_GB2312" w:eastAsia="楷体_GB2312"/>
          <w:spacing w:val="0"/>
          <w:kern w:val="21"/>
          <w:sz w:val="36"/>
          <w:szCs w:val="36"/>
        </w:rPr>
        <w:instrText xml:space="preserve">TOC \o "1-1" \h \u </w:instrText>
      </w:r>
      <w:r>
        <w:rPr>
          <w:rFonts w:hint="eastAsia" w:ascii="楷体_GB2312" w:eastAsia="楷体_GB2312"/>
          <w:spacing w:val="0"/>
          <w:kern w:val="21"/>
          <w:sz w:val="36"/>
          <w:szCs w:val="36"/>
        </w:rPr>
        <w:fldChar w:fldCharType="separate"/>
      </w:r>
      <w:r>
        <w:rPr>
          <w:rFonts w:hint="eastAsia" w:ascii="楷体_GB2312" w:eastAsia="楷体_GB2312"/>
          <w:spacing w:val="0"/>
          <w:kern w:val="21"/>
          <w:sz w:val="44"/>
          <w:szCs w:val="44"/>
          <w:lang w:val="en-US" w:eastAsia="zh-CN"/>
        </w:rPr>
        <w:t>目录</w:t>
      </w:r>
    </w:p>
    <w:p w14:paraId="559AA80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0"/>
          <w:kern w:val="21"/>
          <w:sz w:val="28"/>
          <w:szCs w:val="28"/>
        </w:rPr>
        <w:fldChar w:fldCharType="begin"/>
      </w:r>
      <w:r>
        <w:rPr>
          <w:rFonts w:hint="default" w:ascii="Times New Roman" w:hAnsi="Times New Roman" w:eastAsia="宋体" w:cs="Times New Roman"/>
          <w:spacing w:val="0"/>
          <w:kern w:val="21"/>
          <w:sz w:val="28"/>
          <w:szCs w:val="28"/>
        </w:rPr>
        <w:instrText xml:space="preserve"> HYPERLINK \l _Toc18440 </w:instrText>
      </w:r>
      <w:r>
        <w:rPr>
          <w:rFonts w:hint="default" w:ascii="Times New Roman" w:hAnsi="Times New Roman" w:eastAsia="宋体" w:cs="Times New Roman"/>
          <w:spacing w:val="0"/>
          <w:kern w:val="21"/>
          <w:sz w:val="28"/>
          <w:szCs w:val="28"/>
        </w:rPr>
        <w:fldChar w:fldCharType="separate"/>
      </w:r>
      <w:r>
        <w:rPr>
          <w:rFonts w:hint="default" w:ascii="Times New Roman" w:hAnsi="Times New Roman" w:eastAsia="宋体" w:cs="Times New Roman"/>
          <w:sz w:val="28"/>
          <w:szCs w:val="28"/>
        </w:rPr>
        <w:t>一、建设项目基本情况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_Toc18440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pacing w:val="0"/>
          <w:kern w:val="21"/>
          <w:sz w:val="28"/>
          <w:szCs w:val="28"/>
        </w:rPr>
        <w:fldChar w:fldCharType="end"/>
      </w:r>
    </w:p>
    <w:p w14:paraId="110A09D0">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0"/>
          <w:kern w:val="21"/>
          <w:sz w:val="28"/>
          <w:szCs w:val="28"/>
        </w:rPr>
        <w:fldChar w:fldCharType="begin"/>
      </w:r>
      <w:r>
        <w:rPr>
          <w:rFonts w:hint="default" w:ascii="Times New Roman" w:hAnsi="Times New Roman" w:eastAsia="宋体" w:cs="Times New Roman"/>
          <w:spacing w:val="0"/>
          <w:kern w:val="21"/>
          <w:sz w:val="28"/>
          <w:szCs w:val="28"/>
        </w:rPr>
        <w:instrText xml:space="preserve"> HYPERLINK \l _Toc29660 </w:instrText>
      </w:r>
      <w:r>
        <w:rPr>
          <w:rFonts w:hint="default" w:ascii="Times New Roman" w:hAnsi="Times New Roman" w:eastAsia="宋体" w:cs="Times New Roman"/>
          <w:spacing w:val="0"/>
          <w:kern w:val="21"/>
          <w:sz w:val="28"/>
          <w:szCs w:val="28"/>
        </w:rPr>
        <w:fldChar w:fldCharType="separate"/>
      </w:r>
      <w:r>
        <w:rPr>
          <w:rFonts w:hint="default" w:ascii="Times New Roman" w:hAnsi="Times New Roman" w:eastAsia="宋体" w:cs="Times New Roman"/>
          <w:sz w:val="28"/>
          <w:szCs w:val="28"/>
          <w:lang w:val="en-US" w:eastAsia="zh-CN"/>
        </w:rPr>
        <w:t>二、建设项目工程分析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_Toc29660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pacing w:val="0"/>
          <w:kern w:val="21"/>
          <w:sz w:val="28"/>
          <w:szCs w:val="28"/>
        </w:rPr>
        <w:fldChar w:fldCharType="end"/>
      </w:r>
    </w:p>
    <w:p w14:paraId="3E49D8A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0"/>
          <w:kern w:val="21"/>
          <w:sz w:val="28"/>
          <w:szCs w:val="28"/>
        </w:rPr>
        <w:fldChar w:fldCharType="begin"/>
      </w:r>
      <w:r>
        <w:rPr>
          <w:rFonts w:hint="default" w:ascii="Times New Roman" w:hAnsi="Times New Roman" w:eastAsia="宋体" w:cs="Times New Roman"/>
          <w:spacing w:val="0"/>
          <w:kern w:val="21"/>
          <w:sz w:val="28"/>
          <w:szCs w:val="28"/>
        </w:rPr>
        <w:instrText xml:space="preserve"> HYPERLINK \l _Toc14760 </w:instrText>
      </w:r>
      <w:r>
        <w:rPr>
          <w:rFonts w:hint="default" w:ascii="Times New Roman" w:hAnsi="Times New Roman" w:eastAsia="宋体" w:cs="Times New Roman"/>
          <w:spacing w:val="0"/>
          <w:kern w:val="21"/>
          <w:sz w:val="28"/>
          <w:szCs w:val="28"/>
        </w:rPr>
        <w:fldChar w:fldCharType="separate"/>
      </w:r>
      <w:r>
        <w:rPr>
          <w:rFonts w:hint="default" w:ascii="Times New Roman" w:hAnsi="Times New Roman" w:eastAsia="宋体" w:cs="Times New Roman"/>
          <w:sz w:val="28"/>
          <w:szCs w:val="28"/>
          <w:lang w:val="en-US" w:eastAsia="zh-CN"/>
        </w:rPr>
        <w:t>三、区域环境质量现状、环境保护目标及评价标准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_Toc14760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pacing w:val="0"/>
          <w:kern w:val="21"/>
          <w:sz w:val="28"/>
          <w:szCs w:val="28"/>
        </w:rPr>
        <w:fldChar w:fldCharType="end"/>
      </w:r>
    </w:p>
    <w:p w14:paraId="0CB0C6FE">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0"/>
          <w:kern w:val="21"/>
          <w:sz w:val="28"/>
          <w:szCs w:val="28"/>
        </w:rPr>
        <w:fldChar w:fldCharType="begin"/>
      </w:r>
      <w:r>
        <w:rPr>
          <w:rFonts w:hint="default" w:ascii="Times New Roman" w:hAnsi="Times New Roman" w:eastAsia="宋体" w:cs="Times New Roman"/>
          <w:spacing w:val="0"/>
          <w:kern w:val="21"/>
          <w:sz w:val="28"/>
          <w:szCs w:val="28"/>
        </w:rPr>
        <w:instrText xml:space="preserve"> HYPERLINK \l _Toc20060 </w:instrText>
      </w:r>
      <w:r>
        <w:rPr>
          <w:rFonts w:hint="default" w:ascii="Times New Roman" w:hAnsi="Times New Roman" w:eastAsia="宋体" w:cs="Times New Roman"/>
          <w:spacing w:val="0"/>
          <w:kern w:val="21"/>
          <w:sz w:val="28"/>
          <w:szCs w:val="28"/>
        </w:rPr>
        <w:fldChar w:fldCharType="separate"/>
      </w:r>
      <w:r>
        <w:rPr>
          <w:rFonts w:hint="default" w:ascii="Times New Roman" w:hAnsi="Times New Roman" w:eastAsia="宋体" w:cs="Times New Roman"/>
          <w:sz w:val="28"/>
          <w:szCs w:val="28"/>
          <w:lang w:val="en-US" w:eastAsia="zh-CN"/>
        </w:rPr>
        <w:t>四、主要环境影响和保护措施</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_Toc20060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pacing w:val="0"/>
          <w:kern w:val="21"/>
          <w:sz w:val="28"/>
          <w:szCs w:val="28"/>
        </w:rPr>
        <w:fldChar w:fldCharType="end"/>
      </w:r>
    </w:p>
    <w:p w14:paraId="6907E31E">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0"/>
          <w:kern w:val="21"/>
          <w:sz w:val="28"/>
          <w:szCs w:val="28"/>
        </w:rPr>
        <w:fldChar w:fldCharType="begin"/>
      </w:r>
      <w:r>
        <w:rPr>
          <w:rFonts w:hint="default" w:ascii="Times New Roman" w:hAnsi="Times New Roman" w:eastAsia="宋体" w:cs="Times New Roman"/>
          <w:spacing w:val="0"/>
          <w:kern w:val="21"/>
          <w:sz w:val="28"/>
          <w:szCs w:val="28"/>
        </w:rPr>
        <w:instrText xml:space="preserve"> HYPERLINK \l _Toc22565 </w:instrText>
      </w:r>
      <w:r>
        <w:rPr>
          <w:rFonts w:hint="default" w:ascii="Times New Roman" w:hAnsi="Times New Roman" w:eastAsia="宋体" w:cs="Times New Roman"/>
          <w:spacing w:val="0"/>
          <w:kern w:val="21"/>
          <w:sz w:val="28"/>
          <w:szCs w:val="28"/>
        </w:rPr>
        <w:fldChar w:fldCharType="separate"/>
      </w:r>
      <w:r>
        <w:rPr>
          <w:rFonts w:hint="default" w:ascii="Times New Roman" w:hAnsi="Times New Roman" w:eastAsia="宋体" w:cs="Times New Roman"/>
          <w:sz w:val="28"/>
          <w:szCs w:val="28"/>
          <w:lang w:val="en-US" w:eastAsia="zh-CN"/>
        </w:rPr>
        <w:t>五、环境保护措施监督检查清单</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_Toc22565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98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pacing w:val="0"/>
          <w:kern w:val="21"/>
          <w:sz w:val="28"/>
          <w:szCs w:val="28"/>
        </w:rPr>
        <w:fldChar w:fldCharType="end"/>
      </w:r>
    </w:p>
    <w:p w14:paraId="714AC7B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0"/>
          <w:kern w:val="21"/>
          <w:sz w:val="28"/>
          <w:szCs w:val="28"/>
        </w:rPr>
        <w:fldChar w:fldCharType="begin"/>
      </w:r>
      <w:r>
        <w:rPr>
          <w:rFonts w:hint="default" w:ascii="Times New Roman" w:hAnsi="Times New Roman" w:eastAsia="宋体" w:cs="Times New Roman"/>
          <w:spacing w:val="0"/>
          <w:kern w:val="21"/>
          <w:sz w:val="28"/>
          <w:szCs w:val="28"/>
        </w:rPr>
        <w:instrText xml:space="preserve"> HYPERLINK \l _Toc13449 </w:instrText>
      </w:r>
      <w:r>
        <w:rPr>
          <w:rFonts w:hint="default" w:ascii="Times New Roman" w:hAnsi="Times New Roman" w:eastAsia="宋体" w:cs="Times New Roman"/>
          <w:spacing w:val="0"/>
          <w:kern w:val="21"/>
          <w:sz w:val="28"/>
          <w:szCs w:val="28"/>
        </w:rPr>
        <w:fldChar w:fldCharType="separate"/>
      </w:r>
      <w:r>
        <w:rPr>
          <w:rFonts w:hint="default" w:ascii="Times New Roman" w:hAnsi="Times New Roman" w:eastAsia="宋体" w:cs="Times New Roman"/>
          <w:sz w:val="28"/>
          <w:szCs w:val="28"/>
          <w:lang w:val="en-US" w:eastAsia="zh-CN"/>
        </w:rPr>
        <w:t>六、结论与建议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_Toc13449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pacing w:val="0"/>
          <w:kern w:val="21"/>
          <w:sz w:val="28"/>
          <w:szCs w:val="28"/>
        </w:rPr>
        <w:fldChar w:fldCharType="end"/>
      </w:r>
    </w:p>
    <w:p w14:paraId="61366580">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0"/>
          <w:kern w:val="21"/>
          <w:sz w:val="28"/>
          <w:szCs w:val="28"/>
        </w:rPr>
        <w:fldChar w:fldCharType="begin"/>
      </w:r>
      <w:r>
        <w:rPr>
          <w:rFonts w:hint="default" w:ascii="Times New Roman" w:hAnsi="Times New Roman" w:eastAsia="宋体" w:cs="Times New Roman"/>
          <w:spacing w:val="0"/>
          <w:kern w:val="21"/>
          <w:sz w:val="28"/>
          <w:szCs w:val="28"/>
        </w:rPr>
        <w:instrText xml:space="preserve"> HYPERLINK \l _Toc32209 </w:instrText>
      </w:r>
      <w:r>
        <w:rPr>
          <w:rFonts w:hint="default" w:ascii="Times New Roman" w:hAnsi="Times New Roman" w:eastAsia="宋体" w:cs="Times New Roman"/>
          <w:spacing w:val="0"/>
          <w:kern w:val="21"/>
          <w:sz w:val="28"/>
          <w:szCs w:val="28"/>
        </w:rPr>
        <w:fldChar w:fldCharType="separate"/>
      </w:r>
      <w:r>
        <w:rPr>
          <w:rFonts w:hint="default" w:ascii="Times New Roman" w:hAnsi="Times New Roman" w:eastAsia="宋体" w:cs="Times New Roman"/>
          <w:snapToGrid w:val="0"/>
          <w:kern w:val="21"/>
          <w:sz w:val="28"/>
          <w:szCs w:val="28"/>
        </w:rPr>
        <w:t>附表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_Toc32209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pacing w:val="0"/>
          <w:kern w:val="21"/>
          <w:sz w:val="28"/>
          <w:szCs w:val="28"/>
        </w:rPr>
        <w:fldChar w:fldCharType="end"/>
      </w:r>
    </w:p>
    <w:p w14:paraId="277A7240">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pacing w:val="0"/>
          <w:kern w:val="21"/>
          <w:sz w:val="28"/>
          <w:szCs w:val="28"/>
        </w:rPr>
        <w:fldChar w:fldCharType="begin"/>
      </w:r>
      <w:r>
        <w:rPr>
          <w:rFonts w:hint="default" w:ascii="Times New Roman" w:hAnsi="Times New Roman" w:eastAsia="宋体" w:cs="Times New Roman"/>
          <w:spacing w:val="0"/>
          <w:kern w:val="21"/>
          <w:sz w:val="28"/>
          <w:szCs w:val="28"/>
        </w:rPr>
        <w:instrText xml:space="preserve"> HYPERLINK \l _Toc25490 </w:instrText>
      </w:r>
      <w:r>
        <w:rPr>
          <w:rFonts w:hint="default" w:ascii="Times New Roman" w:hAnsi="Times New Roman" w:eastAsia="宋体" w:cs="Times New Roman"/>
          <w:spacing w:val="0"/>
          <w:kern w:val="21"/>
          <w:sz w:val="28"/>
          <w:szCs w:val="28"/>
        </w:rPr>
        <w:fldChar w:fldCharType="separate"/>
      </w:r>
      <w:r>
        <w:rPr>
          <w:rFonts w:hint="default" w:ascii="Times New Roman" w:hAnsi="Times New Roman" w:eastAsia="宋体" w:cs="Times New Roman"/>
          <w:snapToGrid w:val="0"/>
          <w:kern w:val="21"/>
          <w:sz w:val="28"/>
          <w:szCs w:val="28"/>
        </w:rPr>
        <w:t>建设项目污染物排放量汇总表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_Toc25490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pacing w:val="0"/>
          <w:kern w:val="21"/>
          <w:sz w:val="28"/>
          <w:szCs w:val="28"/>
        </w:rPr>
        <w:fldChar w:fldCharType="end"/>
      </w:r>
    </w:p>
    <w:p w14:paraId="5F8B1F9E">
      <w:pPr>
        <w:ind w:left="0" w:leftChars="0" w:right="0" w:rightChars="0" w:firstLine="0" w:firstLineChars="0"/>
        <w:jc w:val="center"/>
        <w:rPr>
          <w:rFonts w:hint="eastAsia" w:ascii="楷体_GB2312" w:eastAsia="楷体_GB2312"/>
          <w:spacing w:val="0"/>
          <w:kern w:val="21"/>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_GB2312" w:eastAsia="楷体_GB2312"/>
          <w:spacing w:val="0"/>
          <w:kern w:val="21"/>
          <w:szCs w:val="36"/>
        </w:rPr>
        <w:fldChar w:fldCharType="end"/>
      </w:r>
    </w:p>
    <w:p w14:paraId="6AADD9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bCs/>
          <w:spacing w:val="0"/>
          <w:kern w:val="21"/>
          <w:sz w:val="28"/>
          <w:szCs w:val="28"/>
          <w:lang w:val="en-US" w:eastAsia="zh-CN"/>
        </w:rPr>
      </w:pPr>
      <w:r>
        <w:rPr>
          <w:rFonts w:hint="default" w:ascii="Times New Roman" w:hAnsi="Times New Roman" w:eastAsia="宋体" w:cs="Times New Roman"/>
          <w:b/>
          <w:bCs/>
          <w:spacing w:val="0"/>
          <w:kern w:val="21"/>
          <w:sz w:val="28"/>
          <w:szCs w:val="28"/>
          <w:lang w:val="en-US" w:eastAsia="zh-CN"/>
        </w:rPr>
        <w:t>附件：</w:t>
      </w:r>
    </w:p>
    <w:p w14:paraId="6BDD05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附件1、委托书；</w:t>
      </w:r>
    </w:p>
    <w:p w14:paraId="4B9078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附件2、项目投资备案证；</w:t>
      </w:r>
    </w:p>
    <w:p w14:paraId="6B9B30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附件3、建设单位营业执照；</w:t>
      </w:r>
    </w:p>
    <w:p w14:paraId="31FAFE4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附件4、玉溪市生态环境局关于云南易门产业园区总体规划（修编）（2021-2035）环境影响报告书审查意见的函；</w:t>
      </w:r>
    </w:p>
    <w:p w14:paraId="3481D8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附件5、云南省环境保护厅关于铜冶炼渣资源综合利用工程项目环境影响报告书的批复；</w:t>
      </w:r>
    </w:p>
    <w:p w14:paraId="7B92A71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b w:val="0"/>
          <w:bCs w:val="0"/>
          <w:spacing w:val="0"/>
          <w:kern w:val="21"/>
          <w:sz w:val="24"/>
          <w:szCs w:val="24"/>
          <w:lang w:val="en-US" w:eastAsia="zh-CN"/>
        </w:rPr>
      </w:pPr>
      <w:r>
        <w:rPr>
          <w:rFonts w:hint="default" w:cs="Times New Roman"/>
          <w:b w:val="0"/>
          <w:bCs w:val="0"/>
          <w:spacing w:val="0"/>
          <w:kern w:val="21"/>
          <w:sz w:val="24"/>
          <w:szCs w:val="24"/>
          <w:lang w:val="en-US" w:eastAsia="zh-CN"/>
        </w:rPr>
        <w:t>附件6、云南省环境保护厅关于易门铜业有限公司铜冶炼渣资源综合利用工程项目（二期）环境影响报告书的批复</w:t>
      </w:r>
      <w:r>
        <w:rPr>
          <w:rFonts w:hint="eastAsia" w:cs="Times New Roman"/>
          <w:b w:val="0"/>
          <w:bCs w:val="0"/>
          <w:spacing w:val="0"/>
          <w:kern w:val="21"/>
          <w:sz w:val="24"/>
          <w:szCs w:val="24"/>
          <w:lang w:val="en-US" w:eastAsia="zh-CN"/>
        </w:rPr>
        <w:t>；</w:t>
      </w:r>
    </w:p>
    <w:p w14:paraId="53E9435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b w:val="0"/>
          <w:bCs w:val="0"/>
          <w:spacing w:val="0"/>
          <w:kern w:val="21"/>
          <w:sz w:val="24"/>
          <w:szCs w:val="24"/>
          <w:lang w:val="en-US" w:eastAsia="zh-CN"/>
        </w:rPr>
      </w:pPr>
      <w:r>
        <w:rPr>
          <w:rFonts w:hint="default" w:cs="Times New Roman"/>
          <w:b w:val="0"/>
          <w:bCs w:val="0"/>
          <w:spacing w:val="0"/>
          <w:kern w:val="21"/>
          <w:sz w:val="24"/>
          <w:szCs w:val="24"/>
          <w:lang w:val="en-US" w:eastAsia="zh-CN"/>
        </w:rPr>
        <w:t>附件7、玉溪市生态环境局易门县分局关于易门铜业有限公司铜火法冶炼渣资源化增值化利用关键技术研究扩大试验项日环境影响报告表的批复</w:t>
      </w:r>
      <w:r>
        <w:rPr>
          <w:rFonts w:hint="eastAsia" w:cs="Times New Roman"/>
          <w:b w:val="0"/>
          <w:bCs w:val="0"/>
          <w:spacing w:val="0"/>
          <w:kern w:val="21"/>
          <w:sz w:val="24"/>
          <w:szCs w:val="24"/>
          <w:lang w:val="en-US" w:eastAsia="zh-CN"/>
        </w:rPr>
        <w:t>；</w:t>
      </w:r>
    </w:p>
    <w:p w14:paraId="5EE38B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附件8、云南易门产业园区管理委员会关于易门铜业有限公司渣选工艺流程提效升级改造项目入园的复函；</w:t>
      </w:r>
    </w:p>
    <w:p w14:paraId="5C5FEF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附件9、尾渣销售合同；</w:t>
      </w:r>
    </w:p>
    <w:p w14:paraId="36DC91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附件10、项目环境质量现状监测报告；</w:t>
      </w:r>
    </w:p>
    <w:p w14:paraId="79D6CD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b w:val="0"/>
          <w:bCs w:val="0"/>
          <w:spacing w:val="0"/>
          <w:kern w:val="21"/>
          <w:sz w:val="24"/>
          <w:szCs w:val="24"/>
          <w:lang w:val="en-US" w:eastAsia="zh-CN"/>
        </w:rPr>
      </w:pPr>
      <w:r>
        <w:rPr>
          <w:rFonts w:hint="eastAsia" w:ascii="Times New Roman" w:hAnsi="Times New Roman" w:cs="Times New Roman"/>
          <w:b w:val="0"/>
          <w:bCs w:val="0"/>
          <w:spacing w:val="0"/>
          <w:kern w:val="21"/>
          <w:sz w:val="24"/>
          <w:szCs w:val="24"/>
          <w:lang w:val="en-US" w:eastAsia="zh-CN"/>
        </w:rPr>
        <w:t>附件11、易门铜业渣选工艺流程提效升级改造项目“三区三线”查询结果；</w:t>
      </w:r>
    </w:p>
    <w:p w14:paraId="3BD311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附件12、易门铜业有限公司废气、噪声自行检测报告（2025年第四季度）；</w:t>
      </w:r>
    </w:p>
    <w:p w14:paraId="09E37FE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附件13、易门铜业有限公司废气、噪声自行检测报告（2026年第一季度）；</w:t>
      </w:r>
    </w:p>
    <w:p w14:paraId="3BE4BBF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附件14、易门铜业有限公司厂区地下水自行检测报告（2026年第一季度）；</w:t>
      </w:r>
    </w:p>
    <w:p w14:paraId="3E0E8E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附件15、易门铜业有限公司厂区土壤自行监测报告（2026年上半年）；</w:t>
      </w:r>
    </w:p>
    <w:p w14:paraId="45A733A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附件</w:t>
      </w:r>
      <w:r>
        <w:rPr>
          <w:rFonts w:hint="eastAsia" w:cs="Times New Roman"/>
          <w:b w:val="0"/>
          <w:bCs w:val="0"/>
          <w:spacing w:val="0"/>
          <w:kern w:val="21"/>
          <w:sz w:val="24"/>
          <w:szCs w:val="24"/>
          <w:lang w:val="en-US" w:eastAsia="zh-CN"/>
        </w:rPr>
        <w:t>16</w:t>
      </w:r>
      <w:r>
        <w:rPr>
          <w:rFonts w:hint="eastAsia" w:ascii="Times New Roman" w:hAnsi="Times New Roman" w:eastAsia="宋体" w:cs="Times New Roman"/>
          <w:b w:val="0"/>
          <w:bCs w:val="0"/>
          <w:spacing w:val="0"/>
          <w:kern w:val="21"/>
          <w:sz w:val="24"/>
          <w:szCs w:val="24"/>
          <w:lang w:val="en-US" w:eastAsia="zh-CN"/>
        </w:rPr>
        <w:t>、易门铜业有限公司（含废水）自行检测报告（2026年3月份）；</w:t>
      </w:r>
    </w:p>
    <w:p w14:paraId="2ECB18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附件</w:t>
      </w:r>
      <w:r>
        <w:rPr>
          <w:rFonts w:hint="eastAsia" w:cs="Times New Roman"/>
          <w:b w:val="0"/>
          <w:bCs w:val="0"/>
          <w:spacing w:val="0"/>
          <w:kern w:val="21"/>
          <w:sz w:val="24"/>
          <w:szCs w:val="24"/>
          <w:lang w:val="en-US" w:eastAsia="zh-CN"/>
        </w:rPr>
        <w:t>17</w:t>
      </w:r>
      <w:r>
        <w:rPr>
          <w:rFonts w:hint="eastAsia" w:ascii="Times New Roman" w:hAnsi="Times New Roman" w:eastAsia="宋体" w:cs="Times New Roman"/>
          <w:b w:val="0"/>
          <w:bCs w:val="0"/>
          <w:spacing w:val="0"/>
          <w:kern w:val="21"/>
          <w:sz w:val="24"/>
          <w:szCs w:val="24"/>
          <w:lang w:val="en-US" w:eastAsia="zh-CN"/>
        </w:rPr>
        <w:t>、底吹炉熔炼渣属性鉴别报告</w:t>
      </w:r>
      <w:r>
        <w:rPr>
          <w:rFonts w:hint="eastAsia" w:cs="Times New Roman"/>
          <w:b w:val="0"/>
          <w:bCs w:val="0"/>
          <w:spacing w:val="0"/>
          <w:kern w:val="21"/>
          <w:sz w:val="24"/>
          <w:szCs w:val="24"/>
          <w:lang w:val="en-US" w:eastAsia="zh-CN"/>
        </w:rPr>
        <w:t>；</w:t>
      </w:r>
    </w:p>
    <w:p w14:paraId="3ED68AE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b w:val="0"/>
          <w:bCs w:val="0"/>
          <w:color w:val="auto"/>
          <w:spacing w:val="0"/>
          <w:kern w:val="21"/>
          <w:sz w:val="24"/>
          <w:szCs w:val="24"/>
          <w:lang w:val="en-US" w:eastAsia="zh-CN"/>
        </w:rPr>
      </w:pPr>
      <w:r>
        <w:rPr>
          <w:rFonts w:hint="eastAsia" w:cs="Times New Roman"/>
          <w:b w:val="0"/>
          <w:bCs w:val="0"/>
          <w:color w:val="auto"/>
          <w:spacing w:val="0"/>
          <w:kern w:val="21"/>
          <w:sz w:val="24"/>
          <w:szCs w:val="24"/>
          <w:lang w:val="en-US" w:eastAsia="zh-CN"/>
        </w:rPr>
        <w:t>附件18、底吹炉熔炼渣成分分析报告；</w:t>
      </w:r>
    </w:p>
    <w:p w14:paraId="4F648DC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附件19、尾渣属性鉴别报告；</w:t>
      </w:r>
    </w:p>
    <w:p w14:paraId="14A57F0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附近</w:t>
      </w:r>
      <w:r>
        <w:rPr>
          <w:rFonts w:hint="eastAsia" w:cs="Times New Roman"/>
          <w:b w:val="0"/>
          <w:bCs w:val="0"/>
          <w:spacing w:val="0"/>
          <w:kern w:val="21"/>
          <w:sz w:val="24"/>
          <w:szCs w:val="24"/>
          <w:lang w:val="en-US" w:eastAsia="zh-CN"/>
        </w:rPr>
        <w:t>20</w:t>
      </w:r>
      <w:r>
        <w:rPr>
          <w:rFonts w:hint="eastAsia" w:ascii="Times New Roman" w:hAnsi="Times New Roman" w:eastAsia="宋体" w:cs="Times New Roman"/>
          <w:b w:val="0"/>
          <w:bCs w:val="0"/>
          <w:spacing w:val="0"/>
          <w:kern w:val="21"/>
          <w:sz w:val="24"/>
          <w:szCs w:val="24"/>
          <w:lang w:val="en-US" w:eastAsia="zh-CN"/>
        </w:rPr>
        <w:t>、易门铜业有限公司排污许可证；</w:t>
      </w:r>
    </w:p>
    <w:p w14:paraId="4025B14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附件21、项目进度表；</w:t>
      </w:r>
    </w:p>
    <w:p w14:paraId="531EDF9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附件22、项目内部审核表；</w:t>
      </w:r>
    </w:p>
    <w:p w14:paraId="4B4E6DA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附件23、项目环评合同；</w:t>
      </w:r>
    </w:p>
    <w:p w14:paraId="2F49AE1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附件24、专家审查意见及签到表；</w:t>
      </w:r>
    </w:p>
    <w:p w14:paraId="4B57789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cs="Times New Roman"/>
          <w:b w:val="0"/>
          <w:bCs w:val="0"/>
          <w:spacing w:val="0"/>
          <w:kern w:val="21"/>
          <w:sz w:val="24"/>
          <w:szCs w:val="24"/>
          <w:lang w:val="en-US" w:eastAsia="zh-CN"/>
        </w:rPr>
      </w:pPr>
      <w:r>
        <w:rPr>
          <w:rFonts w:hint="eastAsia" w:cs="Times New Roman"/>
          <w:b w:val="0"/>
          <w:bCs w:val="0"/>
          <w:spacing w:val="0"/>
          <w:kern w:val="21"/>
          <w:sz w:val="24"/>
          <w:szCs w:val="24"/>
          <w:lang w:val="en-US" w:eastAsia="zh-CN"/>
        </w:rPr>
        <w:t>附件25、审查意见修改对照表。</w:t>
      </w:r>
    </w:p>
    <w:p w14:paraId="737D2C2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cs="Times New Roman"/>
          <w:b w:val="0"/>
          <w:bCs w:val="0"/>
          <w:spacing w:val="0"/>
          <w:kern w:val="21"/>
          <w:sz w:val="28"/>
          <w:szCs w:val="28"/>
          <w:lang w:val="en-US" w:eastAsia="zh-CN"/>
        </w:rPr>
      </w:pPr>
    </w:p>
    <w:p w14:paraId="653C1C2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eastAsia="宋体" w:cs="Times New Roman"/>
          <w:b/>
          <w:bCs/>
          <w:spacing w:val="0"/>
          <w:kern w:val="21"/>
          <w:sz w:val="28"/>
          <w:szCs w:val="28"/>
          <w:lang w:val="en-US" w:eastAsia="zh-CN"/>
        </w:rPr>
      </w:pPr>
      <w:r>
        <w:rPr>
          <w:rFonts w:hint="default" w:ascii="Times New Roman" w:hAnsi="Times New Roman" w:eastAsia="宋体" w:cs="Times New Roman"/>
          <w:b/>
          <w:bCs/>
          <w:spacing w:val="0"/>
          <w:kern w:val="21"/>
          <w:sz w:val="28"/>
          <w:szCs w:val="28"/>
          <w:lang w:val="en-US" w:eastAsia="zh-CN"/>
        </w:rPr>
        <w:t>附</w:t>
      </w:r>
      <w:r>
        <w:rPr>
          <w:rFonts w:hint="eastAsia" w:ascii="Times New Roman" w:hAnsi="Times New Roman" w:eastAsia="宋体" w:cs="Times New Roman"/>
          <w:b/>
          <w:bCs/>
          <w:spacing w:val="0"/>
          <w:kern w:val="21"/>
          <w:sz w:val="28"/>
          <w:szCs w:val="28"/>
          <w:lang w:val="en-US" w:eastAsia="zh-CN"/>
        </w:rPr>
        <w:t>图</w:t>
      </w:r>
      <w:r>
        <w:rPr>
          <w:rFonts w:hint="default" w:ascii="Times New Roman" w:hAnsi="Times New Roman" w:eastAsia="宋体" w:cs="Times New Roman"/>
          <w:b/>
          <w:bCs/>
          <w:spacing w:val="0"/>
          <w:kern w:val="21"/>
          <w:sz w:val="28"/>
          <w:szCs w:val="28"/>
          <w:lang w:val="en-US" w:eastAsia="zh-CN"/>
        </w:rPr>
        <w:t>：</w:t>
      </w:r>
    </w:p>
    <w:p w14:paraId="686405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附图1、项目地理位置图；</w:t>
      </w:r>
    </w:p>
    <w:p w14:paraId="235ADC9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附图2、项目总平面布置图；</w:t>
      </w:r>
    </w:p>
    <w:p w14:paraId="5514E1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附图3、项目区域水系图；</w:t>
      </w:r>
    </w:p>
    <w:p w14:paraId="1FF941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附图4、项目与易门铜业有限公司位置关系图；</w:t>
      </w:r>
    </w:p>
    <w:p w14:paraId="1A11A0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附图5、项目与产业园区的位置关系图；</w:t>
      </w:r>
    </w:p>
    <w:p w14:paraId="342BD78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附图6、产业园区用地规划图；</w:t>
      </w:r>
    </w:p>
    <w:p w14:paraId="1A89367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附图7、项目与“国家级和省级主体功能区”位置关系图；</w:t>
      </w:r>
    </w:p>
    <w:p w14:paraId="3F044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附图8、项目与“云南省生态功能区划”位置关系图；</w:t>
      </w:r>
    </w:p>
    <w:p w14:paraId="253C082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spacing w:val="0"/>
          <w:kern w:val="21"/>
          <w:sz w:val="24"/>
          <w:szCs w:val="24"/>
          <w:lang w:val="en-US" w:eastAsia="zh-CN"/>
        </w:rPr>
        <w:t>附图9、项目与“云南省生物多样性保护优先区域”位置关系图；</w:t>
      </w:r>
    </w:p>
    <w:p w14:paraId="51C5EB7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pacing w:val="0"/>
          <w:kern w:val="21"/>
          <w:sz w:val="24"/>
          <w:szCs w:val="24"/>
          <w:lang w:val="en-US" w:eastAsia="zh-CN"/>
        </w:rPr>
      </w:pPr>
      <w:r>
        <w:rPr>
          <w:rFonts w:hint="eastAsia" w:ascii="Times New Roman" w:hAnsi="Times New Roman" w:eastAsia="宋体" w:cs="Times New Roman"/>
          <w:b w:val="0"/>
          <w:bCs w:val="0"/>
          <w:color w:val="auto"/>
          <w:spacing w:val="0"/>
          <w:kern w:val="21"/>
          <w:sz w:val="24"/>
          <w:szCs w:val="24"/>
          <w:lang w:val="en-US" w:eastAsia="zh-CN"/>
        </w:rPr>
        <w:t>附图10、项目分区防渗图。</w:t>
      </w:r>
    </w:p>
    <w:p w14:paraId="0E87AE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spacing w:val="0"/>
          <w:kern w:val="21"/>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EFABBB3">
      <w:pPr>
        <w:pStyle w:val="3"/>
        <w:keepNext/>
        <w:keepLines w:val="0"/>
        <w:pageBreakBefore w:val="0"/>
        <w:widowControl w:val="0"/>
        <w:kinsoku/>
        <w:wordWrap/>
        <w:overflowPunct w:val="0"/>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bookmarkStart w:id="3" w:name="_Toc18440"/>
      <w:bookmarkStart w:id="4" w:name="_Toc1467"/>
      <w:r>
        <w:rPr>
          <w:rFonts w:hint="default" w:ascii="Times New Roman" w:hAnsi="Times New Roman" w:eastAsia="宋体" w:cs="Times New Roman"/>
          <w:color w:val="auto"/>
        </w:rPr>
        <w:t>一、建设项目基本情况</w:t>
      </w:r>
      <w:bookmarkEnd w:id="3"/>
      <w:bookmarkEnd w:id="4"/>
    </w:p>
    <w:tbl>
      <w:tblPr>
        <w:tblStyle w:val="21"/>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4"/>
        <w:gridCol w:w="766"/>
        <w:gridCol w:w="1540"/>
        <w:gridCol w:w="1816"/>
        <w:gridCol w:w="3109"/>
      </w:tblGrid>
      <w:tr w14:paraId="2F32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079" w:type="pct"/>
            <w:gridSpan w:val="2"/>
            <w:tcBorders>
              <w:tl2br w:val="nil"/>
              <w:tr2bl w:val="nil"/>
            </w:tcBorders>
            <w:noWrap w:val="0"/>
            <w:tcMar>
              <w:top w:w="16" w:type="dxa"/>
              <w:left w:w="16" w:type="dxa"/>
              <w:right w:w="16" w:type="dxa"/>
            </w:tcMar>
            <w:vAlign w:val="center"/>
          </w:tcPr>
          <w:p w14:paraId="1B3911F5">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3920" w:type="pct"/>
            <w:gridSpan w:val="3"/>
            <w:tcBorders>
              <w:tl2br w:val="nil"/>
              <w:tr2bl w:val="nil"/>
            </w:tcBorders>
            <w:noWrap w:val="0"/>
            <w:vAlign w:val="center"/>
          </w:tcPr>
          <w:p w14:paraId="141E0301">
            <w:pPr>
              <w:pStyle w:val="30"/>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易门铜业渣选</w:t>
            </w:r>
            <w:r>
              <w:rPr>
                <w:rFonts w:hint="eastAsia" w:cs="Times New Roman"/>
                <w:color w:val="auto"/>
                <w:sz w:val="24"/>
                <w:lang w:val="en-US" w:eastAsia="zh-CN"/>
              </w:rPr>
              <w:t>工艺</w:t>
            </w:r>
            <w:r>
              <w:rPr>
                <w:rFonts w:hint="eastAsia" w:ascii="Times New Roman" w:hAnsi="Times New Roman" w:cs="Times New Roman"/>
                <w:color w:val="auto"/>
                <w:sz w:val="24"/>
                <w:lang w:val="en-US" w:eastAsia="zh-CN"/>
              </w:rPr>
              <w:t>流程提效升级改造项目</w:t>
            </w:r>
          </w:p>
        </w:tc>
      </w:tr>
      <w:tr w14:paraId="4A61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079" w:type="pct"/>
            <w:gridSpan w:val="2"/>
            <w:tcBorders>
              <w:tl2br w:val="nil"/>
              <w:tr2bl w:val="nil"/>
            </w:tcBorders>
            <w:noWrap w:val="0"/>
            <w:tcMar>
              <w:top w:w="16" w:type="dxa"/>
              <w:left w:w="16" w:type="dxa"/>
              <w:right w:w="16" w:type="dxa"/>
            </w:tcMar>
            <w:vAlign w:val="center"/>
          </w:tcPr>
          <w:p w14:paraId="4744B1EE">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3920" w:type="pct"/>
            <w:gridSpan w:val="3"/>
            <w:tcBorders>
              <w:tl2br w:val="nil"/>
              <w:tr2bl w:val="nil"/>
            </w:tcBorders>
            <w:noWrap w:val="0"/>
            <w:vAlign w:val="center"/>
          </w:tcPr>
          <w:p w14:paraId="4912337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val="0"/>
                <w:bCs w:val="0"/>
                <w:color w:val="auto"/>
                <w:kern w:val="2"/>
                <w:sz w:val="24"/>
                <w:szCs w:val="24"/>
                <w:lang w:val="en-US" w:eastAsia="zh-CN" w:bidi="ar-SA"/>
              </w:rPr>
              <w:t>2511-530425-04-02-412061</w:t>
            </w:r>
          </w:p>
        </w:tc>
      </w:tr>
      <w:tr w14:paraId="1780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079" w:type="pct"/>
            <w:gridSpan w:val="2"/>
            <w:tcBorders>
              <w:tl2br w:val="nil"/>
              <w:tr2bl w:val="nil"/>
            </w:tcBorders>
            <w:noWrap w:val="0"/>
            <w:tcMar>
              <w:top w:w="16" w:type="dxa"/>
              <w:left w:w="16" w:type="dxa"/>
              <w:right w:w="16" w:type="dxa"/>
            </w:tcMar>
            <w:vAlign w:val="center"/>
          </w:tcPr>
          <w:p w14:paraId="08EE2596">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933" w:type="pct"/>
            <w:tcBorders>
              <w:tl2br w:val="nil"/>
              <w:tr2bl w:val="nil"/>
            </w:tcBorders>
            <w:noWrap w:val="0"/>
            <w:vAlign w:val="center"/>
          </w:tcPr>
          <w:p w14:paraId="5FCDF9A9">
            <w:pPr>
              <w:pStyle w:val="30"/>
              <w:rPr>
                <w:rFonts w:hint="default" w:ascii="Times New Roman" w:hAnsi="Times New Roman" w:eastAsia="宋体" w:cs="Times New Roman"/>
                <w:color w:val="auto"/>
                <w:sz w:val="24"/>
                <w:lang w:val="en-US" w:eastAsia="zh-CN"/>
              </w:rPr>
            </w:pPr>
            <w:r>
              <w:rPr>
                <w:rFonts w:hint="eastAsia" w:cs="Times New Roman"/>
                <w:i w:val="0"/>
                <w:iCs w:val="0"/>
                <w:color w:val="auto"/>
                <w:sz w:val="24"/>
                <w:szCs w:val="24"/>
                <w:highlight w:val="none"/>
                <w:u w:val="none"/>
                <w:lang w:val="en-US" w:eastAsia="zh-CN"/>
              </w:rPr>
              <w:t>黄娜</w:t>
            </w:r>
          </w:p>
        </w:tc>
        <w:tc>
          <w:tcPr>
            <w:tcW w:w="1101" w:type="pct"/>
            <w:tcBorders>
              <w:tl2br w:val="nil"/>
              <w:tr2bl w:val="nil"/>
            </w:tcBorders>
            <w:noWrap w:val="0"/>
            <w:vAlign w:val="center"/>
          </w:tcPr>
          <w:p w14:paraId="20B9D25E">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p>
        </w:tc>
        <w:tc>
          <w:tcPr>
            <w:tcW w:w="1885" w:type="pct"/>
            <w:tcBorders>
              <w:tl2br w:val="nil"/>
              <w:tr2bl w:val="nil"/>
            </w:tcBorders>
            <w:noWrap w:val="0"/>
            <w:vAlign w:val="center"/>
          </w:tcPr>
          <w:p w14:paraId="67000F9C">
            <w:pPr>
              <w:pStyle w:val="30"/>
              <w:rPr>
                <w:rFonts w:hint="default" w:ascii="Times New Roman" w:hAnsi="Times New Roman" w:eastAsia="宋体" w:cs="Times New Roman"/>
                <w:color w:val="auto"/>
                <w:sz w:val="24"/>
                <w:lang w:val="en-US" w:eastAsia="zh-CN"/>
              </w:rPr>
            </w:pPr>
            <w:r>
              <w:rPr>
                <w:rFonts w:hint="eastAsia" w:cs="Times New Roman"/>
                <w:i w:val="0"/>
                <w:iCs w:val="0"/>
                <w:color w:val="auto"/>
                <w:sz w:val="24"/>
                <w:szCs w:val="24"/>
                <w:highlight w:val="none"/>
                <w:u w:val="none"/>
                <w:lang w:val="en-US" w:eastAsia="zh-CN"/>
              </w:rPr>
              <w:t>18206769552</w:t>
            </w:r>
          </w:p>
        </w:tc>
      </w:tr>
      <w:tr w14:paraId="0AB3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079" w:type="pct"/>
            <w:gridSpan w:val="2"/>
            <w:tcBorders>
              <w:tl2br w:val="nil"/>
              <w:tr2bl w:val="nil"/>
            </w:tcBorders>
            <w:noWrap w:val="0"/>
            <w:tcMar>
              <w:top w:w="16" w:type="dxa"/>
              <w:left w:w="16" w:type="dxa"/>
              <w:right w:w="16" w:type="dxa"/>
            </w:tcMar>
            <w:vAlign w:val="center"/>
          </w:tcPr>
          <w:p w14:paraId="4FB0895B">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3920" w:type="pct"/>
            <w:gridSpan w:val="3"/>
            <w:tcBorders>
              <w:tl2br w:val="nil"/>
              <w:tr2bl w:val="nil"/>
            </w:tcBorders>
            <w:noWrap w:val="0"/>
            <w:vAlign w:val="center"/>
          </w:tcPr>
          <w:p w14:paraId="1E6E2872">
            <w:pPr>
              <w:pStyle w:val="30"/>
              <w:rPr>
                <w:rFonts w:hint="default" w:ascii="Times New Roman" w:hAnsi="Times New Roman" w:eastAsia="宋体" w:cs="Times New Roman"/>
                <w:color w:val="auto"/>
                <w:sz w:val="24"/>
                <w:lang w:val="en-US" w:eastAsia="zh-CN"/>
              </w:rPr>
            </w:pPr>
            <w:r>
              <w:rPr>
                <w:rFonts w:hint="default" w:ascii="Times New Roman" w:hAnsi="Times New Roman" w:cs="Times New Roman"/>
                <w:i w:val="0"/>
                <w:iCs w:val="0"/>
                <w:color w:val="auto"/>
                <w:sz w:val="24"/>
                <w:szCs w:val="24"/>
                <w:highlight w:val="none"/>
                <w:u w:val="single"/>
                <w:lang w:eastAsia="zh-CN"/>
              </w:rPr>
              <w:t>云南</w:t>
            </w:r>
            <w:r>
              <w:rPr>
                <w:rFonts w:hint="default" w:ascii="Times New Roman" w:hAnsi="Times New Roman" w:cs="Times New Roman"/>
                <w:i w:val="0"/>
                <w:iCs w:val="0"/>
                <w:color w:val="auto"/>
                <w:sz w:val="24"/>
                <w:szCs w:val="24"/>
                <w:highlight w:val="none"/>
                <w:u w:val="none"/>
                <w:lang w:eastAsia="zh-CN"/>
              </w:rPr>
              <w:t>省</w:t>
            </w:r>
            <w:r>
              <w:rPr>
                <w:rFonts w:hint="eastAsia" w:cs="Times New Roman"/>
                <w:i w:val="0"/>
                <w:iCs w:val="0"/>
                <w:color w:val="auto"/>
                <w:sz w:val="24"/>
                <w:szCs w:val="24"/>
                <w:highlight w:val="none"/>
                <w:u w:val="single"/>
                <w:lang w:val="en-US" w:eastAsia="zh-CN"/>
              </w:rPr>
              <w:t>玉溪</w:t>
            </w:r>
            <w:r>
              <w:rPr>
                <w:rFonts w:hint="eastAsia" w:cs="Times New Roman"/>
                <w:i w:val="0"/>
                <w:iCs w:val="0"/>
                <w:color w:val="auto"/>
                <w:sz w:val="24"/>
                <w:szCs w:val="24"/>
                <w:highlight w:val="none"/>
                <w:u w:val="none"/>
                <w:lang w:val="en-US" w:eastAsia="zh-CN"/>
              </w:rPr>
              <w:t>市</w:t>
            </w:r>
            <w:r>
              <w:rPr>
                <w:rFonts w:hint="eastAsia" w:cs="Times New Roman"/>
                <w:i w:val="0"/>
                <w:iCs w:val="0"/>
                <w:color w:val="auto"/>
                <w:sz w:val="24"/>
                <w:szCs w:val="24"/>
                <w:highlight w:val="none"/>
                <w:u w:val="single"/>
                <w:lang w:val="en-US" w:eastAsia="zh-CN"/>
              </w:rPr>
              <w:t>易门</w:t>
            </w:r>
            <w:r>
              <w:rPr>
                <w:rFonts w:hint="eastAsia" w:cs="Times New Roman"/>
                <w:i w:val="0"/>
                <w:iCs w:val="0"/>
                <w:color w:val="auto"/>
                <w:sz w:val="24"/>
                <w:szCs w:val="24"/>
                <w:highlight w:val="none"/>
                <w:u w:val="none"/>
                <w:lang w:val="en-US" w:eastAsia="zh-CN"/>
              </w:rPr>
              <w:t>县云南易门产业园区大椿树片区</w:t>
            </w:r>
          </w:p>
        </w:tc>
      </w:tr>
      <w:tr w14:paraId="3348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079" w:type="pct"/>
            <w:gridSpan w:val="2"/>
            <w:tcBorders>
              <w:tl2br w:val="nil"/>
              <w:tr2bl w:val="nil"/>
            </w:tcBorders>
            <w:noWrap w:val="0"/>
            <w:tcMar>
              <w:top w:w="16" w:type="dxa"/>
              <w:left w:w="16" w:type="dxa"/>
              <w:right w:w="16" w:type="dxa"/>
            </w:tcMar>
            <w:vAlign w:val="center"/>
          </w:tcPr>
          <w:p w14:paraId="6B8381F1">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3920" w:type="pct"/>
            <w:gridSpan w:val="3"/>
            <w:tcBorders>
              <w:tl2br w:val="nil"/>
              <w:tr2bl w:val="nil"/>
            </w:tcBorders>
            <w:noWrap w:val="0"/>
            <w:vAlign w:val="center"/>
          </w:tcPr>
          <w:p w14:paraId="71A507C0">
            <w:pPr>
              <w:pStyle w:val="30"/>
              <w:rPr>
                <w:rFonts w:hint="default" w:ascii="Times New Roman" w:hAnsi="Times New Roman" w:eastAsia="宋体" w:cs="Times New Roman"/>
                <w:color w:val="auto"/>
                <w:sz w:val="24"/>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东经</w:t>
            </w:r>
            <w:r>
              <w:rPr>
                <w:rFonts w:hint="eastAsia" w:cs="Times New Roman"/>
                <w:color w:val="auto"/>
                <w:sz w:val="24"/>
                <w:highlight w:val="none"/>
                <w:u w:val="single"/>
                <w:lang w:val="en-US" w:eastAsia="zh-CN"/>
              </w:rPr>
              <w:t>102</w:t>
            </w:r>
            <w:r>
              <w:rPr>
                <w:rFonts w:hint="default" w:ascii="Times New Roman" w:hAnsi="Times New Roman" w:eastAsia="宋体" w:cs="Times New Roman"/>
                <w:color w:val="auto"/>
                <w:sz w:val="24"/>
                <w:highlight w:val="none"/>
              </w:rPr>
              <w:t>度</w:t>
            </w:r>
            <w:r>
              <w:rPr>
                <w:rFonts w:hint="eastAsia" w:cs="Times New Roman"/>
                <w:color w:val="auto"/>
                <w:sz w:val="24"/>
                <w:highlight w:val="none"/>
                <w:u w:val="single"/>
                <w:lang w:val="en-US" w:eastAsia="zh-CN"/>
              </w:rPr>
              <w:t>10</w:t>
            </w:r>
            <w:r>
              <w:rPr>
                <w:rFonts w:hint="default" w:ascii="Times New Roman" w:hAnsi="Times New Roman" w:eastAsia="宋体" w:cs="Times New Roman"/>
                <w:color w:val="auto"/>
                <w:sz w:val="24"/>
                <w:highlight w:val="none"/>
              </w:rPr>
              <w:t>分</w:t>
            </w:r>
            <w:r>
              <w:rPr>
                <w:rFonts w:hint="eastAsia" w:cs="Times New Roman"/>
                <w:color w:val="auto"/>
                <w:sz w:val="24"/>
                <w:highlight w:val="none"/>
                <w:u w:val="single"/>
                <w:lang w:val="en-US" w:eastAsia="zh-CN"/>
              </w:rPr>
              <w:t>4.795</w:t>
            </w:r>
            <w:r>
              <w:rPr>
                <w:rFonts w:hint="default" w:ascii="Times New Roman" w:hAnsi="Times New Roman" w:eastAsia="宋体" w:cs="Times New Roman"/>
                <w:color w:val="auto"/>
                <w:sz w:val="24"/>
                <w:highlight w:val="none"/>
              </w:rPr>
              <w:t>秒，北纬</w:t>
            </w:r>
            <w:r>
              <w:rPr>
                <w:rFonts w:hint="eastAsia" w:cs="Times New Roman"/>
                <w:color w:val="auto"/>
                <w:sz w:val="24"/>
                <w:highlight w:val="none"/>
                <w:u w:val="single"/>
                <w:lang w:val="en-US" w:eastAsia="zh-CN"/>
              </w:rPr>
              <w:t>24</w:t>
            </w:r>
            <w:r>
              <w:rPr>
                <w:rFonts w:hint="default" w:ascii="Times New Roman" w:hAnsi="Times New Roman" w:eastAsia="宋体" w:cs="Times New Roman"/>
                <w:color w:val="auto"/>
                <w:sz w:val="24"/>
                <w:highlight w:val="none"/>
              </w:rPr>
              <w:t>度</w:t>
            </w:r>
            <w:r>
              <w:rPr>
                <w:rFonts w:hint="eastAsia" w:cs="Times New Roman"/>
                <w:color w:val="auto"/>
                <w:sz w:val="24"/>
                <w:highlight w:val="none"/>
                <w:u w:val="single"/>
                <w:lang w:val="en-US" w:eastAsia="zh-CN"/>
              </w:rPr>
              <w:t>42</w:t>
            </w:r>
            <w:r>
              <w:rPr>
                <w:rFonts w:hint="default" w:ascii="Times New Roman" w:hAnsi="Times New Roman" w:eastAsia="宋体" w:cs="Times New Roman"/>
                <w:color w:val="auto"/>
                <w:sz w:val="24"/>
                <w:highlight w:val="none"/>
              </w:rPr>
              <w:t>分</w:t>
            </w:r>
            <w:r>
              <w:rPr>
                <w:rFonts w:hint="eastAsia" w:cs="Times New Roman"/>
                <w:color w:val="auto"/>
                <w:sz w:val="24"/>
                <w:highlight w:val="none"/>
                <w:u w:val="single"/>
                <w:lang w:val="en-US" w:eastAsia="zh-CN"/>
              </w:rPr>
              <w:t>32.923</w:t>
            </w:r>
            <w:r>
              <w:rPr>
                <w:rFonts w:hint="default" w:ascii="Times New Roman" w:hAnsi="Times New Roman" w:eastAsia="宋体" w:cs="Times New Roman"/>
                <w:color w:val="auto"/>
                <w:sz w:val="24"/>
                <w:highlight w:val="none"/>
              </w:rPr>
              <w:t>秒）</w:t>
            </w:r>
          </w:p>
        </w:tc>
      </w:tr>
      <w:tr w14:paraId="25BD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8" w:hRule="atLeast"/>
          <w:jc w:val="center"/>
        </w:trPr>
        <w:tc>
          <w:tcPr>
            <w:tcW w:w="1079" w:type="pct"/>
            <w:gridSpan w:val="2"/>
            <w:tcBorders>
              <w:tl2br w:val="nil"/>
              <w:tr2bl w:val="nil"/>
            </w:tcBorders>
            <w:noWrap w:val="0"/>
            <w:tcMar>
              <w:top w:w="16" w:type="dxa"/>
              <w:left w:w="16" w:type="dxa"/>
              <w:right w:w="16" w:type="dxa"/>
            </w:tcMar>
            <w:vAlign w:val="center"/>
          </w:tcPr>
          <w:p w14:paraId="6FE0E873">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14:paraId="1F0BA603">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933" w:type="pct"/>
            <w:tcBorders>
              <w:tl2br w:val="nil"/>
              <w:tr2bl w:val="nil"/>
            </w:tcBorders>
            <w:noWrap w:val="0"/>
            <w:vAlign w:val="center"/>
          </w:tcPr>
          <w:p w14:paraId="16A030A0">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eastAsia" w:ascii="Times New Roman" w:hAnsi="Times New Roman" w:eastAsia="宋体" w:cs="Times New Roman"/>
                <w:color w:val="auto"/>
                <w:sz w:val="24"/>
                <w:lang w:val="en-US" w:eastAsia="zh-CN"/>
              </w:rPr>
              <w:t>4210金属废料和碎屑加工处理</w:t>
            </w:r>
          </w:p>
        </w:tc>
        <w:tc>
          <w:tcPr>
            <w:tcW w:w="1101" w:type="pct"/>
            <w:tcBorders>
              <w:tl2br w:val="nil"/>
              <w:tr2bl w:val="nil"/>
            </w:tcBorders>
            <w:noWrap w:val="0"/>
            <w:vAlign w:val="center"/>
          </w:tcPr>
          <w:p w14:paraId="1AE83EB6">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19FBD7E9">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885" w:type="pct"/>
            <w:tcBorders>
              <w:tl2br w:val="nil"/>
              <w:tr2bl w:val="nil"/>
            </w:tcBorders>
            <w:noWrap w:val="0"/>
            <w:vAlign w:val="center"/>
          </w:tcPr>
          <w:p w14:paraId="69C1F73E">
            <w:pPr>
              <w:pStyle w:val="30"/>
              <w:adjustRightInd/>
              <w:snapToGrid/>
              <w:rPr>
                <w:rFonts w:hint="default" w:ascii="Times New Roman" w:hAnsi="Times New Roman" w:eastAsia="宋体" w:cs="Times New Roman"/>
                <w:color w:val="auto"/>
                <w:sz w:val="24"/>
                <w:lang w:val="en-US"/>
              </w:rPr>
            </w:pPr>
            <w:r>
              <w:rPr>
                <w:rFonts w:hint="eastAsia" w:ascii="Times New Roman" w:hAnsi="Times New Roman" w:eastAsia="宋体" w:cs="Times New Roman"/>
                <w:color w:val="auto"/>
                <w:sz w:val="24"/>
                <w:lang w:val="en-US" w:eastAsia="zh-CN"/>
              </w:rPr>
              <w:t>三十九、废弃资源综合利用业85</w:t>
            </w:r>
            <w:r>
              <w:rPr>
                <w:rFonts w:hint="default" w:ascii="Times New Roman" w:hAnsi="Times New Roman" w:eastAsia="宋体" w:cs="Times New Roman"/>
                <w:color w:val="auto"/>
                <w:sz w:val="24"/>
              </w:rPr>
              <w:t>金属</w:t>
            </w:r>
            <w:r>
              <w:rPr>
                <w:rFonts w:hint="eastAsia" w:ascii="Times New Roman" w:hAnsi="Times New Roman" w:eastAsia="宋体" w:cs="Times New Roman"/>
                <w:color w:val="auto"/>
                <w:sz w:val="24"/>
                <w:lang w:val="en-US" w:eastAsia="zh-CN"/>
              </w:rPr>
              <w:t>废料和碎屑加工处理</w:t>
            </w:r>
            <w:r>
              <w:rPr>
                <w:rFonts w:hint="eastAsia" w:ascii="Times New Roman" w:hAnsi="Times New Roman" w:cs="Times New Roman"/>
                <w:color w:val="auto"/>
                <w:sz w:val="24"/>
                <w:lang w:val="en-US" w:eastAsia="zh-CN"/>
              </w:rPr>
              <w:t>421</w:t>
            </w:r>
          </w:p>
        </w:tc>
      </w:tr>
      <w:tr w14:paraId="6D86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0" w:hRule="atLeast"/>
          <w:jc w:val="center"/>
        </w:trPr>
        <w:tc>
          <w:tcPr>
            <w:tcW w:w="1079" w:type="pct"/>
            <w:gridSpan w:val="2"/>
            <w:tcBorders>
              <w:tl2br w:val="nil"/>
              <w:tr2bl w:val="nil"/>
            </w:tcBorders>
            <w:noWrap w:val="0"/>
            <w:tcMar>
              <w:top w:w="16" w:type="dxa"/>
              <w:left w:w="16" w:type="dxa"/>
              <w:right w:w="16" w:type="dxa"/>
            </w:tcMar>
            <w:vAlign w:val="center"/>
          </w:tcPr>
          <w:p w14:paraId="1E351DEF">
            <w:pPr>
              <w:pStyle w:val="30"/>
              <w:adjustRightInd/>
              <w:snapToGrid/>
              <w:spacing w:line="24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p w14:paraId="63AC2948">
            <w:pPr>
              <w:pStyle w:val="30"/>
              <w:adjustRightInd/>
              <w:snapToGrid/>
              <w:spacing w:line="24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（右侧，如实打√）</w:t>
            </w:r>
          </w:p>
        </w:tc>
        <w:tc>
          <w:tcPr>
            <w:tcW w:w="933" w:type="pct"/>
            <w:tcBorders>
              <w:tl2br w:val="nil"/>
              <w:tr2bl w:val="nil"/>
            </w:tcBorders>
            <w:noWrap w:val="0"/>
            <w:vAlign w:val="center"/>
          </w:tcPr>
          <w:p w14:paraId="7D1E2ADF">
            <w:pPr>
              <w:pStyle w:val="30"/>
              <w:adjustRightInd/>
              <w:snapToGrid/>
              <w:spacing w:line="24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新建（迁建）</w:t>
            </w:r>
          </w:p>
          <w:p w14:paraId="72B009B0">
            <w:pPr>
              <w:pStyle w:val="30"/>
              <w:adjustRightInd/>
              <w:snapToGrid/>
              <w:spacing w:line="24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改建</w:t>
            </w:r>
          </w:p>
          <w:p w14:paraId="6C9BD986">
            <w:pPr>
              <w:pStyle w:val="30"/>
              <w:adjustRightInd/>
              <w:snapToGrid/>
              <w:spacing w:line="24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14:paraId="5F9786D1">
            <w:pPr>
              <w:pStyle w:val="30"/>
              <w:adjustRightInd/>
              <w:snapToGrid/>
              <w:spacing w:line="24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101" w:type="pct"/>
            <w:tcBorders>
              <w:tl2br w:val="nil"/>
              <w:tr2bl w:val="nil"/>
            </w:tcBorders>
            <w:noWrap w:val="0"/>
            <w:vAlign w:val="center"/>
          </w:tcPr>
          <w:p w14:paraId="6073C598">
            <w:pPr>
              <w:pStyle w:val="30"/>
              <w:adjustRightInd/>
              <w:snapToGrid/>
              <w:spacing w:line="24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建设项目申报情形</w:t>
            </w:r>
          </w:p>
          <w:p w14:paraId="32D3C0E1">
            <w:pPr>
              <w:pStyle w:val="30"/>
              <w:adjustRightInd/>
              <w:snapToGrid/>
              <w:spacing w:line="24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（右侧，如实打√）</w:t>
            </w:r>
          </w:p>
        </w:tc>
        <w:tc>
          <w:tcPr>
            <w:tcW w:w="1885" w:type="pct"/>
            <w:tcBorders>
              <w:tl2br w:val="nil"/>
              <w:tr2bl w:val="nil"/>
            </w:tcBorders>
            <w:noWrap w:val="0"/>
            <w:vAlign w:val="center"/>
          </w:tcPr>
          <w:p w14:paraId="1CB3C965">
            <w:pPr>
              <w:pStyle w:val="30"/>
              <w:adjustRightInd/>
              <w:snapToGrid/>
              <w:spacing w:line="24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首次申报项目</w:t>
            </w:r>
          </w:p>
          <w:p w14:paraId="26B9A9E8">
            <w:pPr>
              <w:pStyle w:val="30"/>
              <w:adjustRightInd/>
              <w:snapToGrid/>
              <w:spacing w:line="24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14:paraId="7E5E1FF6">
            <w:pPr>
              <w:pStyle w:val="30"/>
              <w:adjustRightInd/>
              <w:snapToGrid/>
              <w:spacing w:line="24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14:paraId="65D68F17">
            <w:pPr>
              <w:pStyle w:val="30"/>
              <w:adjustRightInd/>
              <w:snapToGrid/>
              <w:spacing w:line="240" w:lineRule="auto"/>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重大变动重新报批项目</w:t>
            </w:r>
          </w:p>
        </w:tc>
      </w:tr>
      <w:tr w14:paraId="50D8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9" w:hRule="atLeast"/>
          <w:jc w:val="center"/>
        </w:trPr>
        <w:tc>
          <w:tcPr>
            <w:tcW w:w="1079" w:type="pct"/>
            <w:gridSpan w:val="2"/>
            <w:tcBorders>
              <w:tl2br w:val="nil"/>
              <w:tr2bl w:val="nil"/>
            </w:tcBorders>
            <w:noWrap w:val="0"/>
            <w:tcMar>
              <w:top w:w="16" w:type="dxa"/>
              <w:left w:w="16" w:type="dxa"/>
              <w:right w:w="16" w:type="dxa"/>
            </w:tcMar>
            <w:vAlign w:val="center"/>
          </w:tcPr>
          <w:p w14:paraId="19A01C8F">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项目审批（核准/备案）部门（选填）</w:t>
            </w:r>
          </w:p>
        </w:tc>
        <w:tc>
          <w:tcPr>
            <w:tcW w:w="933" w:type="pct"/>
            <w:tcBorders>
              <w:tl2br w:val="nil"/>
              <w:tr2bl w:val="nil"/>
            </w:tcBorders>
            <w:noWrap w:val="0"/>
            <w:vAlign w:val="center"/>
          </w:tcPr>
          <w:p w14:paraId="2B50081A">
            <w:pPr>
              <w:pStyle w:val="30"/>
              <w:adjustRightInd/>
              <w:snapToGrid/>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易门县发展和改革局</w:t>
            </w:r>
          </w:p>
        </w:tc>
        <w:tc>
          <w:tcPr>
            <w:tcW w:w="1101" w:type="pct"/>
            <w:tcBorders>
              <w:tl2br w:val="nil"/>
              <w:tr2bl w:val="nil"/>
            </w:tcBorders>
            <w:noWrap w:val="0"/>
            <w:vAlign w:val="center"/>
          </w:tcPr>
          <w:p w14:paraId="693061DF">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14:paraId="57C7E8B1">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备案）文号（选填）</w:t>
            </w:r>
          </w:p>
        </w:tc>
        <w:tc>
          <w:tcPr>
            <w:tcW w:w="1885" w:type="pct"/>
            <w:tcBorders>
              <w:tl2br w:val="nil"/>
              <w:tr2bl w:val="nil"/>
            </w:tcBorders>
            <w:noWrap w:val="0"/>
            <w:vAlign w:val="center"/>
          </w:tcPr>
          <w:p w14:paraId="726F9FEC">
            <w:pPr>
              <w:pStyle w:val="30"/>
              <w:adjustRightInd/>
              <w:snapToGrid/>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w:t>
            </w:r>
          </w:p>
        </w:tc>
      </w:tr>
      <w:tr w14:paraId="2934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1079" w:type="pct"/>
            <w:gridSpan w:val="2"/>
            <w:tcBorders>
              <w:tl2br w:val="nil"/>
              <w:tr2bl w:val="nil"/>
            </w:tcBorders>
            <w:noWrap w:val="0"/>
            <w:tcMar>
              <w:top w:w="16" w:type="dxa"/>
              <w:left w:w="16" w:type="dxa"/>
              <w:right w:w="16" w:type="dxa"/>
            </w:tcMar>
            <w:vAlign w:val="center"/>
          </w:tcPr>
          <w:p w14:paraId="1EFB5CE7">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933" w:type="pct"/>
            <w:tcBorders>
              <w:tl2br w:val="nil"/>
              <w:tr2bl w:val="nil"/>
            </w:tcBorders>
            <w:noWrap w:val="0"/>
            <w:vAlign w:val="center"/>
          </w:tcPr>
          <w:p w14:paraId="0EC7EDA2">
            <w:pPr>
              <w:pStyle w:val="30"/>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1487.96</w:t>
            </w:r>
          </w:p>
        </w:tc>
        <w:tc>
          <w:tcPr>
            <w:tcW w:w="1101" w:type="pct"/>
            <w:tcBorders>
              <w:tl2br w:val="nil"/>
              <w:tr2bl w:val="nil"/>
            </w:tcBorders>
            <w:noWrap w:val="0"/>
            <w:tcMar>
              <w:top w:w="16" w:type="dxa"/>
              <w:left w:w="16" w:type="dxa"/>
              <w:right w:w="16" w:type="dxa"/>
            </w:tcMar>
            <w:vAlign w:val="center"/>
          </w:tcPr>
          <w:p w14:paraId="52BE5958">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环保投资（万元）</w:t>
            </w:r>
          </w:p>
        </w:tc>
        <w:tc>
          <w:tcPr>
            <w:tcW w:w="1885" w:type="pct"/>
            <w:tcBorders>
              <w:tl2br w:val="nil"/>
              <w:tr2bl w:val="nil"/>
            </w:tcBorders>
            <w:noWrap w:val="0"/>
            <w:vAlign w:val="center"/>
          </w:tcPr>
          <w:p w14:paraId="53F35202">
            <w:pPr>
              <w:pStyle w:val="3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6</w:t>
            </w:r>
          </w:p>
        </w:tc>
      </w:tr>
      <w:tr w14:paraId="6651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79" w:type="pct"/>
            <w:gridSpan w:val="2"/>
            <w:tcBorders>
              <w:tl2br w:val="nil"/>
              <w:tr2bl w:val="nil"/>
            </w:tcBorders>
            <w:noWrap w:val="0"/>
            <w:tcMar>
              <w:top w:w="16" w:type="dxa"/>
              <w:left w:w="16" w:type="dxa"/>
              <w:right w:w="16" w:type="dxa"/>
            </w:tcMar>
            <w:vAlign w:val="center"/>
          </w:tcPr>
          <w:p w14:paraId="30543DBF">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933" w:type="pct"/>
            <w:tcBorders>
              <w:tl2br w:val="nil"/>
              <w:tr2bl w:val="nil"/>
            </w:tcBorders>
            <w:noWrap w:val="0"/>
            <w:vAlign w:val="center"/>
          </w:tcPr>
          <w:p w14:paraId="7F5FA218">
            <w:pPr>
              <w:pStyle w:val="3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0.403</w:t>
            </w:r>
          </w:p>
        </w:tc>
        <w:tc>
          <w:tcPr>
            <w:tcW w:w="1101" w:type="pct"/>
            <w:tcBorders>
              <w:tl2br w:val="nil"/>
              <w:tr2bl w:val="nil"/>
            </w:tcBorders>
            <w:noWrap w:val="0"/>
            <w:tcMar>
              <w:top w:w="16" w:type="dxa"/>
              <w:left w:w="16" w:type="dxa"/>
              <w:right w:w="16" w:type="dxa"/>
            </w:tcMar>
            <w:vAlign w:val="center"/>
          </w:tcPr>
          <w:p w14:paraId="69AFC6AA">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1885" w:type="pct"/>
            <w:tcBorders>
              <w:tl2br w:val="nil"/>
              <w:tr2bl w:val="nil"/>
            </w:tcBorders>
            <w:noWrap w:val="0"/>
            <w:vAlign w:val="center"/>
          </w:tcPr>
          <w:p w14:paraId="7DD114B1">
            <w:pPr>
              <w:pStyle w:val="30"/>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8个月</w:t>
            </w:r>
          </w:p>
        </w:tc>
      </w:tr>
      <w:tr w14:paraId="08B9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79" w:type="pct"/>
            <w:gridSpan w:val="2"/>
            <w:tcBorders>
              <w:tl2br w:val="nil"/>
              <w:tr2bl w:val="nil"/>
            </w:tcBorders>
            <w:noWrap w:val="0"/>
            <w:tcMar>
              <w:top w:w="16" w:type="dxa"/>
              <w:left w:w="16" w:type="dxa"/>
              <w:right w:w="16" w:type="dxa"/>
            </w:tcMar>
            <w:vAlign w:val="center"/>
          </w:tcPr>
          <w:p w14:paraId="43F8707B">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p w14:paraId="64B7EA13">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（右侧，如实打√）</w:t>
            </w:r>
          </w:p>
        </w:tc>
        <w:tc>
          <w:tcPr>
            <w:tcW w:w="933" w:type="pct"/>
            <w:tcBorders>
              <w:tl2br w:val="nil"/>
              <w:tr2bl w:val="nil"/>
            </w:tcBorders>
            <w:noWrap w:val="0"/>
            <w:vAlign w:val="center"/>
          </w:tcPr>
          <w:p w14:paraId="0F987564">
            <w:pPr>
              <w:pStyle w:val="30"/>
              <w:adjustRightInd/>
              <w:snapToGrid/>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sym w:font="Wingdings 2" w:char="0052"/>
            </w:r>
            <w:r>
              <w:rPr>
                <w:rFonts w:hint="default" w:ascii="Times New Roman" w:hAnsi="Times New Roman" w:eastAsia="宋体" w:cs="Times New Roman"/>
                <w:color w:val="auto"/>
                <w:sz w:val="24"/>
                <w:lang w:val="en-US" w:eastAsia="zh-CN"/>
              </w:rPr>
              <w:t>否</w:t>
            </w:r>
          </w:p>
          <w:p w14:paraId="41E5F017">
            <w:pPr>
              <w:pStyle w:val="30"/>
              <w:adjustRightInd/>
              <w:snapToGrid/>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sym w:font="Wingdings 2" w:char="00A3"/>
            </w:r>
            <w:r>
              <w:rPr>
                <w:rFonts w:hint="default" w:ascii="Times New Roman" w:hAnsi="Times New Roman" w:eastAsia="宋体" w:cs="Times New Roman"/>
                <w:color w:val="auto"/>
                <w:sz w:val="24"/>
                <w:lang w:val="en-US" w:eastAsia="zh-CN"/>
              </w:rPr>
              <w:t>是</w:t>
            </w:r>
          </w:p>
        </w:tc>
        <w:tc>
          <w:tcPr>
            <w:tcW w:w="1101" w:type="pct"/>
            <w:tcBorders>
              <w:tl2br w:val="nil"/>
              <w:tr2bl w:val="nil"/>
            </w:tcBorders>
            <w:noWrap w:val="0"/>
            <w:tcMar>
              <w:top w:w="16" w:type="dxa"/>
              <w:left w:w="16" w:type="dxa"/>
              <w:right w:w="16" w:type="dxa"/>
            </w:tcMar>
            <w:vAlign w:val="center"/>
          </w:tcPr>
          <w:p w14:paraId="44C1EE6D">
            <w:pPr>
              <w:pStyle w:val="30"/>
              <w:adjustRightInd/>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用地（用海）面积（m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tc>
        <w:tc>
          <w:tcPr>
            <w:tcW w:w="1885" w:type="pct"/>
            <w:tcBorders>
              <w:tl2br w:val="nil"/>
              <w:tr2bl w:val="nil"/>
            </w:tcBorders>
            <w:noWrap w:val="0"/>
            <w:vAlign w:val="center"/>
          </w:tcPr>
          <w:p w14:paraId="04A6F3EF">
            <w:pPr>
              <w:pStyle w:val="30"/>
              <w:rPr>
                <w:rFonts w:hint="default" w:ascii="Times New Roman" w:hAnsi="Times New Roman" w:eastAsia="宋体" w:cs="Times New Roman"/>
                <w:color w:val="auto"/>
                <w:lang w:val="en-US" w:eastAsia="zh-CN"/>
              </w:rPr>
            </w:pPr>
            <w:r>
              <w:rPr>
                <w:rFonts w:hint="eastAsia" w:ascii="Times New Roman" w:hAnsi="Times New Roman" w:cs="Times New Roman"/>
                <w:color w:val="auto"/>
                <w:sz w:val="24"/>
                <w:lang w:val="en-US" w:eastAsia="zh-CN"/>
              </w:rPr>
              <w:t>20863</w:t>
            </w:r>
          </w:p>
        </w:tc>
      </w:tr>
      <w:tr w14:paraId="7567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pct"/>
            <w:gridSpan w:val="2"/>
            <w:tcBorders>
              <w:tl2br w:val="nil"/>
              <w:tr2bl w:val="nil"/>
            </w:tcBorders>
            <w:noWrap w:val="0"/>
            <w:vAlign w:val="center"/>
          </w:tcPr>
          <w:p w14:paraId="0FC6E25A">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专项评价设置情况</w:t>
            </w:r>
          </w:p>
        </w:tc>
        <w:tc>
          <w:tcPr>
            <w:tcW w:w="3920" w:type="pct"/>
            <w:gridSpan w:val="3"/>
            <w:tcBorders>
              <w:tl2br w:val="nil"/>
              <w:tr2bl w:val="nil"/>
            </w:tcBorders>
            <w:noWrap w:val="0"/>
            <w:vAlign w:val="center"/>
          </w:tcPr>
          <w:p w14:paraId="243C849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ascii="Times New Roman" w:hAnsi="Times New Roman"/>
                <w:color w:val="auto"/>
                <w:sz w:val="24"/>
              </w:rPr>
            </w:pPr>
            <w:r>
              <w:rPr>
                <w:rFonts w:ascii="Times New Roman" w:hAnsi="Times New Roman"/>
                <w:color w:val="auto"/>
                <w:sz w:val="24"/>
              </w:rPr>
              <w:t>根据《建设项目环境影响报告表编制技术指南（污染影响类）（试行）》，本项目不设置专项评价，具体专项评价设置原则及本项目判定情况见下表。</w:t>
            </w:r>
          </w:p>
          <w:p w14:paraId="075563DB">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表1-1</w:t>
            </w:r>
            <w:r>
              <w:rPr>
                <w:rFonts w:hint="eastAsia" w:ascii="黑体" w:hAnsi="黑体" w:eastAsia="黑体" w:cs="黑体"/>
                <w:b w:val="0"/>
                <w:bCs w:val="0"/>
                <w:color w:val="auto"/>
                <w:sz w:val="21"/>
                <w:szCs w:val="21"/>
                <w:lang w:val="en-US" w:eastAsia="zh-CN"/>
              </w:rPr>
              <w:t xml:space="preserve">   </w:t>
            </w:r>
            <w:r>
              <w:rPr>
                <w:rFonts w:hint="eastAsia" w:ascii="黑体" w:hAnsi="黑体" w:eastAsia="黑体" w:cs="黑体"/>
                <w:b w:val="0"/>
                <w:bCs w:val="0"/>
                <w:color w:val="auto"/>
                <w:sz w:val="21"/>
                <w:szCs w:val="21"/>
              </w:rPr>
              <w:t>专项评价设置原则一览表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174"/>
              <w:gridCol w:w="2613"/>
              <w:gridCol w:w="733"/>
            </w:tblGrid>
            <w:tr w14:paraId="1B77FB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tcBorders>
                    <w:tl2br w:val="nil"/>
                    <w:tr2bl w:val="nil"/>
                  </w:tcBorders>
                  <w:noWrap w:val="0"/>
                  <w:vAlign w:val="center"/>
                </w:tcPr>
                <w:p w14:paraId="77396B3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专项评价类别</w:t>
                  </w:r>
                </w:p>
              </w:tc>
              <w:tc>
                <w:tcPr>
                  <w:tcW w:w="1739" w:type="pct"/>
                  <w:tcBorders>
                    <w:tl2br w:val="nil"/>
                    <w:tr2bl w:val="nil"/>
                  </w:tcBorders>
                  <w:noWrap w:val="0"/>
                  <w:vAlign w:val="center"/>
                </w:tcPr>
                <w:p w14:paraId="14D9568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设置原则</w:t>
                  </w:r>
                </w:p>
              </w:tc>
              <w:tc>
                <w:tcPr>
                  <w:tcW w:w="2090" w:type="pct"/>
                  <w:tcBorders>
                    <w:tl2br w:val="nil"/>
                    <w:tr2bl w:val="nil"/>
                  </w:tcBorders>
                  <w:noWrap w:val="0"/>
                  <w:vAlign w:val="center"/>
                </w:tcPr>
                <w:p w14:paraId="68DA560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项目判定情况</w:t>
                  </w:r>
                </w:p>
              </w:tc>
              <w:tc>
                <w:tcPr>
                  <w:tcW w:w="584" w:type="pct"/>
                  <w:tcBorders>
                    <w:tl2br w:val="nil"/>
                    <w:tr2bl w:val="nil"/>
                  </w:tcBorders>
                  <w:noWrap w:val="0"/>
                  <w:vAlign w:val="center"/>
                </w:tcPr>
                <w:p w14:paraId="0A4C23A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专题设置情况</w:t>
                  </w:r>
                </w:p>
              </w:tc>
            </w:tr>
            <w:tr w14:paraId="0E73B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tcBorders>
                    <w:tl2br w:val="nil"/>
                    <w:tr2bl w:val="nil"/>
                  </w:tcBorders>
                  <w:noWrap w:val="0"/>
                  <w:vAlign w:val="center"/>
                </w:tcPr>
                <w:p w14:paraId="7EB49B4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大气</w:t>
                  </w:r>
                </w:p>
              </w:tc>
              <w:tc>
                <w:tcPr>
                  <w:tcW w:w="1739" w:type="pct"/>
                  <w:tcBorders>
                    <w:tl2br w:val="nil"/>
                    <w:tr2bl w:val="nil"/>
                  </w:tcBorders>
                  <w:noWrap w:val="0"/>
                  <w:vAlign w:val="center"/>
                </w:tcPr>
                <w:p w14:paraId="3EA82C1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排放废气含有毒有害污染物</w:t>
                  </w:r>
                  <w:r>
                    <w:rPr>
                      <w:rFonts w:hint="default" w:ascii="Times New Roman" w:hAnsi="Times New Roman" w:eastAsia="宋体" w:cs="Times New Roman"/>
                      <w:color w:val="auto"/>
                      <w:kern w:val="0"/>
                      <w:sz w:val="18"/>
                      <w:szCs w:val="18"/>
                      <w:vertAlign w:val="superscript"/>
                    </w:rPr>
                    <w:t>1</w:t>
                  </w:r>
                  <w:r>
                    <w:rPr>
                      <w:rFonts w:hint="default" w:ascii="Times New Roman" w:hAnsi="Times New Roman" w:eastAsia="宋体" w:cs="Times New Roman"/>
                      <w:color w:val="auto"/>
                      <w:kern w:val="0"/>
                      <w:sz w:val="18"/>
                      <w:szCs w:val="18"/>
                    </w:rPr>
                    <w:t>、二噁英、苯并[a]芘、氰化物、氯气且厂界外500米范围内有环境空气保护目标</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kern w:val="0"/>
                      <w:sz w:val="18"/>
                      <w:szCs w:val="18"/>
                    </w:rPr>
                    <w:t>的建设项目。</w:t>
                  </w:r>
                </w:p>
              </w:tc>
              <w:tc>
                <w:tcPr>
                  <w:tcW w:w="2090" w:type="pct"/>
                  <w:tcBorders>
                    <w:tl2br w:val="nil"/>
                    <w:tr2bl w:val="nil"/>
                  </w:tcBorders>
                  <w:noWrap w:val="0"/>
                  <w:vAlign w:val="center"/>
                </w:tcPr>
                <w:p w14:paraId="4ABD0F5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本项目排放</w:t>
                  </w:r>
                  <w:r>
                    <w:rPr>
                      <w:rFonts w:hint="eastAsia" w:cs="Times New Roman"/>
                      <w:color w:val="auto"/>
                      <w:kern w:val="0"/>
                      <w:sz w:val="18"/>
                      <w:szCs w:val="18"/>
                      <w:highlight w:val="none"/>
                      <w:lang w:val="en-US" w:eastAsia="zh-CN"/>
                    </w:rPr>
                    <w:t>废气</w:t>
                  </w:r>
                  <w:r>
                    <w:rPr>
                      <w:rFonts w:hint="default" w:ascii="Times New Roman" w:hAnsi="Times New Roman" w:eastAsia="宋体" w:cs="Times New Roman"/>
                      <w:color w:val="auto"/>
                      <w:kern w:val="0"/>
                      <w:sz w:val="18"/>
                      <w:szCs w:val="18"/>
                      <w:highlight w:val="none"/>
                    </w:rPr>
                    <w:t>主要为颗粒物，不涉及排放《有毒有害大气污染物名录》中确定的有毒有害污染物及二噁英、苯并[a]芘、氰化物、氯气等污染物。</w:t>
                  </w:r>
                </w:p>
              </w:tc>
              <w:tc>
                <w:tcPr>
                  <w:tcW w:w="584" w:type="pct"/>
                  <w:tcBorders>
                    <w:tl2br w:val="nil"/>
                    <w:tr2bl w:val="nil"/>
                  </w:tcBorders>
                  <w:noWrap w:val="0"/>
                  <w:vAlign w:val="center"/>
                </w:tcPr>
                <w:p w14:paraId="4E7F5D2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不设</w:t>
                  </w:r>
                </w:p>
              </w:tc>
            </w:tr>
            <w:tr w14:paraId="31E2F5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tcBorders>
                    <w:tl2br w:val="nil"/>
                    <w:tr2bl w:val="nil"/>
                  </w:tcBorders>
                  <w:noWrap w:val="0"/>
                  <w:vAlign w:val="center"/>
                </w:tcPr>
                <w:p w14:paraId="6D7A9E4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地表水</w:t>
                  </w:r>
                </w:p>
              </w:tc>
              <w:tc>
                <w:tcPr>
                  <w:tcW w:w="1739" w:type="pct"/>
                  <w:tcBorders>
                    <w:tl2br w:val="nil"/>
                    <w:tr2bl w:val="nil"/>
                  </w:tcBorders>
                  <w:noWrap w:val="0"/>
                  <w:vAlign w:val="center"/>
                </w:tcPr>
                <w:p w14:paraId="260D18B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新增工业废水直排建设项目（槽罐车外送污水处理厂的除外）；新增废水直排的污水集中处理厂。</w:t>
                  </w:r>
                </w:p>
              </w:tc>
              <w:tc>
                <w:tcPr>
                  <w:tcW w:w="2090" w:type="pct"/>
                  <w:tcBorders>
                    <w:tl2br w:val="nil"/>
                    <w:tr2bl w:val="nil"/>
                  </w:tcBorders>
                  <w:noWrap w:val="0"/>
                  <w:vAlign w:val="center"/>
                </w:tcPr>
                <w:p w14:paraId="59973E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本项目废水全部回用，不外排。</w:t>
                  </w:r>
                </w:p>
              </w:tc>
              <w:tc>
                <w:tcPr>
                  <w:tcW w:w="584" w:type="pct"/>
                  <w:tcBorders>
                    <w:tl2br w:val="nil"/>
                    <w:tr2bl w:val="nil"/>
                  </w:tcBorders>
                  <w:noWrap w:val="0"/>
                  <w:vAlign w:val="center"/>
                </w:tcPr>
                <w:p w14:paraId="0674714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不设</w:t>
                  </w:r>
                </w:p>
              </w:tc>
            </w:tr>
            <w:tr w14:paraId="38B253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tcBorders>
                    <w:tl2br w:val="nil"/>
                    <w:tr2bl w:val="nil"/>
                  </w:tcBorders>
                  <w:noWrap w:val="0"/>
                  <w:vAlign w:val="center"/>
                </w:tcPr>
                <w:p w14:paraId="41DE5A7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环境风险</w:t>
                  </w:r>
                </w:p>
              </w:tc>
              <w:tc>
                <w:tcPr>
                  <w:tcW w:w="1739" w:type="pct"/>
                  <w:tcBorders>
                    <w:tl2br w:val="nil"/>
                    <w:tr2bl w:val="nil"/>
                  </w:tcBorders>
                  <w:noWrap w:val="0"/>
                  <w:vAlign w:val="center"/>
                </w:tcPr>
                <w:p w14:paraId="396B172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有毒有害和易燃易爆危险物质存储量超过临界量</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的建设项目。</w:t>
                  </w:r>
                </w:p>
              </w:tc>
              <w:tc>
                <w:tcPr>
                  <w:tcW w:w="2090" w:type="pct"/>
                  <w:tcBorders>
                    <w:tl2br w:val="nil"/>
                    <w:tr2bl w:val="nil"/>
                  </w:tcBorders>
                  <w:noWrap w:val="0"/>
                  <w:vAlign w:val="center"/>
                </w:tcPr>
                <w:p w14:paraId="471DC17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rPr>
                    <w:t>项目涉及的易燃易爆物质主要为</w:t>
                  </w:r>
                  <w:r>
                    <w:rPr>
                      <w:rFonts w:hint="eastAsia" w:cs="Times New Roman"/>
                      <w:color w:val="auto"/>
                      <w:kern w:val="0"/>
                      <w:sz w:val="18"/>
                      <w:szCs w:val="18"/>
                      <w:lang w:val="en-US" w:eastAsia="zh-CN"/>
                    </w:rPr>
                    <w:t>废润滑油</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项目风险物质最大存储量</w:t>
                  </w:r>
                  <w:r>
                    <w:rPr>
                      <w:rFonts w:hint="eastAsia" w:ascii="Times New Roman" w:hAnsi="Times New Roman" w:eastAsia="宋体" w:cs="Times New Roman"/>
                      <w:color w:val="auto"/>
                      <w:kern w:val="0"/>
                      <w:sz w:val="18"/>
                      <w:szCs w:val="18"/>
                      <w:lang w:val="en-US" w:eastAsia="zh-CN"/>
                    </w:rPr>
                    <w:t>未超过临界值，</w:t>
                  </w:r>
                  <w:r>
                    <w:rPr>
                      <w:rFonts w:hint="default" w:ascii="Times New Roman" w:hAnsi="Times New Roman" w:eastAsia="宋体" w:cs="Times New Roman"/>
                      <w:color w:val="auto"/>
                      <w:kern w:val="0"/>
                      <w:sz w:val="18"/>
                      <w:szCs w:val="18"/>
                    </w:rPr>
                    <w:t>因此无需设置风险评价专项评价。</w:t>
                  </w:r>
                </w:p>
              </w:tc>
              <w:tc>
                <w:tcPr>
                  <w:tcW w:w="584" w:type="pct"/>
                  <w:tcBorders>
                    <w:tl2br w:val="nil"/>
                    <w:tr2bl w:val="nil"/>
                  </w:tcBorders>
                  <w:noWrap w:val="0"/>
                  <w:vAlign w:val="center"/>
                </w:tcPr>
                <w:p w14:paraId="26D532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不设</w:t>
                  </w:r>
                </w:p>
              </w:tc>
            </w:tr>
            <w:tr w14:paraId="4D54A4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tcBorders>
                    <w:tl2br w:val="nil"/>
                    <w:tr2bl w:val="nil"/>
                  </w:tcBorders>
                  <w:noWrap w:val="0"/>
                  <w:vAlign w:val="center"/>
                </w:tcPr>
                <w:p w14:paraId="10B3930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生态</w:t>
                  </w:r>
                </w:p>
              </w:tc>
              <w:tc>
                <w:tcPr>
                  <w:tcW w:w="1739" w:type="pct"/>
                  <w:tcBorders>
                    <w:tl2br w:val="nil"/>
                    <w:tr2bl w:val="nil"/>
                  </w:tcBorders>
                  <w:noWrap w:val="0"/>
                  <w:vAlign w:val="center"/>
                </w:tcPr>
                <w:p w14:paraId="509D83A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取水口下游500米范围内有重要水生生物的自然产卵场、索饵场、越冬场和洄游通道的新增河道取水的污染类建设项目</w:t>
                  </w:r>
                </w:p>
              </w:tc>
              <w:tc>
                <w:tcPr>
                  <w:tcW w:w="2090" w:type="pct"/>
                  <w:tcBorders>
                    <w:tl2br w:val="nil"/>
                    <w:tr2bl w:val="nil"/>
                  </w:tcBorders>
                  <w:noWrap w:val="0"/>
                  <w:vAlign w:val="center"/>
                </w:tcPr>
                <w:p w14:paraId="301CCF3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项目水</w:t>
                  </w:r>
                  <w:r>
                    <w:rPr>
                      <w:rFonts w:hint="default" w:ascii="Times New Roman" w:hAnsi="Times New Roman" w:eastAsia="宋体" w:cs="Times New Roman"/>
                      <w:color w:val="auto"/>
                      <w:kern w:val="0"/>
                      <w:sz w:val="18"/>
                      <w:szCs w:val="18"/>
                      <w:lang w:val="en-US" w:eastAsia="zh-CN"/>
                    </w:rPr>
                    <w:t>源为</w:t>
                  </w:r>
                  <w:r>
                    <w:rPr>
                      <w:rFonts w:hint="default" w:ascii="Times New Roman" w:hAnsi="Times New Roman" w:eastAsia="宋体" w:cs="Times New Roman"/>
                      <w:color w:val="auto"/>
                      <w:kern w:val="0"/>
                      <w:sz w:val="18"/>
                      <w:szCs w:val="18"/>
                    </w:rPr>
                    <w:t>自来水，不涉及取水口</w:t>
                  </w:r>
                  <w:r>
                    <w:rPr>
                      <w:rFonts w:hint="default" w:ascii="Times New Roman" w:hAnsi="Times New Roman" w:eastAsia="宋体" w:cs="Times New Roman"/>
                      <w:color w:val="auto"/>
                      <w:kern w:val="0"/>
                      <w:sz w:val="18"/>
                      <w:szCs w:val="18"/>
                      <w:lang w:eastAsia="zh-CN"/>
                    </w:rPr>
                    <w:t>。</w:t>
                  </w:r>
                </w:p>
              </w:tc>
              <w:tc>
                <w:tcPr>
                  <w:tcW w:w="584" w:type="pct"/>
                  <w:tcBorders>
                    <w:tl2br w:val="nil"/>
                    <w:tr2bl w:val="nil"/>
                  </w:tcBorders>
                  <w:noWrap w:val="0"/>
                  <w:vAlign w:val="center"/>
                </w:tcPr>
                <w:p w14:paraId="0EEB49A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不设</w:t>
                  </w:r>
                </w:p>
              </w:tc>
            </w:tr>
            <w:tr w14:paraId="191996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4" w:type="pct"/>
                  <w:tcBorders>
                    <w:tl2br w:val="nil"/>
                    <w:tr2bl w:val="nil"/>
                  </w:tcBorders>
                  <w:noWrap w:val="0"/>
                  <w:vAlign w:val="center"/>
                </w:tcPr>
                <w:p w14:paraId="55D90E8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海洋</w:t>
                  </w:r>
                </w:p>
              </w:tc>
              <w:tc>
                <w:tcPr>
                  <w:tcW w:w="1739" w:type="pct"/>
                  <w:tcBorders>
                    <w:tl2br w:val="nil"/>
                    <w:tr2bl w:val="nil"/>
                  </w:tcBorders>
                  <w:noWrap w:val="0"/>
                  <w:vAlign w:val="center"/>
                </w:tcPr>
                <w:p w14:paraId="454D10E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直接向海排放污染物的海洋工程建设项目</w:t>
                  </w:r>
                </w:p>
              </w:tc>
              <w:tc>
                <w:tcPr>
                  <w:tcW w:w="2090" w:type="pct"/>
                  <w:tcBorders>
                    <w:tl2br w:val="nil"/>
                    <w:tr2bl w:val="nil"/>
                  </w:tcBorders>
                  <w:noWrap w:val="0"/>
                  <w:vAlign w:val="center"/>
                </w:tcPr>
                <w:p w14:paraId="69FB148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项目不</w:t>
                  </w:r>
                  <w:r>
                    <w:rPr>
                      <w:rFonts w:hint="default" w:ascii="Times New Roman" w:hAnsi="Times New Roman" w:eastAsia="宋体" w:cs="Times New Roman"/>
                      <w:color w:val="auto"/>
                      <w:kern w:val="0"/>
                      <w:sz w:val="18"/>
                      <w:szCs w:val="18"/>
                      <w:lang w:val="en-US" w:eastAsia="zh-CN"/>
                    </w:rPr>
                    <w:t>涉及</w:t>
                  </w:r>
                </w:p>
              </w:tc>
              <w:tc>
                <w:tcPr>
                  <w:tcW w:w="584" w:type="pct"/>
                  <w:tcBorders>
                    <w:tl2br w:val="nil"/>
                    <w:tr2bl w:val="nil"/>
                  </w:tcBorders>
                  <w:noWrap w:val="0"/>
                  <w:vAlign w:val="center"/>
                </w:tcPr>
                <w:p w14:paraId="3828F0E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不设</w:t>
                  </w:r>
                </w:p>
              </w:tc>
            </w:tr>
            <w:tr w14:paraId="7750FF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14:paraId="7325BCA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注：1</w:t>
                  </w:r>
                  <w:r>
                    <w:rPr>
                      <w:rFonts w:hint="eastAsia"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废气中有毒有害污染物指纳入《有毒有害大气污染物名录》的污染物（不包括无排放标准的污染物）。</w:t>
                  </w:r>
                </w:p>
                <w:p w14:paraId="0D6361E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r>
                    <w:rPr>
                      <w:rFonts w:hint="eastAsia"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环境空气保护目标指自然保护区、风景名胜区、居住区、文化区和农村地区中人群较集中的区域。</w:t>
                  </w:r>
                </w:p>
                <w:p w14:paraId="24C7452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r>
                    <w:rPr>
                      <w:rFonts w:hint="eastAsia"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临界量及其计算方法可参考《建设项目环境风险评价技术导则》（HJ169）附录B、附录C。</w:t>
                  </w:r>
                </w:p>
              </w:tc>
            </w:tr>
          </w:tbl>
          <w:p w14:paraId="5ED388D9">
            <w:pPr>
              <w:bidi w:val="0"/>
              <w:jc w:val="both"/>
              <w:rPr>
                <w:rFonts w:hint="default" w:ascii="Times New Roman" w:hAnsi="Times New Roman" w:eastAsia="宋体" w:cs="Times New Roman"/>
                <w:color w:val="auto"/>
              </w:rPr>
            </w:pPr>
          </w:p>
        </w:tc>
      </w:tr>
      <w:tr w14:paraId="73D7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pct"/>
            <w:gridSpan w:val="2"/>
            <w:tcBorders>
              <w:tl2br w:val="nil"/>
              <w:tr2bl w:val="nil"/>
            </w:tcBorders>
            <w:noWrap w:val="0"/>
            <w:vAlign w:val="center"/>
          </w:tcPr>
          <w:p w14:paraId="348648AC">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规划情况</w:t>
            </w:r>
          </w:p>
        </w:tc>
        <w:tc>
          <w:tcPr>
            <w:tcW w:w="3920" w:type="pct"/>
            <w:gridSpan w:val="3"/>
            <w:tcBorders>
              <w:tl2br w:val="nil"/>
              <w:tr2bl w:val="nil"/>
            </w:tcBorders>
            <w:noWrap w:val="0"/>
            <w:vAlign w:val="center"/>
          </w:tcPr>
          <w:p w14:paraId="5AA55E48">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规划名称：《云南</w:t>
            </w:r>
            <w:r>
              <w:rPr>
                <w:rFonts w:hint="eastAsia" w:ascii="Times New Roman" w:hAnsi="Times New Roman" w:eastAsia="宋体" w:cs="Times New Roman"/>
                <w:color w:val="auto"/>
                <w:sz w:val="24"/>
                <w:lang w:val="en-US" w:eastAsia="zh-CN"/>
              </w:rPr>
              <w:t>易门</w:t>
            </w:r>
            <w:r>
              <w:rPr>
                <w:rFonts w:hint="default" w:ascii="Times New Roman" w:hAnsi="Times New Roman" w:eastAsia="宋体" w:cs="Times New Roman"/>
                <w:color w:val="auto"/>
                <w:sz w:val="24"/>
              </w:rPr>
              <w:t>产业园区总体规划</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修编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（2021~2035年）》</w:t>
            </w:r>
            <w:r>
              <w:rPr>
                <w:rFonts w:hint="eastAsia" w:ascii="Times New Roman" w:hAnsi="Times New Roman" w:eastAsia="宋体" w:cs="Times New Roman"/>
                <w:color w:val="auto"/>
                <w:sz w:val="24"/>
                <w:lang w:eastAsia="zh-CN"/>
              </w:rPr>
              <w:t>；</w:t>
            </w:r>
          </w:p>
          <w:p w14:paraId="5B197212">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both"/>
              <w:textAlignment w:val="auto"/>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审批机关：玉溪市人民政府</w:t>
            </w:r>
            <w:r>
              <w:rPr>
                <w:rFonts w:hint="eastAsia" w:ascii="Times New Roman" w:hAnsi="Times New Roman" w:eastAsia="宋体" w:cs="Times New Roman"/>
                <w:color w:val="auto"/>
                <w:kern w:val="0"/>
                <w:sz w:val="24"/>
                <w:lang w:eastAsia="zh-CN"/>
              </w:rPr>
              <w:t>；</w:t>
            </w:r>
          </w:p>
          <w:p w14:paraId="326C0F45">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both"/>
              <w:textAlignment w:val="auto"/>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审批时间：2023年</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lang w:eastAsia="zh-CN"/>
              </w:rPr>
              <w:t>月</w:t>
            </w:r>
            <w:r>
              <w:rPr>
                <w:rFonts w:hint="eastAsia" w:ascii="Times New Roman" w:hAnsi="Times New Roman" w:eastAsia="宋体" w:cs="Times New Roman"/>
                <w:color w:val="auto"/>
                <w:kern w:val="0"/>
                <w:sz w:val="24"/>
                <w:lang w:val="en-US" w:eastAsia="zh-CN"/>
              </w:rPr>
              <w:t>13</w:t>
            </w:r>
            <w:r>
              <w:rPr>
                <w:rFonts w:hint="default" w:ascii="Times New Roman" w:hAnsi="Times New Roman" w:eastAsia="宋体" w:cs="Times New Roman"/>
                <w:color w:val="auto"/>
                <w:kern w:val="0"/>
                <w:sz w:val="24"/>
                <w:lang w:eastAsia="zh-CN"/>
              </w:rPr>
              <w:t>日；</w:t>
            </w:r>
          </w:p>
          <w:p w14:paraId="6B26AD1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审批文件名称及文号：</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玉溪市</w:t>
            </w:r>
            <w:r>
              <w:rPr>
                <w:rFonts w:hint="default" w:ascii="Times New Roman" w:hAnsi="Times New Roman" w:eastAsia="宋体" w:cs="Times New Roman"/>
                <w:color w:val="auto"/>
                <w:kern w:val="0"/>
                <w:sz w:val="24"/>
                <w:szCs w:val="24"/>
                <w:lang w:val="en-US" w:eastAsia="zh-CN"/>
              </w:rPr>
              <w:t>人民政府关于</w:t>
            </w:r>
            <w:r>
              <w:rPr>
                <w:rFonts w:hint="default" w:ascii="Times New Roman" w:hAnsi="Times New Roman" w:eastAsia="宋体" w:cs="Times New Roman"/>
                <w:color w:val="auto"/>
                <w:sz w:val="24"/>
              </w:rPr>
              <w:t>云南</w:t>
            </w:r>
            <w:r>
              <w:rPr>
                <w:rFonts w:hint="eastAsia" w:cs="Times New Roman"/>
                <w:color w:val="auto"/>
                <w:sz w:val="24"/>
                <w:lang w:val="en-US" w:eastAsia="zh-CN"/>
              </w:rPr>
              <w:t>易门</w:t>
            </w:r>
            <w:r>
              <w:rPr>
                <w:rFonts w:hint="default" w:ascii="Times New Roman" w:hAnsi="Times New Roman" w:eastAsia="宋体" w:cs="Times New Roman"/>
                <w:color w:val="auto"/>
                <w:sz w:val="24"/>
              </w:rPr>
              <w:t>产业园区总体规划</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修编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（2021~2035年）</w:t>
            </w:r>
            <w:r>
              <w:rPr>
                <w:rFonts w:hint="default" w:ascii="Times New Roman" w:hAnsi="Times New Roman" w:eastAsia="宋体" w:cs="Times New Roman"/>
                <w:color w:val="auto"/>
                <w:sz w:val="24"/>
                <w:lang w:val="en-US" w:eastAsia="zh-CN"/>
              </w:rPr>
              <w:t>的批复</w:t>
            </w:r>
            <w:r>
              <w:rPr>
                <w:rFonts w:hint="default" w:ascii="Times New Roman" w:hAnsi="Times New Roman" w:eastAsia="宋体" w:cs="Times New Roman"/>
                <w:color w:val="auto"/>
                <w:kern w:val="0"/>
                <w:sz w:val="24"/>
                <w:szCs w:val="24"/>
                <w:lang w:eastAsia="zh-CN"/>
              </w:rPr>
              <w:t>》</w:t>
            </w:r>
            <w:r>
              <w:rPr>
                <w:rFonts w:hint="eastAsia" w:ascii="宋体" w:hAnsi="宋体" w:eastAsia="宋体" w:cs="宋体"/>
                <w:color w:val="auto"/>
                <w:kern w:val="0"/>
                <w:sz w:val="24"/>
                <w:szCs w:val="24"/>
                <w:highlight w:val="none"/>
                <w:lang w:val="en-US" w:eastAsia="zh-CN" w:bidi="ar"/>
              </w:rPr>
              <w:t>（玉政复〔</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9</w:t>
            </w:r>
            <w:r>
              <w:rPr>
                <w:rFonts w:hint="eastAsia" w:ascii="宋体" w:hAnsi="宋体" w:eastAsia="宋体" w:cs="宋体"/>
                <w:color w:val="auto"/>
                <w:kern w:val="0"/>
                <w:sz w:val="24"/>
                <w:szCs w:val="24"/>
                <w:highlight w:val="none"/>
                <w:lang w:val="en-US" w:eastAsia="zh-CN" w:bidi="ar"/>
              </w:rPr>
              <w:t>号）</w:t>
            </w:r>
            <w:r>
              <w:rPr>
                <w:rFonts w:hint="eastAsia" w:ascii="Times New Roman" w:hAnsi="Times New Roman" w:eastAsia="宋体"/>
                <w:color w:val="auto"/>
                <w:kern w:val="0"/>
                <w:sz w:val="24"/>
                <w:szCs w:val="24"/>
                <w:lang w:eastAsia="zh-CN"/>
              </w:rPr>
              <w:t>。</w:t>
            </w:r>
          </w:p>
        </w:tc>
      </w:tr>
      <w:tr w14:paraId="065C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pct"/>
            <w:gridSpan w:val="2"/>
            <w:tcBorders>
              <w:tl2br w:val="nil"/>
              <w:tr2bl w:val="nil"/>
            </w:tcBorders>
            <w:noWrap w:val="0"/>
            <w:vAlign w:val="center"/>
          </w:tcPr>
          <w:p w14:paraId="3F7BC6FB">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规划环境影响</w:t>
            </w:r>
          </w:p>
          <w:p w14:paraId="01437A6B">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评价情况</w:t>
            </w:r>
          </w:p>
        </w:tc>
        <w:tc>
          <w:tcPr>
            <w:tcW w:w="3920" w:type="pct"/>
            <w:gridSpan w:val="3"/>
            <w:tcBorders>
              <w:tl2br w:val="nil"/>
              <w:tr2bl w:val="nil"/>
            </w:tcBorders>
            <w:noWrap w:val="0"/>
            <w:vAlign w:val="center"/>
          </w:tcPr>
          <w:p w14:paraId="28675A1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规划环评名称：《云南</w:t>
            </w:r>
            <w:r>
              <w:rPr>
                <w:rFonts w:hint="eastAsia" w:ascii="Times New Roman" w:hAnsi="Times New Roman" w:eastAsia="宋体" w:cs="Times New Roman"/>
                <w:color w:val="auto"/>
                <w:kern w:val="0"/>
                <w:sz w:val="24"/>
                <w:lang w:val="en-US" w:eastAsia="zh-CN"/>
              </w:rPr>
              <w:t>易门产业园区</w:t>
            </w:r>
            <w:r>
              <w:rPr>
                <w:rFonts w:hint="default" w:ascii="Times New Roman" w:hAnsi="Times New Roman" w:eastAsia="宋体" w:cs="Times New Roman"/>
                <w:color w:val="auto"/>
                <w:kern w:val="0"/>
                <w:sz w:val="24"/>
              </w:rPr>
              <w:t>总体规划</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修编</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（2021~2035年）环境影响报告书》；</w:t>
            </w:r>
          </w:p>
          <w:p w14:paraId="0445659C">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审查机关：玉溪市生态环境局；</w:t>
            </w:r>
          </w:p>
          <w:p w14:paraId="5C7223F7">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审批时间：202</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lang w:eastAsia="zh-CN"/>
              </w:rPr>
              <w:t>年</w:t>
            </w:r>
            <w:r>
              <w:rPr>
                <w:rFonts w:hint="eastAsia" w:ascii="Times New Roman" w:hAnsi="Times New Roman" w:eastAsia="宋体" w:cs="Times New Roman"/>
                <w:color w:val="auto"/>
                <w:kern w:val="0"/>
                <w:sz w:val="24"/>
                <w:lang w:val="en-US" w:eastAsia="zh-CN"/>
              </w:rPr>
              <w:t>9</w:t>
            </w:r>
            <w:r>
              <w:rPr>
                <w:rFonts w:hint="default" w:ascii="Times New Roman" w:hAnsi="Times New Roman" w:eastAsia="宋体" w:cs="Times New Roman"/>
                <w:color w:val="auto"/>
                <w:kern w:val="0"/>
                <w:sz w:val="24"/>
                <w:lang w:eastAsia="zh-CN"/>
              </w:rPr>
              <w:t>月</w:t>
            </w:r>
            <w:r>
              <w:rPr>
                <w:rFonts w:hint="eastAsia" w:ascii="Times New Roman" w:hAnsi="Times New Roman" w:eastAsia="宋体" w:cs="Times New Roman"/>
                <w:color w:val="auto"/>
                <w:kern w:val="0"/>
                <w:sz w:val="24"/>
                <w:lang w:val="en-US" w:eastAsia="zh-CN"/>
              </w:rPr>
              <w:t>28</w:t>
            </w:r>
            <w:r>
              <w:rPr>
                <w:rFonts w:hint="default" w:ascii="Times New Roman" w:hAnsi="Times New Roman" w:eastAsia="宋体" w:cs="Times New Roman"/>
                <w:color w:val="auto"/>
                <w:kern w:val="0"/>
                <w:sz w:val="24"/>
                <w:lang w:eastAsia="zh-CN"/>
              </w:rPr>
              <w:t>日；</w:t>
            </w:r>
          </w:p>
          <w:p w14:paraId="6A86D96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审查文件名称及文号：玉溪市生态环境局关于《云南</w:t>
            </w:r>
            <w:r>
              <w:rPr>
                <w:rFonts w:hint="eastAsia" w:ascii="Times New Roman" w:hAnsi="Times New Roman" w:eastAsia="宋体" w:cs="Times New Roman"/>
                <w:color w:val="auto"/>
                <w:kern w:val="0"/>
                <w:sz w:val="24"/>
                <w:lang w:val="en-US" w:eastAsia="zh-CN"/>
              </w:rPr>
              <w:t>易门</w:t>
            </w:r>
            <w:r>
              <w:rPr>
                <w:rFonts w:hint="default" w:ascii="Times New Roman" w:hAnsi="Times New Roman" w:eastAsia="宋体" w:cs="Times New Roman"/>
                <w:color w:val="auto"/>
                <w:kern w:val="0"/>
                <w:sz w:val="24"/>
              </w:rPr>
              <w:t>产业园区总体规划</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修编</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（2021~2035年）环境影响报告书》审查意见的函</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玉市环函〔202</w:t>
            </w:r>
            <w:r>
              <w:rPr>
                <w:rFonts w:hint="eastAsia" w:cs="Times New Roman"/>
                <w:color w:val="auto"/>
                <w:kern w:val="0"/>
                <w:sz w:val="24"/>
                <w:lang w:val="en-US" w:eastAsia="zh-CN"/>
              </w:rPr>
              <w:t>2</w:t>
            </w:r>
            <w:r>
              <w:rPr>
                <w:rFonts w:hint="default" w:ascii="Times New Roman" w:hAnsi="Times New Roman" w:eastAsia="宋体" w:cs="Times New Roman"/>
                <w:color w:val="auto"/>
                <w:kern w:val="0"/>
                <w:sz w:val="24"/>
              </w:rPr>
              <w:t>〕</w:t>
            </w:r>
            <w:r>
              <w:rPr>
                <w:rFonts w:hint="eastAsia" w:cs="Times New Roman"/>
                <w:color w:val="auto"/>
                <w:kern w:val="0"/>
                <w:sz w:val="24"/>
                <w:lang w:val="en-US" w:eastAsia="zh-CN"/>
              </w:rPr>
              <w:t>32</w:t>
            </w:r>
            <w:r>
              <w:rPr>
                <w:rFonts w:hint="default" w:ascii="Times New Roman" w:hAnsi="Times New Roman" w:eastAsia="宋体" w:cs="Times New Roman"/>
                <w:color w:val="auto"/>
                <w:kern w:val="0"/>
                <w:sz w:val="24"/>
              </w:rPr>
              <w:t>号</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p>
        </w:tc>
      </w:tr>
      <w:tr w14:paraId="1F2C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4" w:type="pct"/>
            <w:tcBorders>
              <w:tl2br w:val="nil"/>
              <w:tr2bl w:val="nil"/>
            </w:tcBorders>
            <w:noWrap w:val="0"/>
            <w:vAlign w:val="center"/>
          </w:tcPr>
          <w:p w14:paraId="0A1ED717">
            <w:pPr>
              <w:pStyle w:val="3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规划及规划环境影响评价符合性分析</w:t>
            </w:r>
          </w:p>
        </w:tc>
        <w:tc>
          <w:tcPr>
            <w:tcW w:w="4385" w:type="pct"/>
            <w:gridSpan w:val="4"/>
            <w:tcBorders>
              <w:tl2br w:val="nil"/>
              <w:tr2bl w:val="nil"/>
            </w:tcBorders>
            <w:noWrap w:val="0"/>
            <w:vAlign w:val="center"/>
          </w:tcPr>
          <w:p w14:paraId="7FF5070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ascii="Times New Roman" w:hAnsi="Times New Roman"/>
                <w:b/>
                <w:bCs/>
                <w:color w:val="auto"/>
                <w:kern w:val="0"/>
                <w:sz w:val="24"/>
              </w:rPr>
            </w:pPr>
            <w:r>
              <w:rPr>
                <w:rFonts w:hint="eastAsia" w:ascii="Times New Roman" w:hAnsi="Times New Roman"/>
                <w:b/>
                <w:bCs/>
                <w:color w:val="auto"/>
                <w:sz w:val="24"/>
                <w:lang w:val="en-US" w:eastAsia="zh-CN"/>
              </w:rPr>
              <w:t>1、项目</w:t>
            </w:r>
            <w:r>
              <w:rPr>
                <w:rFonts w:ascii="Times New Roman" w:hAnsi="Times New Roman"/>
                <w:b/>
                <w:bCs/>
                <w:color w:val="auto"/>
                <w:kern w:val="0"/>
                <w:sz w:val="24"/>
              </w:rPr>
              <w:t>与《云南</w:t>
            </w:r>
            <w:r>
              <w:rPr>
                <w:rFonts w:hint="eastAsia" w:ascii="Times New Roman" w:hAnsi="Times New Roman"/>
                <w:b/>
                <w:bCs/>
                <w:color w:val="auto"/>
                <w:kern w:val="0"/>
                <w:sz w:val="24"/>
                <w:lang w:val="en-US" w:eastAsia="zh-CN"/>
              </w:rPr>
              <w:t>易门</w:t>
            </w:r>
            <w:r>
              <w:rPr>
                <w:rFonts w:ascii="Times New Roman" w:hAnsi="Times New Roman"/>
                <w:b/>
                <w:bCs/>
                <w:color w:val="auto"/>
                <w:kern w:val="0"/>
                <w:sz w:val="24"/>
              </w:rPr>
              <w:t>产业园区总体规划</w:t>
            </w: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修编</w:t>
            </w:r>
            <w:r>
              <w:rPr>
                <w:rFonts w:hint="eastAsia" w:ascii="Times New Roman" w:hAnsi="Times New Roman"/>
                <w:b/>
                <w:bCs/>
                <w:color w:val="auto"/>
                <w:kern w:val="0"/>
                <w:sz w:val="24"/>
                <w:lang w:eastAsia="zh-CN"/>
              </w:rPr>
              <w:t>）</w:t>
            </w:r>
            <w:r>
              <w:rPr>
                <w:rFonts w:ascii="Times New Roman" w:hAnsi="Times New Roman"/>
                <w:b/>
                <w:bCs/>
                <w:color w:val="auto"/>
                <w:kern w:val="0"/>
                <w:sz w:val="24"/>
              </w:rPr>
              <w:t>（2021~2035年）》产业定位相符性分析</w:t>
            </w:r>
          </w:p>
          <w:p w14:paraId="158362A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根据《云南易门产业园区总体规划（修编）（2021-2035）》，规划期限为2021-2035年，按照</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一园四片区六区块</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进行空间布局，包括大椿树片区（分为大椿树区块和韩所区块）、麦子田片区、梅曾片区（分为曾所区块和南侧的梅营区块）和六街片区，打造</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一主三辅</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产业布局，以有色金属为主导产业（稀贵金属和铜为重点），以绿色建材产业、生物资源加工产业（绿色食品和生物医药为重点）、装备制造产业为辅助产业。规划总用地面积29.20平方公里，包括4个片区6个区块，包括大椿树片区（13.08平方公里）、麦子田片区（5.93平方公里）、梅曾片区（9.18平方公里）和六街片区（1.01平方公里）4个片区。</w:t>
            </w:r>
          </w:p>
          <w:p w14:paraId="490F72B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000000" w:themeColor="text1"/>
                <w:sz w:val="24"/>
                <w:szCs w:val="24"/>
                <w14:textFill>
                  <w14:solidFill>
                    <w14:schemeClr w14:val="tx1"/>
                  </w14:solidFill>
                </w14:textFill>
              </w:rPr>
              <w:t>大椿树片区产业定位为循环经济产业示范区，重点发展有色金属产业（以稀贵金属和铜为重点）、绿色建材产业（以水泥及制品为主体，以陶瓷建材为特点），并综合发展现代物流产业、固废综合利用产业等。充分结合产业之间的资源共享，提升资源综合利用率，发展多种产业互补的循环产业。</w:t>
            </w:r>
          </w:p>
          <w:p w14:paraId="18DC90E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本项目位于大椿树片区，属于改建项目，在既有厂区进行改建，不新增占地，根据大椿树片区用地规划，用地性质为三类工业用地，符合用地布局要求；易门铜业有限公司主要从事铜矿有色金属冶炼，</w:t>
            </w:r>
            <w:r>
              <w:rPr>
                <w:rFonts w:hint="eastAsia" w:cs="Times New Roman"/>
                <w:color w:val="auto"/>
                <w:kern w:val="0"/>
                <w:sz w:val="24"/>
                <w:lang w:val="en-US" w:eastAsia="zh-CN"/>
              </w:rPr>
              <w:t>本项目利用公司冶炼渣进行选矿，属于资源综合利用业</w:t>
            </w:r>
            <w:r>
              <w:rPr>
                <w:rFonts w:hint="default" w:ascii="Times New Roman" w:hAnsi="Times New Roman" w:eastAsia="宋体" w:cs="Times New Roman"/>
                <w:color w:val="auto"/>
                <w:kern w:val="0"/>
                <w:sz w:val="24"/>
                <w:lang w:val="en-US" w:eastAsia="zh-CN"/>
              </w:rPr>
              <w:t>，符合</w:t>
            </w:r>
            <w:r>
              <w:rPr>
                <w:rFonts w:hint="eastAsia" w:cs="Times New Roman"/>
                <w:color w:val="auto"/>
                <w:kern w:val="0"/>
                <w:sz w:val="24"/>
                <w:lang w:val="en-US" w:eastAsia="zh-CN"/>
              </w:rPr>
              <w:t>固废综合利用</w:t>
            </w:r>
            <w:r>
              <w:rPr>
                <w:rFonts w:hint="default" w:ascii="Times New Roman" w:hAnsi="Times New Roman" w:eastAsia="宋体" w:cs="Times New Roman"/>
                <w:color w:val="auto"/>
                <w:kern w:val="0"/>
                <w:sz w:val="24"/>
                <w:lang w:val="en-US" w:eastAsia="zh-CN"/>
              </w:rPr>
              <w:t>的产业定位及发展方向，符合《云南易门产业园区总体规划（修编）（2021-2035）》。</w:t>
            </w:r>
          </w:p>
          <w:p w14:paraId="512BEDF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2、</w:t>
            </w:r>
            <w:r>
              <w:rPr>
                <w:rFonts w:hint="eastAsia" w:ascii="Times New Roman" w:hAnsi="Times New Roman" w:eastAsia="宋体" w:cs="Times New Roman"/>
                <w:b/>
                <w:bCs/>
                <w:color w:val="auto"/>
                <w:sz w:val="24"/>
                <w:lang w:val="en-US" w:eastAsia="zh-CN"/>
              </w:rPr>
              <w:t>与《云南易门产业园区总体规划（修编）（2021~2035年）环境影响报告书》符合性分析</w:t>
            </w:r>
          </w:p>
          <w:p w14:paraId="24ABD92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根据《云南易门产业园区总体规划（修编）（</w:t>
            </w:r>
            <w:r>
              <w:rPr>
                <w:rFonts w:hint="default" w:ascii="Times New Roman" w:hAnsi="Times New Roman" w:eastAsia="宋体" w:cs="Times New Roman"/>
                <w:color w:val="auto"/>
                <w:kern w:val="0"/>
                <w:sz w:val="24"/>
                <w:lang w:val="en-US" w:eastAsia="zh-CN"/>
              </w:rPr>
              <w:t>2021-2035</w:t>
            </w:r>
            <w:r>
              <w:rPr>
                <w:rFonts w:hint="eastAsia" w:ascii="Times New Roman" w:hAnsi="Times New Roman" w:eastAsia="宋体" w:cs="Times New Roman"/>
                <w:color w:val="auto"/>
                <w:kern w:val="0"/>
                <w:sz w:val="24"/>
                <w:lang w:val="en-US" w:eastAsia="zh-CN"/>
              </w:rPr>
              <w:t>）环境影响报告书》，企业对比入驻项目环保要求如下分析：</w:t>
            </w:r>
          </w:p>
          <w:p w14:paraId="2BF75CC4">
            <w:pPr>
              <w:keepNext w:val="0"/>
              <w:keepLines w:val="0"/>
              <w:pageBreakBefore w:val="0"/>
              <w:widowControl w:val="0"/>
              <w:kinsoku/>
              <w:wordWrap/>
              <w:overflowPunct/>
              <w:topLinePunct/>
              <w:autoSpaceDE/>
              <w:autoSpaceDN/>
              <w:bidi w:val="0"/>
              <w:adjustRightInd w:val="0"/>
              <w:snapToGrid w:val="0"/>
              <w:spacing w:line="360" w:lineRule="auto"/>
              <w:ind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表1-2   项目建设</w:t>
            </w:r>
            <w:r>
              <w:rPr>
                <w:rFonts w:hint="eastAsia" w:ascii="黑体" w:hAnsi="黑体" w:eastAsia="黑体" w:cs="黑体"/>
                <w:b w:val="0"/>
                <w:bCs w:val="0"/>
                <w:color w:val="auto"/>
                <w:sz w:val="21"/>
                <w:szCs w:val="21"/>
              </w:rPr>
              <w:t>与规划环评（2021</w:t>
            </w:r>
            <w:r>
              <w:rPr>
                <w:rFonts w:hint="default" w:ascii="Times New Roman" w:hAnsi="Times New Roman" w:eastAsia="黑体" w:cs="Times New Roman"/>
                <w:b w:val="0"/>
                <w:bCs w:val="0"/>
                <w:color w:val="auto"/>
                <w:sz w:val="21"/>
                <w:szCs w:val="21"/>
                <w:lang w:val="en-US" w:eastAsia="zh-CN"/>
              </w:rPr>
              <w:t>~</w:t>
            </w:r>
            <w:r>
              <w:rPr>
                <w:rFonts w:hint="eastAsia" w:ascii="黑体" w:hAnsi="黑体" w:eastAsia="黑体" w:cs="黑体"/>
                <w:b w:val="0"/>
                <w:bCs w:val="0"/>
                <w:color w:val="auto"/>
                <w:sz w:val="21"/>
                <w:szCs w:val="21"/>
              </w:rPr>
              <w:t>2035年）符合性分析</w:t>
            </w:r>
          </w:p>
          <w:tbl>
            <w:tblPr>
              <w:tblStyle w:val="2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434"/>
              <w:gridCol w:w="3881"/>
              <w:gridCol w:w="1808"/>
              <w:gridCol w:w="452"/>
            </w:tblGrid>
            <w:tr w14:paraId="211281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3387" w:type="pct"/>
                  <w:gridSpan w:val="3"/>
                  <w:tcBorders>
                    <w:tl2br w:val="nil"/>
                    <w:tr2bl w:val="nil"/>
                  </w:tcBorders>
                  <w:noWrap w:val="0"/>
                  <w:vAlign w:val="center"/>
                </w:tcPr>
                <w:p w14:paraId="468C4503">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10"/>
                      <w:sz w:val="18"/>
                      <w:szCs w:val="18"/>
                      <w:lang w:val="en-US" w:eastAsia="zh-CN"/>
                    </w:rPr>
                  </w:pPr>
                  <w:r>
                    <w:rPr>
                      <w:rFonts w:hint="default" w:ascii="Times New Roman" w:hAnsi="Times New Roman" w:cs="Times New Roman"/>
                      <w:b w:val="0"/>
                      <w:bCs w:val="0"/>
                      <w:snapToGrid w:val="0"/>
                      <w:color w:val="auto"/>
                      <w:kern w:val="10"/>
                      <w:sz w:val="18"/>
                      <w:szCs w:val="18"/>
                      <w:lang w:val="en-US" w:eastAsia="zh-CN"/>
                    </w:rPr>
                    <w:t>规划环评要求</w:t>
                  </w:r>
                </w:p>
              </w:tc>
              <w:tc>
                <w:tcPr>
                  <w:tcW w:w="1289" w:type="pct"/>
                  <w:tcBorders>
                    <w:tl2br w:val="nil"/>
                    <w:tr2bl w:val="nil"/>
                  </w:tcBorders>
                  <w:noWrap w:val="0"/>
                  <w:vAlign w:val="center"/>
                </w:tcPr>
                <w:p w14:paraId="1247AB0A">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本项目情况</w:t>
                  </w:r>
                </w:p>
              </w:tc>
              <w:tc>
                <w:tcPr>
                  <w:tcW w:w="322" w:type="pct"/>
                  <w:tcBorders>
                    <w:tl2br w:val="nil"/>
                    <w:tr2bl w:val="nil"/>
                  </w:tcBorders>
                  <w:noWrap w:val="0"/>
                  <w:vAlign w:val="center"/>
                </w:tcPr>
                <w:p w14:paraId="4A2C4C42">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符合性</w:t>
                  </w:r>
                </w:p>
              </w:tc>
            </w:tr>
            <w:tr w14:paraId="3B9156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20" w:type="pct"/>
                  <w:gridSpan w:val="2"/>
                  <w:tcBorders>
                    <w:tl2br w:val="nil"/>
                    <w:tr2bl w:val="nil"/>
                  </w:tcBorders>
                  <w:noWrap w:val="0"/>
                  <w:vAlign w:val="center"/>
                </w:tcPr>
                <w:p w14:paraId="6BA9BC1B">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园区企业管理</w:t>
                  </w:r>
                </w:p>
              </w:tc>
              <w:tc>
                <w:tcPr>
                  <w:tcW w:w="2767" w:type="pct"/>
                  <w:tcBorders>
                    <w:tl2br w:val="nil"/>
                    <w:tr2bl w:val="nil"/>
                  </w:tcBorders>
                  <w:noWrap w:val="0"/>
                  <w:vAlign w:val="center"/>
                </w:tcPr>
                <w:p w14:paraId="1BDEB11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科学筛选入园项目：对入园企业进行严格筛选，要求入园企业不仅应具有市场潜力大、产业联动效果好、高技术、高附加值的特点，还必须是低污染、低耗能的企业。属不符合产业政策、不符合园区规划的行业、达不到规定的清洁生产水平的企业严禁入园。</w:t>
                  </w:r>
                </w:p>
              </w:tc>
              <w:tc>
                <w:tcPr>
                  <w:tcW w:w="1289" w:type="pct"/>
                  <w:tcBorders>
                    <w:tl2br w:val="nil"/>
                    <w:tr2bl w:val="nil"/>
                  </w:tcBorders>
                  <w:noWrap w:val="0"/>
                  <w:vAlign w:val="center"/>
                </w:tcPr>
                <w:p w14:paraId="6C16937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本项目为易门铜业渣选工艺流程提效升级改造项目，易门铜业主要从事铜矿有色金属冶炼，符合大椿树片区产业定位，</w:t>
                  </w:r>
                  <w:r>
                    <w:rPr>
                      <w:rFonts w:hint="default" w:ascii="Times New Roman" w:hAnsi="Times New Roman" w:cs="Times New Roman"/>
                      <w:color w:val="000000"/>
                      <w:kern w:val="0"/>
                      <w:sz w:val="18"/>
                      <w:szCs w:val="18"/>
                      <w:lang w:val="en-US" w:eastAsia="zh-CN" w:bidi="ar"/>
                    </w:rPr>
                    <w:t>项目</w:t>
                  </w:r>
                  <w:r>
                    <w:rPr>
                      <w:rFonts w:hint="default" w:ascii="Times New Roman" w:hAnsi="Times New Roman" w:eastAsia="宋体" w:cs="Times New Roman"/>
                      <w:color w:val="000000"/>
                      <w:kern w:val="0"/>
                      <w:sz w:val="18"/>
                      <w:szCs w:val="18"/>
                      <w:lang w:val="en-US" w:eastAsia="zh-CN" w:bidi="ar"/>
                    </w:rPr>
                    <w:t>属于《产业结构调整指导目录》（2024年本）第一类鼓励类中：</w:t>
                  </w:r>
                  <w:r>
                    <w:rPr>
                      <w:rFonts w:hint="default" w:ascii="Times New Roman" w:hAnsi="Times New Roman"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四十二、环境保护与资源节约综合利用中8．废弃物循环利用，废有色金属综合利用</w:t>
                  </w:r>
                  <w:r>
                    <w:rPr>
                      <w:rFonts w:hint="default" w:ascii="Times New Roman" w:hAnsi="Times New Roman"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项目</w:t>
                  </w:r>
                  <w:r>
                    <w:rPr>
                      <w:rFonts w:hint="default" w:ascii="Times New Roman" w:hAnsi="Times New Roman" w:cs="Times New Roman"/>
                      <w:color w:val="000000"/>
                      <w:kern w:val="0"/>
                      <w:sz w:val="18"/>
                      <w:szCs w:val="18"/>
                      <w:lang w:val="en-US" w:eastAsia="zh-CN" w:bidi="ar"/>
                    </w:rPr>
                    <w:t>，符合产业政策定位，项目生产能达到规定的清洁生产水平</w:t>
                  </w:r>
                  <w:r>
                    <w:rPr>
                      <w:rFonts w:hint="default" w:ascii="Times New Roman" w:hAnsi="Times New Roman" w:eastAsia="宋体" w:cs="Times New Roman"/>
                      <w:color w:val="000000"/>
                      <w:kern w:val="0"/>
                      <w:sz w:val="18"/>
                      <w:szCs w:val="18"/>
                      <w:lang w:val="en-US" w:eastAsia="zh-CN" w:bidi="ar"/>
                    </w:rPr>
                    <w:t>。</w:t>
                  </w:r>
                </w:p>
              </w:tc>
              <w:tc>
                <w:tcPr>
                  <w:tcW w:w="322" w:type="pct"/>
                  <w:tcBorders>
                    <w:tl2br w:val="nil"/>
                    <w:tr2bl w:val="nil"/>
                  </w:tcBorders>
                  <w:noWrap w:val="0"/>
                  <w:vAlign w:val="center"/>
                </w:tcPr>
                <w:p w14:paraId="1907F4C3">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1E797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0" w:type="pct"/>
                  <w:vMerge w:val="restart"/>
                  <w:tcBorders>
                    <w:tl2br w:val="nil"/>
                    <w:tr2bl w:val="nil"/>
                  </w:tcBorders>
                  <w:noWrap w:val="0"/>
                  <w:vAlign w:val="center"/>
                </w:tcPr>
                <w:p w14:paraId="3FB00D68">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环境准入</w:t>
                  </w:r>
                </w:p>
              </w:tc>
              <w:tc>
                <w:tcPr>
                  <w:tcW w:w="310" w:type="pct"/>
                  <w:vMerge w:val="restart"/>
                  <w:tcBorders>
                    <w:tl2br w:val="nil"/>
                    <w:tr2bl w:val="nil"/>
                  </w:tcBorders>
                  <w:noWrap w:val="0"/>
                  <w:vAlign w:val="center"/>
                </w:tcPr>
                <w:p w14:paraId="46155F1B">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空间布局约束</w:t>
                  </w:r>
                </w:p>
              </w:tc>
              <w:tc>
                <w:tcPr>
                  <w:tcW w:w="2767" w:type="pct"/>
                  <w:tcBorders>
                    <w:tl2br w:val="nil"/>
                    <w:tr2bl w:val="nil"/>
                  </w:tcBorders>
                  <w:noWrap w:val="0"/>
                  <w:vAlign w:val="center"/>
                </w:tcPr>
                <w:p w14:paraId="404B27E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严禁“十小”企业进入园区。确保排放总量不超过单元允许排放量。不得引进无法解决水环境容量的企业。加快产业结构转型升级，淘汰和限制耗水量大、水污染物排放量大的行业和产品。</w:t>
                  </w:r>
                </w:p>
              </w:tc>
              <w:tc>
                <w:tcPr>
                  <w:tcW w:w="1289" w:type="pct"/>
                  <w:tcBorders>
                    <w:tl2br w:val="nil"/>
                    <w:tr2bl w:val="nil"/>
                  </w:tcBorders>
                  <w:noWrap w:val="0"/>
                  <w:vAlign w:val="center"/>
                </w:tcPr>
                <w:p w14:paraId="56A3693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本项目为易门铜业渣选工艺流程提效升级改造项目，</w:t>
                  </w:r>
                  <w:r>
                    <w:rPr>
                      <w:rFonts w:hint="default" w:ascii="Times New Roman" w:hAnsi="Times New Roman" w:cs="Times New Roman"/>
                      <w:color w:val="000000"/>
                      <w:kern w:val="0"/>
                      <w:sz w:val="18"/>
                      <w:szCs w:val="18"/>
                      <w:lang w:val="en-US" w:eastAsia="zh-CN" w:bidi="ar"/>
                    </w:rPr>
                    <w:t>本项目</w:t>
                  </w:r>
                  <w:r>
                    <w:rPr>
                      <w:rFonts w:hint="default" w:ascii="Times New Roman" w:hAnsi="Times New Roman" w:eastAsia="宋体" w:cs="Times New Roman"/>
                      <w:color w:val="000000"/>
                      <w:kern w:val="0"/>
                      <w:sz w:val="18"/>
                      <w:szCs w:val="18"/>
                      <w:lang w:val="en-US" w:eastAsia="zh-CN" w:bidi="ar"/>
                    </w:rPr>
                    <w:t>不属于</w:t>
                  </w:r>
                  <w:r>
                    <w:rPr>
                      <w:rFonts w:hint="eastAsia" w:ascii="Times New Roman" w:hAnsi="Times New Roman" w:cs="Times New Roman"/>
                      <w:color w:val="000000"/>
                      <w:kern w:val="0"/>
                      <w:sz w:val="18"/>
                      <w:szCs w:val="18"/>
                      <w:lang w:val="en-US" w:eastAsia="zh-CN" w:bidi="ar"/>
                    </w:rPr>
                    <w:t>“十小”</w:t>
                  </w:r>
                  <w:r>
                    <w:rPr>
                      <w:rFonts w:hint="default" w:ascii="Times New Roman" w:hAnsi="Times New Roman" w:eastAsia="宋体" w:cs="Times New Roman"/>
                      <w:color w:val="000000"/>
                      <w:kern w:val="0"/>
                      <w:sz w:val="18"/>
                      <w:szCs w:val="18"/>
                      <w:lang w:val="en-US" w:eastAsia="zh-CN" w:bidi="ar"/>
                    </w:rPr>
                    <w:t>企业，项目生产废水循环回用，不外排，不属于水污染物排放量大的行业。</w:t>
                  </w:r>
                </w:p>
              </w:tc>
              <w:tc>
                <w:tcPr>
                  <w:tcW w:w="322" w:type="pct"/>
                  <w:tcBorders>
                    <w:tl2br w:val="nil"/>
                    <w:tr2bl w:val="nil"/>
                  </w:tcBorders>
                  <w:noWrap w:val="0"/>
                  <w:vAlign w:val="center"/>
                </w:tcPr>
                <w:p w14:paraId="4CEE6CE9">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5ED62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0" w:type="pct"/>
                  <w:vMerge w:val="continue"/>
                  <w:tcBorders>
                    <w:tl2br w:val="nil"/>
                    <w:tr2bl w:val="nil"/>
                  </w:tcBorders>
                  <w:noWrap w:val="0"/>
                  <w:vAlign w:val="center"/>
                </w:tcPr>
                <w:p w14:paraId="17CC7248">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cs="Times New Roman"/>
                      <w:sz w:val="18"/>
                      <w:szCs w:val="18"/>
                    </w:rPr>
                  </w:pPr>
                </w:p>
              </w:tc>
              <w:tc>
                <w:tcPr>
                  <w:tcW w:w="310" w:type="pct"/>
                  <w:vMerge w:val="continue"/>
                  <w:tcBorders>
                    <w:tl2br w:val="nil"/>
                    <w:tr2bl w:val="nil"/>
                  </w:tcBorders>
                  <w:noWrap w:val="0"/>
                  <w:vAlign w:val="center"/>
                </w:tcPr>
                <w:p w14:paraId="06A4D87C">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67" w:type="pct"/>
                  <w:tcBorders>
                    <w:tl2br w:val="nil"/>
                    <w:tr2bl w:val="nil"/>
                  </w:tcBorders>
                  <w:noWrap w:val="0"/>
                  <w:vAlign w:val="center"/>
                </w:tcPr>
                <w:p w14:paraId="5403EC9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园区大气环境受体敏感区重点控制区按大气环境受体敏感区管控要求进行规划管控。严控涉及大气污染排放的工业项目布局建设；禁止新建、扩建采用非清洁燃料的项目和设施现有产污企业应持续开展节能减排，制定改用清洁能源时间表；严格限制新建可能对主城区大气产生影响的燃用煤、重油等高污染燃料的工业项目。禁止焚烧生活垃圾、建筑垃圾、环卫清扫物等废弃物。</w:t>
                  </w:r>
                </w:p>
              </w:tc>
              <w:tc>
                <w:tcPr>
                  <w:tcW w:w="1289" w:type="pct"/>
                  <w:tcBorders>
                    <w:tl2br w:val="nil"/>
                    <w:tr2bl w:val="nil"/>
                  </w:tcBorders>
                  <w:noWrap w:val="0"/>
                  <w:vAlign w:val="center"/>
                </w:tcPr>
                <w:p w14:paraId="1462FE8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本项目属于改建项目，使用能源主要为电能，为清洁燃料，不涉及焚烧生活垃圾、建筑垃圾、环卫清扫物等废弃物。</w:t>
                  </w:r>
                </w:p>
              </w:tc>
              <w:tc>
                <w:tcPr>
                  <w:tcW w:w="322" w:type="pct"/>
                  <w:tcBorders>
                    <w:tl2br w:val="nil"/>
                    <w:tr2bl w:val="nil"/>
                  </w:tcBorders>
                  <w:noWrap w:val="0"/>
                  <w:vAlign w:val="center"/>
                </w:tcPr>
                <w:p w14:paraId="6822568B">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4304F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0" w:type="pct"/>
                  <w:vMerge w:val="continue"/>
                  <w:tcBorders>
                    <w:tl2br w:val="nil"/>
                    <w:tr2bl w:val="nil"/>
                  </w:tcBorders>
                  <w:noWrap w:val="0"/>
                  <w:vAlign w:val="center"/>
                </w:tcPr>
                <w:p w14:paraId="67C508B9">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0" w:type="pct"/>
                  <w:vMerge w:val="continue"/>
                  <w:tcBorders>
                    <w:tl2br w:val="nil"/>
                    <w:tr2bl w:val="nil"/>
                  </w:tcBorders>
                  <w:noWrap w:val="0"/>
                  <w:vAlign w:val="center"/>
                </w:tcPr>
                <w:p w14:paraId="2CD53D08">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67" w:type="pct"/>
                  <w:tcBorders>
                    <w:tl2br w:val="nil"/>
                    <w:tr2bl w:val="nil"/>
                  </w:tcBorders>
                  <w:noWrap w:val="0"/>
                  <w:vAlign w:val="center"/>
                </w:tcPr>
                <w:p w14:paraId="06369F9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优化调整产业结构，逐步淘汰不符合园区产业定位的企业，加强培育符合主导产业下游产业链的产业，提高产业附加值，推进产业延链补链强链，塑造绿色发展。</w:t>
                  </w:r>
                </w:p>
              </w:tc>
              <w:tc>
                <w:tcPr>
                  <w:tcW w:w="1289" w:type="pct"/>
                  <w:tcBorders>
                    <w:tl2br w:val="nil"/>
                    <w:tr2bl w:val="nil"/>
                  </w:tcBorders>
                  <w:noWrap w:val="0"/>
                  <w:vAlign w:val="center"/>
                </w:tcPr>
                <w:p w14:paraId="2B0AFA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本项目为易门铜业渣选工艺流程提效升级改造项目，利用铜冶炼渣进行选矿，易门铜业主要从事铜矿有色金属冶炼，符合大椿树片区产业定位。</w:t>
                  </w:r>
                </w:p>
              </w:tc>
              <w:tc>
                <w:tcPr>
                  <w:tcW w:w="322" w:type="pct"/>
                  <w:tcBorders>
                    <w:tl2br w:val="nil"/>
                    <w:tr2bl w:val="nil"/>
                  </w:tcBorders>
                  <w:noWrap w:val="0"/>
                  <w:vAlign w:val="center"/>
                </w:tcPr>
                <w:p w14:paraId="1D90B8E9">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02B538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0" w:type="pct"/>
                  <w:vMerge w:val="continue"/>
                  <w:tcBorders>
                    <w:tl2br w:val="nil"/>
                    <w:tr2bl w:val="nil"/>
                  </w:tcBorders>
                  <w:noWrap w:val="0"/>
                  <w:vAlign w:val="center"/>
                </w:tcPr>
                <w:p w14:paraId="6BC0248C">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0" w:type="pct"/>
                  <w:vMerge w:val="continue"/>
                  <w:tcBorders>
                    <w:tl2br w:val="nil"/>
                    <w:tr2bl w:val="nil"/>
                  </w:tcBorders>
                  <w:noWrap w:val="0"/>
                  <w:vAlign w:val="center"/>
                </w:tcPr>
                <w:p w14:paraId="49AB5774">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67" w:type="pct"/>
                  <w:tcBorders>
                    <w:tl2br w:val="nil"/>
                    <w:tr2bl w:val="nil"/>
                  </w:tcBorders>
                  <w:noWrap w:val="0"/>
                  <w:vAlign w:val="center"/>
                </w:tcPr>
                <w:p w14:paraId="1B3FC0A5">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禁止入驻项目占用水塘、河流等地表水体；严格控制和优化园区水文地质单元内的开发强度，保障一定的降雨补给面积。严格按照园区内地下水环境红线划分及区域布局建议，做好地下水污染防控。</w:t>
                  </w:r>
                </w:p>
              </w:tc>
              <w:tc>
                <w:tcPr>
                  <w:tcW w:w="1289" w:type="pct"/>
                  <w:tcBorders>
                    <w:tl2br w:val="nil"/>
                    <w:tr2bl w:val="nil"/>
                  </w:tcBorders>
                  <w:noWrap w:val="0"/>
                  <w:vAlign w:val="center"/>
                </w:tcPr>
                <w:p w14:paraId="22B7729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本项目属于改建项目，不新增占地，不涉及</w:t>
                  </w:r>
                  <w:r>
                    <w:rPr>
                      <w:rFonts w:hint="default" w:ascii="Times New Roman" w:hAnsi="Times New Roman" w:eastAsia="宋体" w:cs="Times New Roman"/>
                      <w:color w:val="000000"/>
                      <w:kern w:val="0"/>
                      <w:sz w:val="18"/>
                      <w:szCs w:val="18"/>
                      <w:lang w:val="zh-CN" w:eastAsia="zh-CN" w:bidi="ar"/>
                    </w:rPr>
                    <w:t>占用水塘、河流等地表水体，</w:t>
                  </w:r>
                  <w:r>
                    <w:rPr>
                      <w:rFonts w:hint="default" w:ascii="Times New Roman" w:hAnsi="Times New Roman" w:eastAsia="宋体" w:cs="Times New Roman"/>
                      <w:color w:val="000000"/>
                      <w:kern w:val="0"/>
                      <w:sz w:val="18"/>
                      <w:szCs w:val="18"/>
                      <w:lang w:val="en-US" w:eastAsia="zh-CN" w:bidi="ar"/>
                    </w:rPr>
                    <w:t>按要求采取地下水污染防控措施。</w:t>
                  </w:r>
                </w:p>
              </w:tc>
              <w:tc>
                <w:tcPr>
                  <w:tcW w:w="322" w:type="pct"/>
                  <w:tcBorders>
                    <w:tl2br w:val="nil"/>
                    <w:tr2bl w:val="nil"/>
                  </w:tcBorders>
                  <w:noWrap w:val="0"/>
                  <w:vAlign w:val="center"/>
                </w:tcPr>
                <w:p w14:paraId="1DA654D2">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71C743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0" w:type="pct"/>
                  <w:vMerge w:val="continue"/>
                  <w:tcBorders>
                    <w:tl2br w:val="nil"/>
                    <w:tr2bl w:val="nil"/>
                  </w:tcBorders>
                  <w:noWrap w:val="0"/>
                  <w:vAlign w:val="center"/>
                </w:tcPr>
                <w:p w14:paraId="0B57C679">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0" w:type="pct"/>
                  <w:vMerge w:val="continue"/>
                  <w:tcBorders>
                    <w:tl2br w:val="nil"/>
                    <w:tr2bl w:val="nil"/>
                  </w:tcBorders>
                  <w:noWrap w:val="0"/>
                  <w:vAlign w:val="center"/>
                </w:tcPr>
                <w:p w14:paraId="066B160D">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67" w:type="pct"/>
                  <w:tcBorders>
                    <w:tl2br w:val="nil"/>
                    <w:tr2bl w:val="nil"/>
                  </w:tcBorders>
                  <w:noWrap w:val="0"/>
                  <w:vAlign w:val="center"/>
                </w:tcPr>
                <w:p w14:paraId="4C2CD81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严格执行有关行业企业布局选址要求，禁止在居民区和学校、医疗、养老机构等单位周边新建、改建、扩建可能造成土壤污染的建设项目，结合区域功能定位和土壤污染防治需要，科学布局生活垃圾处理、危险废物处置废旧资源再生利用等设施和场所。</w:t>
                  </w:r>
                </w:p>
              </w:tc>
              <w:tc>
                <w:tcPr>
                  <w:tcW w:w="1289" w:type="pct"/>
                  <w:tcBorders>
                    <w:tl2br w:val="nil"/>
                    <w:tr2bl w:val="nil"/>
                  </w:tcBorders>
                  <w:noWrap w:val="0"/>
                  <w:vAlign w:val="center"/>
                </w:tcPr>
                <w:p w14:paraId="1725627C">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本项目位于云南易门产业园区大椿树片区，项目周边不存在</w:t>
                  </w:r>
                  <w:r>
                    <w:rPr>
                      <w:rFonts w:hint="default" w:ascii="Times New Roman" w:hAnsi="Times New Roman" w:eastAsia="宋体" w:cs="Times New Roman"/>
                      <w:color w:val="000000"/>
                      <w:kern w:val="0"/>
                      <w:sz w:val="18"/>
                      <w:szCs w:val="18"/>
                      <w:lang w:val="zh-CN" w:eastAsia="zh-CN" w:bidi="ar"/>
                    </w:rPr>
                    <w:t>居民区、学校、医疗、养老机构等单位，</w:t>
                  </w:r>
                  <w:r>
                    <w:rPr>
                      <w:rFonts w:hint="default" w:ascii="Times New Roman" w:hAnsi="Times New Roman" w:eastAsia="宋体" w:cs="Times New Roman"/>
                      <w:color w:val="000000"/>
                      <w:kern w:val="0"/>
                      <w:sz w:val="18"/>
                      <w:szCs w:val="18"/>
                      <w:lang w:val="en-US" w:eastAsia="zh-CN" w:bidi="ar"/>
                    </w:rPr>
                    <w:t>本项目属于改建项目，运营期将严格按照相关要求采取土壤污染防治措施。</w:t>
                  </w:r>
                </w:p>
              </w:tc>
              <w:tc>
                <w:tcPr>
                  <w:tcW w:w="322" w:type="pct"/>
                  <w:tcBorders>
                    <w:tl2br w:val="nil"/>
                    <w:tr2bl w:val="nil"/>
                  </w:tcBorders>
                  <w:noWrap w:val="0"/>
                  <w:vAlign w:val="center"/>
                </w:tcPr>
                <w:p w14:paraId="373161EE">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0C337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0" w:type="pct"/>
                  <w:vMerge w:val="continue"/>
                  <w:tcBorders>
                    <w:tl2br w:val="nil"/>
                    <w:tr2bl w:val="nil"/>
                  </w:tcBorders>
                  <w:noWrap w:val="0"/>
                  <w:vAlign w:val="center"/>
                </w:tcPr>
                <w:p w14:paraId="6D4F2B75">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0" w:type="pct"/>
                  <w:vMerge w:val="continue"/>
                  <w:tcBorders>
                    <w:tl2br w:val="nil"/>
                    <w:tr2bl w:val="nil"/>
                  </w:tcBorders>
                  <w:noWrap w:val="0"/>
                  <w:vAlign w:val="center"/>
                </w:tcPr>
                <w:p w14:paraId="5B9C2198">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67" w:type="pct"/>
                  <w:tcBorders>
                    <w:tl2br w:val="nil"/>
                    <w:tr2bl w:val="nil"/>
                  </w:tcBorders>
                  <w:noWrap w:val="0"/>
                  <w:vAlign w:val="center"/>
                </w:tcPr>
                <w:p w14:paraId="1A416E43">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限制在居民区、学校附近布局排放异味废气污染物的企业，并充分考虑产业与城市建成区、区内居民点之间的环境防护距离。</w:t>
                  </w:r>
                </w:p>
              </w:tc>
              <w:tc>
                <w:tcPr>
                  <w:tcW w:w="1289" w:type="pct"/>
                  <w:tcBorders>
                    <w:tl2br w:val="nil"/>
                    <w:tr2bl w:val="nil"/>
                  </w:tcBorders>
                  <w:noWrap w:val="0"/>
                  <w:vAlign w:val="center"/>
                </w:tcPr>
                <w:p w14:paraId="3293F107">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项目距离居民区最近直线距离1800m，项目不设环境防护距离。</w:t>
                  </w:r>
                </w:p>
              </w:tc>
              <w:tc>
                <w:tcPr>
                  <w:tcW w:w="322" w:type="pct"/>
                  <w:tcBorders>
                    <w:tl2br w:val="nil"/>
                    <w:tr2bl w:val="nil"/>
                  </w:tcBorders>
                  <w:noWrap w:val="0"/>
                  <w:vAlign w:val="center"/>
                </w:tcPr>
                <w:p w14:paraId="34CE02A5">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35DEAB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10" w:type="pct"/>
                  <w:vMerge w:val="continue"/>
                  <w:tcBorders>
                    <w:tl2br w:val="nil"/>
                    <w:tr2bl w:val="nil"/>
                  </w:tcBorders>
                  <w:noWrap w:val="0"/>
                  <w:vAlign w:val="center"/>
                </w:tcPr>
                <w:p w14:paraId="7CE4AA4D">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0" w:type="pct"/>
                  <w:vMerge w:val="continue"/>
                  <w:tcBorders>
                    <w:tl2br w:val="nil"/>
                    <w:tr2bl w:val="nil"/>
                  </w:tcBorders>
                  <w:noWrap w:val="0"/>
                  <w:vAlign w:val="center"/>
                </w:tcPr>
                <w:p w14:paraId="3F29BC14">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67" w:type="pct"/>
                  <w:tcBorders>
                    <w:tl2br w:val="nil"/>
                    <w:tr2bl w:val="nil"/>
                  </w:tcBorders>
                  <w:noWrap w:val="0"/>
                  <w:vAlign w:val="center"/>
                </w:tcPr>
                <w:p w14:paraId="16BF455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居民集中区周边禁止布局重污染企业。麦子田片区布局重污染企业应远离六街镇居民集中区。</w:t>
                  </w:r>
                </w:p>
              </w:tc>
              <w:tc>
                <w:tcPr>
                  <w:tcW w:w="1289" w:type="pct"/>
                  <w:tcBorders>
                    <w:tl2br w:val="nil"/>
                    <w:tr2bl w:val="nil"/>
                  </w:tcBorders>
                  <w:noWrap w:val="0"/>
                  <w:vAlign w:val="center"/>
                </w:tcPr>
                <w:p w14:paraId="23A2A09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项目为改建项目，属于已建企业，距离居民集中区较远。</w:t>
                  </w:r>
                </w:p>
              </w:tc>
              <w:tc>
                <w:tcPr>
                  <w:tcW w:w="322" w:type="pct"/>
                  <w:tcBorders>
                    <w:tl2br w:val="nil"/>
                    <w:tr2bl w:val="nil"/>
                  </w:tcBorders>
                  <w:noWrap w:val="0"/>
                  <w:vAlign w:val="center"/>
                </w:tcPr>
                <w:p w14:paraId="6A2D5DC7">
                  <w:pPr>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408A36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0" w:type="pct"/>
                  <w:vMerge w:val="continue"/>
                  <w:tcBorders>
                    <w:tl2br w:val="nil"/>
                    <w:tr2bl w:val="nil"/>
                  </w:tcBorders>
                  <w:noWrap w:val="0"/>
                  <w:vAlign w:val="center"/>
                </w:tcPr>
                <w:p w14:paraId="7C62C718">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0" w:type="pct"/>
                  <w:vMerge w:val="restart"/>
                  <w:tcBorders>
                    <w:tl2br w:val="nil"/>
                    <w:tr2bl w:val="nil"/>
                  </w:tcBorders>
                  <w:noWrap w:val="0"/>
                  <w:vAlign w:val="center"/>
                </w:tcPr>
                <w:p w14:paraId="52F1542D">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污染物排放管控</w:t>
                  </w:r>
                </w:p>
              </w:tc>
              <w:tc>
                <w:tcPr>
                  <w:tcW w:w="2767" w:type="pct"/>
                  <w:tcBorders>
                    <w:tl2br w:val="nil"/>
                    <w:tr2bl w:val="nil"/>
                  </w:tcBorders>
                  <w:noWrap w:val="0"/>
                  <w:vAlign w:val="center"/>
                </w:tcPr>
                <w:p w14:paraId="103AA6ED">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禁止不符合行业准入条件或产业政策的高耗水、高排污企业入园。</w:t>
                  </w:r>
                </w:p>
              </w:tc>
              <w:tc>
                <w:tcPr>
                  <w:tcW w:w="1289" w:type="pct"/>
                  <w:tcBorders>
                    <w:tl2br w:val="nil"/>
                    <w:tr2bl w:val="nil"/>
                  </w:tcBorders>
                  <w:noWrap w:val="0"/>
                  <w:vAlign w:val="center"/>
                </w:tcPr>
                <w:p w14:paraId="7BB5913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本项目符合产业政策，不属于高耗水、高排污企业。</w:t>
                  </w:r>
                </w:p>
              </w:tc>
              <w:tc>
                <w:tcPr>
                  <w:tcW w:w="322" w:type="pct"/>
                  <w:tcBorders>
                    <w:tl2br w:val="nil"/>
                    <w:tr2bl w:val="nil"/>
                  </w:tcBorders>
                  <w:noWrap w:val="0"/>
                  <w:vAlign w:val="center"/>
                </w:tcPr>
                <w:p w14:paraId="5399520A">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7E9B5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0" w:type="pct"/>
                  <w:vMerge w:val="continue"/>
                  <w:tcBorders>
                    <w:tl2br w:val="nil"/>
                    <w:tr2bl w:val="nil"/>
                  </w:tcBorders>
                  <w:noWrap w:val="0"/>
                  <w:vAlign w:val="center"/>
                </w:tcPr>
                <w:p w14:paraId="417B3499">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cs="Times New Roman"/>
                      <w:sz w:val="18"/>
                      <w:szCs w:val="18"/>
                    </w:rPr>
                  </w:pPr>
                </w:p>
              </w:tc>
              <w:tc>
                <w:tcPr>
                  <w:tcW w:w="310" w:type="pct"/>
                  <w:vMerge w:val="continue"/>
                  <w:tcBorders>
                    <w:tl2br w:val="nil"/>
                    <w:tr2bl w:val="nil"/>
                  </w:tcBorders>
                  <w:noWrap w:val="0"/>
                  <w:vAlign w:val="center"/>
                </w:tcPr>
                <w:p w14:paraId="38D2B624">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cs="Times New Roman"/>
                      <w:sz w:val="18"/>
                      <w:szCs w:val="18"/>
                    </w:rPr>
                  </w:pPr>
                </w:p>
              </w:tc>
              <w:tc>
                <w:tcPr>
                  <w:tcW w:w="2767" w:type="pct"/>
                  <w:tcBorders>
                    <w:tl2br w:val="nil"/>
                    <w:tr2bl w:val="nil"/>
                  </w:tcBorders>
                  <w:noWrap w:val="0"/>
                  <w:vAlign w:val="center"/>
                </w:tcPr>
                <w:p w14:paraId="0BD9C8FA">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禁止任何生产废水和生活污水直接排入地表水体，废水达到园区污水处理厂进水标准后，经污水管网收集排入园区污水处理厂处理；园区纳污水体在未达到水质目标前，除城镇污水处理厂入河排污口外，严格控制新设、改设或者扩大排污口。</w:t>
                  </w:r>
                </w:p>
              </w:tc>
              <w:tc>
                <w:tcPr>
                  <w:tcW w:w="1289" w:type="pct"/>
                  <w:tcBorders>
                    <w:tl2br w:val="nil"/>
                    <w:tr2bl w:val="nil"/>
                  </w:tcBorders>
                  <w:noWrap w:val="0"/>
                  <w:vAlign w:val="center"/>
                </w:tcPr>
                <w:p w14:paraId="53D2F528">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生产废水循环使用，不外排；车辆清洗废水收集沉淀后回用，不外排；生活污水收集后进入生活污水处理站（200m</w:t>
                  </w:r>
                  <w:r>
                    <w:rPr>
                      <w:rFonts w:hint="default" w:ascii="Times New Roman" w:hAnsi="Times New Roman" w:eastAsia="宋体" w:cs="Times New Roman"/>
                      <w:color w:val="000000"/>
                      <w:kern w:val="0"/>
                      <w:sz w:val="18"/>
                      <w:szCs w:val="18"/>
                      <w:vertAlign w:val="superscript"/>
                      <w:lang w:val="en-US" w:eastAsia="zh-CN" w:bidi="ar"/>
                    </w:rPr>
                    <w:t>3</w:t>
                  </w:r>
                  <w:r>
                    <w:rPr>
                      <w:rFonts w:hint="default" w:ascii="Times New Roman" w:hAnsi="Times New Roman" w:eastAsia="宋体" w:cs="Times New Roman"/>
                      <w:color w:val="000000"/>
                      <w:kern w:val="0"/>
                      <w:sz w:val="18"/>
                      <w:szCs w:val="18"/>
                      <w:lang w:val="en-US" w:eastAsia="zh-CN" w:bidi="ar"/>
                    </w:rPr>
                    <w:t>/d），处理后回用于厂区绿化、道路洒水，不外排。</w:t>
                  </w:r>
                </w:p>
              </w:tc>
              <w:tc>
                <w:tcPr>
                  <w:tcW w:w="322" w:type="pct"/>
                  <w:tcBorders>
                    <w:tl2br w:val="nil"/>
                    <w:tr2bl w:val="nil"/>
                  </w:tcBorders>
                  <w:noWrap w:val="0"/>
                  <w:vAlign w:val="center"/>
                </w:tcPr>
                <w:p w14:paraId="26F88C39">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23AAE8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0" w:type="pct"/>
                  <w:vMerge w:val="continue"/>
                  <w:tcBorders>
                    <w:tl2br w:val="nil"/>
                    <w:tr2bl w:val="nil"/>
                  </w:tcBorders>
                  <w:noWrap w:val="0"/>
                  <w:vAlign w:val="center"/>
                </w:tcPr>
                <w:p w14:paraId="599DE350">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10" w:type="pct"/>
                  <w:vMerge w:val="continue"/>
                  <w:tcBorders>
                    <w:tl2br w:val="nil"/>
                    <w:tr2bl w:val="nil"/>
                  </w:tcBorders>
                  <w:noWrap w:val="0"/>
                  <w:vAlign w:val="center"/>
                </w:tcPr>
                <w:p w14:paraId="00B999A7">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67" w:type="pct"/>
                  <w:tcBorders>
                    <w:tl2br w:val="nil"/>
                    <w:tr2bl w:val="nil"/>
                  </w:tcBorders>
                  <w:noWrap w:val="0"/>
                  <w:vAlign w:val="center"/>
                </w:tcPr>
                <w:p w14:paraId="6BAA1554">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企业废气达标率100%，污水处理达标率100%，工业固废处理率100%，危险废物安全处置率100%，生活垃圾无害化处理率100%，工业固废综合利用率60%，中水回用率不低于30%，清洁能源使用率不低于60%，重点企业清洁生产审核实施比例100%，项目环境影响评价执行率100%，</w:t>
                  </w:r>
                  <w:r>
                    <w:rPr>
                      <w:rFonts w:hint="eastAsia" w:ascii="Times New Roman" w:hAnsi="Times New Roman" w:cs="Times New Roman"/>
                      <w:color w:val="000000"/>
                      <w:kern w:val="0"/>
                      <w:sz w:val="18"/>
                      <w:szCs w:val="18"/>
                      <w:lang w:val="en-US" w:eastAsia="zh-CN" w:bidi="ar"/>
                    </w:rPr>
                    <w:t>“三同时”</w:t>
                  </w:r>
                  <w:r>
                    <w:rPr>
                      <w:rFonts w:hint="default" w:ascii="Times New Roman" w:hAnsi="Times New Roman" w:eastAsia="宋体" w:cs="Times New Roman"/>
                      <w:color w:val="000000"/>
                      <w:kern w:val="0"/>
                      <w:sz w:val="18"/>
                      <w:szCs w:val="18"/>
                      <w:lang w:val="en-US" w:eastAsia="zh-CN" w:bidi="ar"/>
                    </w:rPr>
                    <w:t>执行率100%。</w:t>
                  </w:r>
                </w:p>
              </w:tc>
              <w:tc>
                <w:tcPr>
                  <w:tcW w:w="1289" w:type="pct"/>
                  <w:tcBorders>
                    <w:tl2br w:val="nil"/>
                    <w:tr2bl w:val="nil"/>
                  </w:tcBorders>
                  <w:noWrap w:val="0"/>
                  <w:vAlign w:val="center"/>
                </w:tcPr>
                <w:p w14:paraId="49D5DA4B">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项目废气经处理后达标排放，废气达标率100%；项目废水经处理达标后全部回用，不外排；工业固废处置率100%。</w:t>
                  </w:r>
                </w:p>
              </w:tc>
              <w:tc>
                <w:tcPr>
                  <w:tcW w:w="322" w:type="pct"/>
                  <w:tcBorders>
                    <w:tl2br w:val="nil"/>
                    <w:tr2bl w:val="nil"/>
                  </w:tcBorders>
                  <w:noWrap w:val="0"/>
                  <w:vAlign w:val="center"/>
                </w:tcPr>
                <w:p w14:paraId="5537FCBF">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387001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0" w:type="pct"/>
                  <w:vMerge w:val="continue"/>
                  <w:tcBorders>
                    <w:tl2br w:val="nil"/>
                    <w:tr2bl w:val="nil"/>
                  </w:tcBorders>
                  <w:noWrap w:val="0"/>
                  <w:vAlign w:val="center"/>
                </w:tcPr>
                <w:p w14:paraId="0A5B4DD4">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0" w:type="pct"/>
                  <w:vMerge w:val="restart"/>
                  <w:tcBorders>
                    <w:tl2br w:val="nil"/>
                    <w:tr2bl w:val="nil"/>
                  </w:tcBorders>
                  <w:noWrap w:val="0"/>
                  <w:vAlign w:val="center"/>
                </w:tcPr>
                <w:p w14:paraId="7803FCDC">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环境风险防控</w:t>
                  </w:r>
                </w:p>
              </w:tc>
              <w:tc>
                <w:tcPr>
                  <w:tcW w:w="2767" w:type="pct"/>
                  <w:tcBorders>
                    <w:tl2br w:val="nil"/>
                    <w:tr2bl w:val="nil"/>
                  </w:tcBorders>
                  <w:noWrap w:val="0"/>
                  <w:vAlign w:val="center"/>
                </w:tcPr>
                <w:p w14:paraId="1CE6A799">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入驻企业生产区须“雨污分流”，并完善排污管网，所有废水必须处理后回用或达标排入园区污水管网，严禁废水事故外排；对于初期雨水需设置收集设施；对企业原料堆存场地、车间、污水处理设施需进行地面硬化，设置雨污分流设施，地坪冲洗水、各车间跑冒滴漏废水应做到封闭回用；对于油料贮存库必须采取防渗措施；处理设施确保稳定运行；加强企业内部环境风险三级防护措施，对涉风险的生产和储存设施设置围堰防护。</w:t>
                  </w:r>
                </w:p>
              </w:tc>
              <w:tc>
                <w:tcPr>
                  <w:tcW w:w="1289" w:type="pct"/>
                  <w:tcBorders>
                    <w:tl2br w:val="nil"/>
                    <w:tr2bl w:val="nil"/>
                  </w:tcBorders>
                  <w:noWrap w:val="0"/>
                  <w:vAlign w:val="center"/>
                </w:tcPr>
                <w:p w14:paraId="6A0E776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项目实行“雨污分流”，项目初期雨水经收集后进入初期雨水收集池处理后回用，不外排；生产废水循环使用，不外排；车辆清洗废水收集沉淀后回用，不外排；生活污水收集后进入生活污水处理站（200m</w:t>
                  </w:r>
                  <w:r>
                    <w:rPr>
                      <w:rFonts w:hint="default" w:ascii="Times New Roman" w:hAnsi="Times New Roman" w:eastAsia="宋体" w:cs="Times New Roman"/>
                      <w:color w:val="000000"/>
                      <w:kern w:val="0"/>
                      <w:sz w:val="18"/>
                      <w:szCs w:val="18"/>
                      <w:vertAlign w:val="superscript"/>
                      <w:lang w:val="en-US" w:eastAsia="zh-CN" w:bidi="ar"/>
                    </w:rPr>
                    <w:t>3</w:t>
                  </w:r>
                  <w:r>
                    <w:rPr>
                      <w:rFonts w:hint="default" w:ascii="Times New Roman" w:hAnsi="Times New Roman" w:eastAsia="宋体" w:cs="Times New Roman"/>
                      <w:color w:val="000000"/>
                      <w:kern w:val="0"/>
                      <w:sz w:val="18"/>
                      <w:szCs w:val="18"/>
                      <w:lang w:val="en-US" w:eastAsia="zh-CN" w:bidi="ar"/>
                    </w:rPr>
                    <w:t>/d），处理后回用于厂区绿化、道路洒水，不外排。</w:t>
                  </w:r>
                </w:p>
              </w:tc>
              <w:tc>
                <w:tcPr>
                  <w:tcW w:w="322" w:type="pct"/>
                  <w:tcBorders>
                    <w:tl2br w:val="nil"/>
                    <w:tr2bl w:val="nil"/>
                  </w:tcBorders>
                  <w:noWrap w:val="0"/>
                  <w:vAlign w:val="center"/>
                </w:tcPr>
                <w:p w14:paraId="30F2DED1">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5D4B46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0" w:type="pct"/>
                  <w:vMerge w:val="continue"/>
                  <w:tcBorders>
                    <w:tl2br w:val="nil"/>
                    <w:tr2bl w:val="nil"/>
                  </w:tcBorders>
                  <w:noWrap w:val="0"/>
                  <w:vAlign w:val="center"/>
                </w:tcPr>
                <w:p w14:paraId="3284ADF1">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cs="Times New Roman"/>
                      <w:sz w:val="18"/>
                      <w:szCs w:val="18"/>
                    </w:rPr>
                  </w:pPr>
                </w:p>
              </w:tc>
              <w:tc>
                <w:tcPr>
                  <w:tcW w:w="310" w:type="pct"/>
                  <w:vMerge w:val="continue"/>
                  <w:tcBorders>
                    <w:tl2br w:val="nil"/>
                    <w:tr2bl w:val="nil"/>
                  </w:tcBorders>
                  <w:noWrap w:val="0"/>
                  <w:vAlign w:val="center"/>
                </w:tcPr>
                <w:p w14:paraId="766AEA40">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cs="Times New Roman"/>
                      <w:sz w:val="18"/>
                      <w:szCs w:val="18"/>
                    </w:rPr>
                  </w:pPr>
                </w:p>
              </w:tc>
              <w:tc>
                <w:tcPr>
                  <w:tcW w:w="2767" w:type="pct"/>
                  <w:tcBorders>
                    <w:tl2br w:val="nil"/>
                    <w:tr2bl w:val="nil"/>
                  </w:tcBorders>
                  <w:noWrap w:val="0"/>
                  <w:vAlign w:val="center"/>
                </w:tcPr>
                <w:p w14:paraId="26131A4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固废堆存场应按照各固废属性鉴别结果按相关要求进行防渗，同时设置防雨淋、防流失设施，并在四周设置地沟收集跑冒滴漏，防止雨水对固废侵蚀造成地下水污染；危废临时储存设施的选址、防渗设计等应严格遵守《危险废物贮存污染控制标准》（GB18597-2001）的规定，并交由有资质的单位处置。</w:t>
                  </w:r>
                </w:p>
              </w:tc>
              <w:tc>
                <w:tcPr>
                  <w:tcW w:w="1289" w:type="pct"/>
                  <w:tcBorders>
                    <w:tl2br w:val="nil"/>
                    <w:tr2bl w:val="nil"/>
                  </w:tcBorders>
                  <w:noWrap w:val="0"/>
                  <w:vAlign w:val="center"/>
                </w:tcPr>
                <w:p w14:paraId="40F0C282">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厂区内一般固废、生活垃圾、危险废物分类收集、贮存；危险废物贮存库、储存区地面进行防渗，并在四周设置地沟收集跑冒滴漏，防止雨水对固废侵蚀造成地下水污染，危废储存设施满足《危险废物贮存污染控制标准》（GB18597-2023）标准，定期交由云南广莱再生资源回收有限公司清运处置。</w:t>
                  </w:r>
                </w:p>
              </w:tc>
              <w:tc>
                <w:tcPr>
                  <w:tcW w:w="322" w:type="pct"/>
                  <w:tcBorders>
                    <w:tl2br w:val="nil"/>
                    <w:tr2bl w:val="nil"/>
                  </w:tcBorders>
                  <w:noWrap w:val="0"/>
                  <w:vAlign w:val="center"/>
                </w:tcPr>
                <w:p w14:paraId="7357EA04">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r w14:paraId="1A50EA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0" w:type="pct"/>
                  <w:vMerge w:val="continue"/>
                  <w:tcBorders>
                    <w:tl2br w:val="nil"/>
                    <w:tr2bl w:val="nil"/>
                  </w:tcBorders>
                  <w:noWrap w:val="0"/>
                  <w:vAlign w:val="center"/>
                </w:tcPr>
                <w:p w14:paraId="37FD9B4F">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10" w:type="pct"/>
                  <w:vMerge w:val="continue"/>
                  <w:tcBorders>
                    <w:tl2br w:val="nil"/>
                    <w:tr2bl w:val="nil"/>
                  </w:tcBorders>
                  <w:noWrap w:val="0"/>
                  <w:vAlign w:val="center"/>
                </w:tcPr>
                <w:p w14:paraId="1A9954E9">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67" w:type="pct"/>
                  <w:tcBorders>
                    <w:tl2br w:val="nil"/>
                    <w:tr2bl w:val="nil"/>
                  </w:tcBorders>
                  <w:noWrap w:val="0"/>
                  <w:vAlign w:val="center"/>
                </w:tcPr>
                <w:p w14:paraId="65A4EDF6">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强化企业环境风险防范设施设备建设和运行监管，制定突发环境事件应急预案，建立企业隐患排查整治常态化监管机制，加强企业环境应急预案与园区综合环境应急预案的衔接，加强区域应急物资调配管理，组织园区范围内的环境安全隐患排查应急培训和演练，构建区域环境风险联控机制。</w:t>
                  </w:r>
                </w:p>
              </w:tc>
              <w:tc>
                <w:tcPr>
                  <w:tcW w:w="1289" w:type="pct"/>
                  <w:tcBorders>
                    <w:tl2br w:val="nil"/>
                    <w:tr2bl w:val="nil"/>
                  </w:tcBorders>
                  <w:noWrap w:val="0"/>
                  <w:vAlign w:val="center"/>
                </w:tcPr>
                <w:p w14:paraId="45E27DD1">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企业已制定突发环境事件应急预案并完成备案，改建完成后及时修订应急预案，企业已建立企业隐患排查，定期进行应急演练。</w:t>
                  </w:r>
                </w:p>
              </w:tc>
              <w:tc>
                <w:tcPr>
                  <w:tcW w:w="322" w:type="pct"/>
                  <w:tcBorders>
                    <w:tl2br w:val="nil"/>
                    <w:tr2bl w:val="nil"/>
                  </w:tcBorders>
                  <w:noWrap w:val="0"/>
                  <w:vAlign w:val="center"/>
                </w:tcPr>
                <w:p w14:paraId="63F6664E">
                  <w:pPr>
                    <w:pStyle w:val="15"/>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bl>
          <w:p w14:paraId="13DE5E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val="en-US" w:eastAsia="zh-CN"/>
              </w:rPr>
              <w:t>由上表可知</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val="en-US" w:eastAsia="zh-CN"/>
              </w:rPr>
              <w:t>本</w:t>
            </w:r>
            <w:r>
              <w:rPr>
                <w:rFonts w:hint="default" w:ascii="Times New Roman" w:hAnsi="Times New Roman" w:eastAsia="宋体" w:cs="Times New Roman"/>
                <w:color w:val="auto"/>
                <w:sz w:val="24"/>
                <w:szCs w:val="32"/>
              </w:rPr>
              <w:t>项目</w:t>
            </w:r>
            <w:r>
              <w:rPr>
                <w:rFonts w:hint="eastAsia" w:cs="Times New Roman"/>
                <w:color w:val="auto"/>
                <w:sz w:val="24"/>
                <w:szCs w:val="32"/>
                <w:lang w:val="en-US" w:eastAsia="zh-CN"/>
              </w:rPr>
              <w:t>建设符合</w:t>
            </w:r>
            <w:r>
              <w:rPr>
                <w:rFonts w:hint="default" w:ascii="Times New Roman" w:hAnsi="Times New Roman" w:eastAsia="宋体" w:cs="Times New Roman"/>
                <w:color w:val="auto"/>
                <w:sz w:val="24"/>
                <w:szCs w:val="32"/>
                <w:lang w:val="en-US" w:eastAsia="zh-CN"/>
              </w:rPr>
              <w:t>《云南</w:t>
            </w:r>
            <w:r>
              <w:rPr>
                <w:rFonts w:hint="eastAsia" w:cs="Times New Roman"/>
                <w:color w:val="auto"/>
                <w:sz w:val="24"/>
                <w:szCs w:val="32"/>
                <w:lang w:val="en-US" w:eastAsia="zh-CN"/>
              </w:rPr>
              <w:t>易门</w:t>
            </w:r>
            <w:r>
              <w:rPr>
                <w:rFonts w:hint="default" w:ascii="Times New Roman" w:hAnsi="Times New Roman" w:eastAsia="宋体" w:cs="Times New Roman"/>
                <w:color w:val="auto"/>
                <w:sz w:val="24"/>
                <w:szCs w:val="32"/>
                <w:lang w:val="en-US" w:eastAsia="zh-CN"/>
              </w:rPr>
              <w:t>产业园区总体规划</w:t>
            </w:r>
            <w:r>
              <w:rPr>
                <w:rFonts w:hint="eastAsia" w:cs="Times New Roman"/>
                <w:color w:val="auto"/>
                <w:sz w:val="24"/>
                <w:szCs w:val="32"/>
                <w:lang w:val="en-US" w:eastAsia="zh-CN"/>
              </w:rPr>
              <w:t>（修编）</w:t>
            </w:r>
            <w:r>
              <w:rPr>
                <w:rFonts w:hint="default" w:ascii="Times New Roman" w:hAnsi="Times New Roman" w:eastAsia="宋体" w:cs="Times New Roman"/>
                <w:color w:val="auto"/>
                <w:sz w:val="24"/>
                <w:szCs w:val="32"/>
                <w:lang w:val="en-US" w:eastAsia="zh-CN"/>
              </w:rPr>
              <w:t>（2021~2035年）环境影响报告书》</w:t>
            </w:r>
            <w:r>
              <w:rPr>
                <w:rFonts w:hint="eastAsia" w:cs="Times New Roman"/>
                <w:color w:val="auto"/>
                <w:sz w:val="24"/>
                <w:szCs w:val="32"/>
                <w:lang w:val="en-US" w:eastAsia="zh-CN"/>
              </w:rPr>
              <w:t>入驻项目相关要求</w:t>
            </w:r>
            <w:r>
              <w:rPr>
                <w:rFonts w:hint="default" w:ascii="Times New Roman" w:hAnsi="Times New Roman" w:eastAsia="宋体" w:cs="Times New Roman"/>
                <w:color w:val="auto"/>
                <w:sz w:val="24"/>
                <w:szCs w:val="32"/>
              </w:rPr>
              <w:t>。</w:t>
            </w:r>
          </w:p>
          <w:p w14:paraId="354978D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3、</w:t>
            </w:r>
            <w:r>
              <w:rPr>
                <w:rFonts w:hint="eastAsia" w:ascii="Times New Roman" w:hAnsi="Times New Roman" w:eastAsia="宋体" w:cs="Times New Roman"/>
                <w:b/>
                <w:bCs/>
                <w:color w:val="auto"/>
                <w:sz w:val="24"/>
                <w:lang w:val="en-US" w:eastAsia="zh-CN"/>
              </w:rPr>
              <w:t>与《云南</w:t>
            </w:r>
            <w:r>
              <w:rPr>
                <w:rFonts w:hint="eastAsia" w:cs="Times New Roman"/>
                <w:b/>
                <w:bCs/>
                <w:color w:val="auto"/>
                <w:sz w:val="24"/>
                <w:lang w:val="en-US" w:eastAsia="zh-CN"/>
              </w:rPr>
              <w:t>易门</w:t>
            </w:r>
            <w:r>
              <w:rPr>
                <w:rFonts w:hint="eastAsia" w:ascii="Times New Roman" w:hAnsi="Times New Roman" w:eastAsia="宋体" w:cs="Times New Roman"/>
                <w:b/>
                <w:bCs/>
                <w:color w:val="auto"/>
                <w:sz w:val="24"/>
                <w:lang w:val="en-US" w:eastAsia="zh-CN"/>
              </w:rPr>
              <w:t>产业园区总体规划</w:t>
            </w:r>
            <w:r>
              <w:rPr>
                <w:rFonts w:hint="eastAsia" w:cs="Times New Roman"/>
                <w:b/>
                <w:bCs/>
                <w:color w:val="auto"/>
                <w:sz w:val="24"/>
                <w:lang w:val="en-US" w:eastAsia="zh-CN"/>
              </w:rPr>
              <w:t>（</w:t>
            </w:r>
            <w:r>
              <w:rPr>
                <w:rFonts w:hint="eastAsia" w:ascii="Times New Roman" w:hAnsi="Times New Roman" w:eastAsia="宋体" w:cs="Times New Roman"/>
                <w:b/>
                <w:bCs/>
                <w:color w:val="auto"/>
                <w:sz w:val="24"/>
                <w:lang w:val="en-US" w:eastAsia="zh-CN"/>
              </w:rPr>
              <w:t>修编</w:t>
            </w:r>
            <w:r>
              <w:rPr>
                <w:rFonts w:hint="eastAsia" w:cs="Times New Roman"/>
                <w:b/>
                <w:bCs/>
                <w:color w:val="auto"/>
                <w:sz w:val="24"/>
                <w:lang w:val="en-US" w:eastAsia="zh-CN"/>
              </w:rPr>
              <w:t>）</w:t>
            </w:r>
            <w:r>
              <w:rPr>
                <w:rFonts w:hint="eastAsia" w:ascii="Times New Roman" w:hAnsi="Times New Roman" w:eastAsia="宋体" w:cs="Times New Roman"/>
                <w:b/>
                <w:bCs/>
                <w:color w:val="auto"/>
                <w:sz w:val="24"/>
                <w:lang w:val="en-US" w:eastAsia="zh-CN"/>
              </w:rPr>
              <w:t>（2021~2035年）环境影响报告书》审查意</w:t>
            </w:r>
            <w:r>
              <w:rPr>
                <w:rFonts w:hint="eastAsia" w:ascii="Times New Roman" w:hAnsi="Times New Roman" w:cs="Times New Roman"/>
                <w:b/>
                <w:bCs/>
                <w:color w:val="auto"/>
                <w:sz w:val="24"/>
                <w:lang w:val="en-US" w:eastAsia="zh-CN"/>
              </w:rPr>
              <w:t>见（</w:t>
            </w:r>
            <w:r>
              <w:rPr>
                <w:rFonts w:hint="default" w:ascii="Times New Roman" w:hAnsi="Times New Roman" w:cs="Times New Roman"/>
                <w:b/>
                <w:bCs/>
                <w:color w:val="auto"/>
                <w:sz w:val="24"/>
                <w:lang w:val="en-US" w:eastAsia="zh-CN"/>
              </w:rPr>
              <w:t>玉市环函〔202</w:t>
            </w: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lang w:val="en-US" w:eastAsia="zh-CN"/>
              </w:rPr>
              <w:t>〕</w:t>
            </w:r>
            <w:r>
              <w:rPr>
                <w:rFonts w:hint="eastAsia" w:ascii="Times New Roman" w:hAnsi="Times New Roman" w:cs="Times New Roman"/>
                <w:b/>
                <w:bCs/>
                <w:color w:val="auto"/>
                <w:sz w:val="24"/>
                <w:lang w:val="en-US" w:eastAsia="zh-CN"/>
              </w:rPr>
              <w:t>32</w:t>
            </w:r>
            <w:r>
              <w:rPr>
                <w:rFonts w:hint="default" w:ascii="Times New Roman" w:hAnsi="Times New Roman" w:cs="Times New Roman"/>
                <w:b/>
                <w:bCs/>
                <w:color w:val="auto"/>
                <w:sz w:val="24"/>
                <w:lang w:val="en-US" w:eastAsia="zh-CN"/>
              </w:rPr>
              <w:t>号</w:t>
            </w:r>
            <w:r>
              <w:rPr>
                <w:rFonts w:hint="eastAsia" w:ascii="Times New Roman" w:hAnsi="Times New Roman" w:cs="Times New Roman"/>
                <w:b/>
                <w:bCs/>
                <w:color w:val="auto"/>
                <w:sz w:val="24"/>
                <w:lang w:val="en-US" w:eastAsia="zh-CN"/>
              </w:rPr>
              <w:t>）</w:t>
            </w:r>
            <w:r>
              <w:rPr>
                <w:rFonts w:hint="eastAsia" w:ascii="Times New Roman" w:hAnsi="Times New Roman" w:eastAsia="宋体" w:cs="Times New Roman"/>
                <w:b/>
                <w:bCs/>
                <w:color w:val="auto"/>
                <w:sz w:val="24"/>
                <w:lang w:val="en-US" w:eastAsia="zh-CN"/>
              </w:rPr>
              <w:t>符合性分析</w:t>
            </w:r>
          </w:p>
          <w:p w14:paraId="5F424A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根据“玉溪市生态环境局关于《云南易门产业园区总体规划（修编）（</w:t>
            </w:r>
            <w:r>
              <w:rPr>
                <w:rFonts w:hint="default" w:ascii="Times New Roman" w:hAnsi="Times New Roman" w:eastAsia="宋体" w:cs="Times New Roman"/>
                <w:color w:val="auto"/>
                <w:sz w:val="24"/>
                <w:szCs w:val="32"/>
                <w:lang w:val="en-US" w:eastAsia="zh-CN"/>
              </w:rPr>
              <w:t>2021-2035</w:t>
            </w:r>
            <w:r>
              <w:rPr>
                <w:rFonts w:hint="eastAsia" w:ascii="Times New Roman" w:hAnsi="Times New Roman" w:eastAsia="宋体" w:cs="Times New Roman"/>
                <w:color w:val="auto"/>
                <w:sz w:val="24"/>
                <w:szCs w:val="32"/>
                <w:lang w:val="en-US" w:eastAsia="zh-CN"/>
              </w:rPr>
              <w:t>）环境影响报告书》审查意见的函（玉市环函〔</w:t>
            </w:r>
            <w:r>
              <w:rPr>
                <w:rFonts w:hint="default" w:ascii="Times New Roman" w:hAnsi="Times New Roman" w:eastAsia="宋体" w:cs="Times New Roman"/>
                <w:color w:val="auto"/>
                <w:sz w:val="24"/>
                <w:szCs w:val="32"/>
                <w:lang w:val="en-US" w:eastAsia="zh-CN"/>
              </w:rPr>
              <w:t>2022</w:t>
            </w:r>
            <w:r>
              <w:rPr>
                <w:rFonts w:hint="eastAsia" w:ascii="Times New Roman" w:hAnsi="Times New Roman" w:eastAsia="宋体" w:cs="Times New Roman"/>
                <w:color w:val="auto"/>
                <w:sz w:val="24"/>
                <w:szCs w:val="32"/>
                <w:lang w:val="en-US" w:eastAsia="zh-CN"/>
              </w:rPr>
              <w:t>〕</w:t>
            </w:r>
            <w:r>
              <w:rPr>
                <w:rFonts w:hint="default" w:ascii="Times New Roman" w:hAnsi="Times New Roman" w:eastAsia="宋体" w:cs="Times New Roman"/>
                <w:color w:val="auto"/>
                <w:sz w:val="24"/>
                <w:szCs w:val="32"/>
                <w:lang w:val="en-US" w:eastAsia="zh-CN"/>
              </w:rPr>
              <w:t>32</w:t>
            </w:r>
            <w:r>
              <w:rPr>
                <w:rFonts w:hint="eastAsia" w:ascii="Times New Roman" w:hAnsi="Times New Roman" w:eastAsia="宋体" w:cs="Times New Roman"/>
                <w:color w:val="auto"/>
                <w:sz w:val="24"/>
                <w:szCs w:val="32"/>
                <w:lang w:val="en-US" w:eastAsia="zh-CN"/>
              </w:rPr>
              <w:t>号）”内容，结合本项目规划建设情况，本项目与规划环评符合性分析见下表。</w:t>
            </w:r>
          </w:p>
          <w:p w14:paraId="1D1B5A0F">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表1-</w:t>
            </w:r>
            <w:r>
              <w:rPr>
                <w:rFonts w:hint="eastAsia" w:ascii="黑体" w:hAnsi="黑体" w:eastAsia="黑体" w:cs="黑体"/>
                <w:b w:val="0"/>
                <w:bCs w:val="0"/>
                <w:color w:val="auto"/>
                <w:sz w:val="21"/>
                <w:szCs w:val="21"/>
                <w:lang w:val="en-US" w:eastAsia="zh-CN"/>
              </w:rPr>
              <w:t xml:space="preserve">3   </w:t>
            </w:r>
            <w:r>
              <w:rPr>
                <w:rFonts w:hint="eastAsia" w:ascii="黑体" w:hAnsi="黑体" w:eastAsia="黑体" w:cs="黑体"/>
                <w:b w:val="0"/>
                <w:bCs w:val="0"/>
                <w:color w:val="auto"/>
                <w:sz w:val="21"/>
                <w:szCs w:val="21"/>
              </w:rPr>
              <w:t>项目</w:t>
            </w:r>
            <w:r>
              <w:rPr>
                <w:rFonts w:hint="eastAsia" w:ascii="黑体" w:hAnsi="黑体" w:eastAsia="黑体" w:cs="黑体"/>
                <w:b w:val="0"/>
                <w:bCs w:val="0"/>
                <w:color w:val="auto"/>
                <w:sz w:val="21"/>
                <w:szCs w:val="21"/>
                <w:lang w:val="en-US" w:eastAsia="zh-CN"/>
              </w:rPr>
              <w:t>建设</w:t>
            </w:r>
            <w:r>
              <w:rPr>
                <w:rFonts w:hint="eastAsia" w:ascii="黑体" w:hAnsi="黑体" w:eastAsia="黑体" w:cs="黑体"/>
                <w:b w:val="0"/>
                <w:bCs w:val="0"/>
                <w:color w:val="auto"/>
                <w:sz w:val="21"/>
                <w:szCs w:val="21"/>
              </w:rPr>
              <w:t>与规划环评（2021</w:t>
            </w:r>
            <w:r>
              <w:rPr>
                <w:rFonts w:hint="eastAsia" w:ascii="Times New Roman" w:hAnsi="Times New Roman" w:eastAsia="宋体" w:cs="Times New Roman"/>
                <w:b/>
                <w:bCs/>
                <w:color w:val="auto"/>
                <w:sz w:val="24"/>
                <w:lang w:val="en-US" w:eastAsia="zh-CN"/>
              </w:rPr>
              <w:t>~</w:t>
            </w:r>
            <w:r>
              <w:rPr>
                <w:rFonts w:hint="eastAsia" w:ascii="黑体" w:hAnsi="黑体" w:eastAsia="黑体" w:cs="黑体"/>
                <w:b w:val="0"/>
                <w:bCs w:val="0"/>
                <w:color w:val="auto"/>
                <w:sz w:val="21"/>
                <w:szCs w:val="21"/>
              </w:rPr>
              <w:t>2035年）审查意见符合性分析</w:t>
            </w:r>
          </w:p>
          <w:tbl>
            <w:tblPr>
              <w:tblStyle w:val="2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3820"/>
              <w:gridCol w:w="2113"/>
              <w:gridCol w:w="434"/>
            </w:tblGrid>
            <w:tr w14:paraId="7BBA9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8" w:type="pct"/>
                  <w:tcBorders>
                    <w:tl2br w:val="nil"/>
                    <w:tr2bl w:val="nil"/>
                  </w:tcBorders>
                  <w:noWrap w:val="0"/>
                  <w:vAlign w:val="center"/>
                </w:tcPr>
                <w:p w14:paraId="702D4A49">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序号</w:t>
                  </w:r>
                </w:p>
              </w:tc>
              <w:tc>
                <w:tcPr>
                  <w:tcW w:w="2723" w:type="pct"/>
                  <w:tcBorders>
                    <w:tl2br w:val="nil"/>
                    <w:tr2bl w:val="nil"/>
                  </w:tcBorders>
                  <w:noWrap w:val="0"/>
                  <w:vAlign w:val="center"/>
                </w:tcPr>
                <w:p w14:paraId="4F093B03">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18"/>
                      <w:szCs w:val="18"/>
                      <w:lang w:val="en-US" w:eastAsia="zh-CN"/>
                    </w:rPr>
                  </w:pPr>
                  <w:r>
                    <w:rPr>
                      <w:rFonts w:hint="eastAsia" w:cs="Times New Roman"/>
                      <w:b w:val="0"/>
                      <w:bCs w:val="0"/>
                      <w:color w:val="auto"/>
                      <w:sz w:val="18"/>
                      <w:szCs w:val="18"/>
                      <w:lang w:val="en-US" w:eastAsia="zh-CN"/>
                    </w:rPr>
                    <w:t>规划环评审查意见要求</w:t>
                  </w:r>
                </w:p>
              </w:tc>
              <w:tc>
                <w:tcPr>
                  <w:tcW w:w="1507" w:type="pct"/>
                  <w:tcBorders>
                    <w:tl2br w:val="nil"/>
                    <w:tr2bl w:val="nil"/>
                  </w:tcBorders>
                  <w:noWrap w:val="0"/>
                  <w:vAlign w:val="center"/>
                </w:tcPr>
                <w:p w14:paraId="06F5C7E7">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本项目建设情况</w:t>
                  </w:r>
                </w:p>
              </w:tc>
              <w:tc>
                <w:tcPr>
                  <w:tcW w:w="310" w:type="pct"/>
                  <w:tcBorders>
                    <w:tl2br w:val="nil"/>
                    <w:tr2bl w:val="nil"/>
                  </w:tcBorders>
                  <w:noWrap w:val="0"/>
                  <w:vAlign w:val="center"/>
                </w:tcPr>
                <w:p w14:paraId="2ABDA90D">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rPr>
                    <w:t>符合</w:t>
                  </w:r>
                  <w:r>
                    <w:rPr>
                      <w:rFonts w:hint="default" w:ascii="Times New Roman" w:hAnsi="Times New Roman" w:eastAsia="宋体" w:cs="Times New Roman"/>
                      <w:b w:val="0"/>
                      <w:bCs w:val="0"/>
                      <w:color w:val="auto"/>
                      <w:sz w:val="18"/>
                      <w:szCs w:val="18"/>
                      <w:lang w:val="en-US" w:eastAsia="zh-CN"/>
                    </w:rPr>
                    <w:t>性</w:t>
                  </w:r>
                </w:p>
              </w:tc>
            </w:tr>
            <w:tr w14:paraId="547F1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58" w:type="pct"/>
                  <w:tcBorders>
                    <w:tl2br w:val="nil"/>
                    <w:tr2bl w:val="nil"/>
                  </w:tcBorders>
                  <w:noWrap w:val="0"/>
                  <w:vAlign w:val="center"/>
                </w:tcPr>
                <w:p w14:paraId="3C3FF5D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1</w:t>
                  </w:r>
                </w:p>
              </w:tc>
              <w:tc>
                <w:tcPr>
                  <w:tcW w:w="2723" w:type="pct"/>
                  <w:tcBorders>
                    <w:tl2br w:val="nil"/>
                    <w:tr2bl w:val="nil"/>
                  </w:tcBorders>
                  <w:noWrap w:val="0"/>
                  <w:vAlign w:val="center"/>
                </w:tcPr>
                <w:p w14:paraId="29DA555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加强《规划》引导，坚持绿色低碳高质量发展理念，结合生态环境分区管控要求，区域统筹保护好生态空间。根据区域发展战略，坚持生态优先、高效集约发展，加强易门产业园区优化提升工作与国土空间规划的协调衔接，进一步优化《规划》的发展定位、功能布局、产业结构、发展规模等，园区布局开发应满足国土空间管控和生态环境专项规划相关要求。按国家生态工业示范园区标准推进《规划》实施，实现产业发展与生态环境保护、人居环境安全相协调、引导园区低碳化、绿色化、循环化发展。</w:t>
                  </w:r>
                </w:p>
              </w:tc>
              <w:tc>
                <w:tcPr>
                  <w:tcW w:w="1507" w:type="pct"/>
                  <w:tcBorders>
                    <w:tl2br w:val="nil"/>
                    <w:tr2bl w:val="nil"/>
                  </w:tcBorders>
                  <w:noWrap w:val="0"/>
                  <w:vAlign w:val="center"/>
                </w:tcPr>
                <w:p w14:paraId="69D73315">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本项目位于云南易门产业园区大椿树片区，本项目是</w:t>
                  </w:r>
                  <w:r>
                    <w:rPr>
                      <w:rFonts w:hint="eastAsia" w:cs="Times New Roman"/>
                      <w:color w:val="000000"/>
                      <w:kern w:val="0"/>
                      <w:sz w:val="18"/>
                      <w:szCs w:val="18"/>
                      <w:lang w:val="en-US" w:eastAsia="zh-CN" w:bidi="ar"/>
                    </w:rPr>
                    <w:t>渣选工艺流程提效升级改</w:t>
                  </w:r>
                  <w:r>
                    <w:rPr>
                      <w:rFonts w:hint="eastAsia" w:ascii="Times New Roman" w:hAnsi="Times New Roman" w:eastAsia="宋体" w:cs="Times New Roman"/>
                      <w:color w:val="000000"/>
                      <w:kern w:val="0"/>
                      <w:sz w:val="18"/>
                      <w:szCs w:val="18"/>
                      <w:lang w:val="en-US" w:eastAsia="zh-CN" w:bidi="ar"/>
                    </w:rPr>
                    <w:t>造项目，</w:t>
                  </w:r>
                  <w:r>
                    <w:rPr>
                      <w:rFonts w:hint="default" w:ascii="Times New Roman" w:hAnsi="Times New Roman" w:eastAsia="宋体" w:cs="Times New Roman"/>
                      <w:color w:val="000000"/>
                      <w:kern w:val="0"/>
                      <w:sz w:val="18"/>
                      <w:szCs w:val="18"/>
                      <w:lang w:val="en-US" w:eastAsia="zh-CN" w:bidi="ar"/>
                    </w:rPr>
                    <w:t>易门铜业有限公司主要从事铜矿有色金属冶炼，本项目</w:t>
                  </w:r>
                  <w:r>
                    <w:rPr>
                      <w:rFonts w:hint="eastAsia" w:cs="Times New Roman"/>
                      <w:color w:val="000000"/>
                      <w:kern w:val="0"/>
                      <w:sz w:val="18"/>
                      <w:szCs w:val="18"/>
                      <w:lang w:val="en-US" w:eastAsia="zh-CN" w:bidi="ar"/>
                    </w:rPr>
                    <w:t>利用主体工程铜冶炼渣进行选矿</w:t>
                  </w:r>
                  <w:r>
                    <w:rPr>
                      <w:rFonts w:hint="eastAsia" w:ascii="Times New Roman" w:hAnsi="Times New Roman" w:eastAsia="宋体" w:cs="Times New Roman"/>
                      <w:color w:val="000000"/>
                      <w:kern w:val="0"/>
                      <w:sz w:val="18"/>
                      <w:szCs w:val="18"/>
                      <w:lang w:val="en-US" w:eastAsia="zh-CN" w:bidi="ar"/>
                    </w:rPr>
                    <w:t>，产业定位与片区规划的</w:t>
                  </w:r>
                  <w:r>
                    <w:rPr>
                      <w:rFonts w:hint="default" w:ascii="Times New Roman" w:hAnsi="Times New Roman" w:eastAsia="宋体" w:cs="Times New Roman"/>
                      <w:color w:val="000000"/>
                      <w:kern w:val="0"/>
                      <w:sz w:val="18"/>
                      <w:szCs w:val="18"/>
                      <w:lang w:val="en-US" w:eastAsia="zh-CN" w:bidi="ar"/>
                    </w:rPr>
                    <w:t>固废综合利用产业</w:t>
                  </w:r>
                  <w:r>
                    <w:rPr>
                      <w:rFonts w:hint="eastAsia" w:ascii="Times New Roman" w:hAnsi="Times New Roman" w:eastAsia="宋体" w:cs="Times New Roman"/>
                      <w:color w:val="000000"/>
                      <w:kern w:val="0"/>
                      <w:sz w:val="18"/>
                      <w:szCs w:val="18"/>
                      <w:lang w:val="en-US" w:eastAsia="zh-CN" w:bidi="ar"/>
                    </w:rPr>
                    <w:t>符合，扩建项目不新增征地，在现有厂区建设用地上建设，用地符合片区用地规划，项目符合《云南易门产业园区总体规划（修编）（2021-2035年）》。</w:t>
                  </w:r>
                </w:p>
              </w:tc>
              <w:tc>
                <w:tcPr>
                  <w:tcW w:w="310" w:type="pct"/>
                  <w:tcBorders>
                    <w:tl2br w:val="nil"/>
                    <w:tr2bl w:val="nil"/>
                  </w:tcBorders>
                  <w:noWrap w:val="0"/>
                  <w:vAlign w:val="center"/>
                </w:tcPr>
                <w:p w14:paraId="291D7F3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符合</w:t>
                  </w:r>
                </w:p>
              </w:tc>
            </w:tr>
            <w:tr w14:paraId="0A6A45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458" w:type="pct"/>
                  <w:tcBorders>
                    <w:tl2br w:val="nil"/>
                    <w:tr2bl w:val="nil"/>
                  </w:tcBorders>
                  <w:noWrap w:val="0"/>
                  <w:vAlign w:val="center"/>
                </w:tcPr>
                <w:p w14:paraId="3C44E0F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w:t>
                  </w:r>
                </w:p>
              </w:tc>
              <w:tc>
                <w:tcPr>
                  <w:tcW w:w="2723" w:type="pct"/>
                  <w:tcBorders>
                    <w:tl2br w:val="nil"/>
                    <w:tr2bl w:val="nil"/>
                  </w:tcBorders>
                  <w:noWrap w:val="0"/>
                  <w:vAlign w:val="center"/>
                </w:tcPr>
                <w:p w14:paraId="58FE642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严格控制产业发展规模，合理安排开发时序。根据资源环境禀赋条件、产业政策、能源双控、环境容量等要求，审慎论证规划产业规模；实施“雨污分流”，加强建设初期雨水收集处理系统，加强园区企业废水的梯级利用，区域水环境质量未达到水质目标前，除城镇污水处理厂入河排污口外，不再新设、改设或者扩大排污口，结合水污染防治方案等实施相应的水环境质量改善工程，切实削减</w:t>
                  </w:r>
                  <w:r>
                    <w:rPr>
                      <w:rFonts w:hint="default" w:ascii="Times New Roman" w:hAnsi="Times New Roman" w:eastAsia="宋体" w:cs="Times New Roman"/>
                      <w:color w:val="000000"/>
                      <w:kern w:val="0"/>
                      <w:sz w:val="18"/>
                      <w:szCs w:val="18"/>
                      <w:lang w:val="en-US" w:eastAsia="zh-CN" w:bidi="ar"/>
                    </w:rPr>
                    <w:t>COD</w:t>
                  </w:r>
                  <w:r>
                    <w:rPr>
                      <w:rFonts w:hint="eastAsia" w:ascii="Times New Roman" w:hAnsi="Times New Roman" w:eastAsia="宋体" w:cs="Times New Roman"/>
                      <w:color w:val="000000"/>
                      <w:kern w:val="0"/>
                      <w:sz w:val="18"/>
                      <w:szCs w:val="18"/>
                      <w:lang w:val="en-US" w:eastAsia="zh-CN" w:bidi="ar"/>
                    </w:rPr>
                    <w:t>、氨氮等污染物，配合易门县相关部门，加强六街河、小山凹河、双龙河、三五大河、浦贝河、扒河等河道的水环境综合整治与生态修复工程，切实改善地表水环境质量。</w:t>
                  </w:r>
                </w:p>
              </w:tc>
              <w:tc>
                <w:tcPr>
                  <w:tcW w:w="1507" w:type="pct"/>
                  <w:tcBorders>
                    <w:tl2br w:val="nil"/>
                    <w:tr2bl w:val="nil"/>
                  </w:tcBorders>
                  <w:noWrap w:val="0"/>
                  <w:vAlign w:val="center"/>
                </w:tcPr>
                <w:p w14:paraId="7DF50970">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项目</w:t>
                  </w:r>
                  <w:r>
                    <w:rPr>
                      <w:rFonts w:hint="eastAsia" w:cs="Times New Roman"/>
                      <w:color w:val="000000"/>
                      <w:kern w:val="0"/>
                      <w:sz w:val="18"/>
                      <w:szCs w:val="18"/>
                      <w:lang w:val="en-US" w:eastAsia="zh-CN" w:bidi="ar"/>
                    </w:rPr>
                    <w:t>实行</w:t>
                  </w:r>
                  <w:r>
                    <w:rPr>
                      <w:rFonts w:hint="eastAsia" w:ascii="Times New Roman" w:hAnsi="Times New Roman" w:eastAsia="宋体" w:cs="Times New Roman"/>
                      <w:color w:val="000000"/>
                      <w:kern w:val="0"/>
                      <w:sz w:val="18"/>
                      <w:szCs w:val="18"/>
                      <w:lang w:val="en-US" w:eastAsia="zh-CN" w:bidi="ar"/>
                    </w:rPr>
                    <w:t>“雨污分流”，项目区初期雨水经收集后进入</w:t>
                  </w:r>
                  <w:r>
                    <w:rPr>
                      <w:rFonts w:hint="eastAsia" w:cs="Times New Roman"/>
                      <w:color w:val="000000"/>
                      <w:kern w:val="0"/>
                      <w:sz w:val="18"/>
                      <w:szCs w:val="18"/>
                      <w:lang w:val="en-US" w:eastAsia="zh-CN" w:bidi="ar"/>
                    </w:rPr>
                    <w:t>初期雨水收集池处理后回用，不外排；</w:t>
                  </w:r>
                  <w:r>
                    <w:rPr>
                      <w:rFonts w:hint="eastAsia" w:ascii="Times New Roman" w:hAnsi="Times New Roman" w:eastAsia="宋体" w:cs="Times New Roman"/>
                      <w:color w:val="auto"/>
                      <w:sz w:val="18"/>
                      <w:szCs w:val="18"/>
                      <w:lang w:val="en-US" w:eastAsia="zh-CN"/>
                    </w:rPr>
                    <w:t>生产废水循环使用，不外排</w:t>
                  </w:r>
                  <w:r>
                    <w:rPr>
                      <w:rFonts w:hint="eastAsia" w:cs="Times New Roman"/>
                      <w:color w:val="auto"/>
                      <w:sz w:val="18"/>
                      <w:szCs w:val="18"/>
                      <w:lang w:val="en-US" w:eastAsia="zh-CN"/>
                    </w:rPr>
                    <w:t>；</w:t>
                  </w:r>
                  <w:r>
                    <w:rPr>
                      <w:rFonts w:hint="eastAsia" w:cs="Times New Roman"/>
                      <w:color w:val="000000"/>
                      <w:kern w:val="0"/>
                      <w:sz w:val="18"/>
                      <w:szCs w:val="18"/>
                      <w:lang w:val="en-US" w:eastAsia="zh-CN" w:bidi="ar"/>
                    </w:rPr>
                    <w:t>车辆清洗废水收集沉淀后回用，不外排；</w:t>
                  </w:r>
                  <w:r>
                    <w:rPr>
                      <w:rFonts w:hint="eastAsia" w:ascii="Times New Roman" w:hAnsi="Times New Roman" w:eastAsia="宋体" w:cs="Times New Roman"/>
                      <w:color w:val="000000"/>
                      <w:kern w:val="0"/>
                      <w:sz w:val="18"/>
                      <w:szCs w:val="18"/>
                      <w:lang w:val="en-US" w:eastAsia="zh-CN" w:bidi="ar"/>
                    </w:rPr>
                    <w:t>生活污水收集后进入生活污水处理站（200m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/d），处理后回用于厂区绿化、道路洒水，不外排。</w:t>
                  </w:r>
                </w:p>
              </w:tc>
              <w:tc>
                <w:tcPr>
                  <w:tcW w:w="310" w:type="pct"/>
                  <w:tcBorders>
                    <w:tl2br w:val="nil"/>
                    <w:tr2bl w:val="nil"/>
                  </w:tcBorders>
                  <w:noWrap w:val="0"/>
                  <w:vAlign w:val="center"/>
                </w:tcPr>
                <w:p w14:paraId="4DDFECC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符合</w:t>
                  </w:r>
                </w:p>
              </w:tc>
            </w:tr>
            <w:tr w14:paraId="02B293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tcBorders>
                    <w:tl2br w:val="nil"/>
                    <w:tr2bl w:val="nil"/>
                  </w:tcBorders>
                  <w:noWrap w:val="0"/>
                  <w:vAlign w:val="center"/>
                </w:tcPr>
                <w:p w14:paraId="6DD53588">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3</w:t>
                  </w:r>
                </w:p>
              </w:tc>
              <w:tc>
                <w:tcPr>
                  <w:tcW w:w="2723" w:type="pct"/>
                  <w:tcBorders>
                    <w:tl2br w:val="nil"/>
                    <w:tr2bl w:val="nil"/>
                  </w:tcBorders>
                  <w:noWrap w:val="0"/>
                  <w:vAlign w:val="center"/>
                </w:tcPr>
                <w:p w14:paraId="62EB850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进一步优化园区空间布局，加强空间管控，加大对环境敏感区的保护力度，严禁不符合管控要求的各类开发和建设活动。《规划》范围内的一般生态空间、公益林、基本农田等敏感区域，严格进行保护，原则上不进行开发建设；六街片区邻易门县级翠柏自然保护区，应优化布局，企业与保护区须留出一定的缓冲距离；园区内工业用地与人口密集区应合理设置绿化隔离带，留出必要的防护距离；园区按《云南省人民政府办公厅关于推动落后和低端低效产能退出的实施意见》（云政办发〔</w:t>
                  </w:r>
                  <w:r>
                    <w:rPr>
                      <w:rFonts w:hint="default" w:ascii="Times New Roman" w:hAnsi="Times New Roman" w:eastAsia="宋体" w:cs="Times New Roman"/>
                      <w:color w:val="000000"/>
                      <w:kern w:val="0"/>
                      <w:sz w:val="18"/>
                      <w:szCs w:val="18"/>
                      <w:lang w:val="en-US" w:eastAsia="zh-CN" w:bidi="ar"/>
                    </w:rPr>
                    <w:t>2022</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17</w:t>
                  </w:r>
                  <w:r>
                    <w:rPr>
                      <w:rFonts w:hint="eastAsia" w:ascii="Times New Roman" w:hAnsi="Times New Roman" w:eastAsia="宋体" w:cs="Times New Roman"/>
                      <w:color w:val="000000"/>
                      <w:kern w:val="0"/>
                      <w:sz w:val="18"/>
                      <w:szCs w:val="18"/>
                      <w:lang w:val="en-US" w:eastAsia="zh-CN" w:bidi="ar"/>
                    </w:rPr>
                    <w:t>号）相关要求，依法依规关停退出能耗、环保、质量、安全不达标和落后、过剩产能，分行业有序退出“限制类”产能；现有重污染企业要开展技术升级改造和环保设施提标改造；加强对各片区内及周边集中居住区等生活空间防护，确保园区产业布局与生态环境保护、人居环境安全相协调。</w:t>
                  </w:r>
                </w:p>
              </w:tc>
              <w:tc>
                <w:tcPr>
                  <w:tcW w:w="1507" w:type="pct"/>
                  <w:tcBorders>
                    <w:tl2br w:val="nil"/>
                    <w:tr2bl w:val="nil"/>
                  </w:tcBorders>
                  <w:noWrap w:val="0"/>
                  <w:vAlign w:val="center"/>
                </w:tcPr>
                <w:p w14:paraId="1E14085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项目在现有厂区内建设，不新征用土地，本项目是在现有</w:t>
                  </w:r>
                  <w:r>
                    <w:rPr>
                      <w:rFonts w:hint="eastAsia" w:cs="Times New Roman"/>
                      <w:color w:val="000000"/>
                      <w:kern w:val="0"/>
                      <w:sz w:val="18"/>
                      <w:szCs w:val="18"/>
                      <w:lang w:val="en-US" w:eastAsia="zh-CN" w:bidi="ar"/>
                    </w:rPr>
                    <w:t>渣选工艺进行提升</w:t>
                  </w:r>
                  <w:r>
                    <w:rPr>
                      <w:rFonts w:hint="eastAsia" w:ascii="Times New Roman" w:hAnsi="Times New Roman" w:eastAsia="宋体" w:cs="Times New Roman"/>
                      <w:color w:val="000000"/>
                      <w:kern w:val="0"/>
                      <w:sz w:val="18"/>
                      <w:szCs w:val="18"/>
                      <w:lang w:val="en-US" w:eastAsia="zh-CN" w:bidi="ar"/>
                    </w:rPr>
                    <w:t>，项目符合国家现行产业政策及环保要求；项目的建设、运行对所处区域空气环境质量影响不大、对关心点的影响不大，不会改变项目所在区域环境功能要求</w:t>
                  </w:r>
                  <w:r>
                    <w:rPr>
                      <w:rFonts w:hint="eastAsia" w:cs="Times New Roman"/>
                      <w:color w:val="000000"/>
                      <w:kern w:val="0"/>
                      <w:sz w:val="18"/>
                      <w:szCs w:val="18"/>
                      <w:lang w:val="en-US" w:eastAsia="zh-CN" w:bidi="ar"/>
                    </w:rPr>
                    <w:t>。</w:t>
                  </w:r>
                </w:p>
              </w:tc>
              <w:tc>
                <w:tcPr>
                  <w:tcW w:w="310" w:type="pct"/>
                  <w:tcBorders>
                    <w:tl2br w:val="nil"/>
                    <w:tr2bl w:val="nil"/>
                  </w:tcBorders>
                  <w:noWrap w:val="0"/>
                  <w:vAlign w:val="center"/>
                </w:tcPr>
                <w:p w14:paraId="56BD3D4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符合</w:t>
                  </w:r>
                </w:p>
              </w:tc>
            </w:tr>
            <w:tr w14:paraId="3EBFEE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8" w:hRule="atLeast"/>
                <w:jc w:val="center"/>
              </w:trPr>
              <w:tc>
                <w:tcPr>
                  <w:tcW w:w="458" w:type="pct"/>
                  <w:tcBorders>
                    <w:tl2br w:val="nil"/>
                    <w:tr2bl w:val="nil"/>
                  </w:tcBorders>
                  <w:noWrap w:val="0"/>
                  <w:vAlign w:val="center"/>
                </w:tcPr>
                <w:p w14:paraId="049BEA3B">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4</w:t>
                  </w:r>
                </w:p>
              </w:tc>
              <w:tc>
                <w:tcPr>
                  <w:tcW w:w="2723" w:type="pct"/>
                  <w:tcBorders>
                    <w:tl2br w:val="nil"/>
                    <w:tr2bl w:val="nil"/>
                  </w:tcBorders>
                  <w:noWrap w:val="0"/>
                  <w:vAlign w:val="center"/>
                </w:tcPr>
                <w:p w14:paraId="7499BED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强化污染物排放总量管控。根据国家和云南省污染防治规划和区域“三线一单”生态环境分区管控相关要求，落实园区污染减排措施和要求，采取有效措施减少重金属、颗粒物和挥发性有机物等特征污染物的排放量，推进挥发性有机物和氮氧化物协同治理，促进产业发展与生态环境保护相协调，新建、扩建金属冶炼项目大气污染物需满足超低排放要求，建材等“两高”项目实行主要污染物区域削减替代。</w:t>
                  </w:r>
                </w:p>
              </w:tc>
              <w:tc>
                <w:tcPr>
                  <w:tcW w:w="1507" w:type="pct"/>
                  <w:tcBorders>
                    <w:tl2br w:val="nil"/>
                    <w:tr2bl w:val="nil"/>
                  </w:tcBorders>
                  <w:noWrap w:val="0"/>
                  <w:vAlign w:val="center"/>
                </w:tcPr>
                <w:p w14:paraId="2BDA2F2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本项目为渣选工艺流程提效升级改造项目，项目建设符合国家和云南省污染防治规划和</w:t>
                  </w:r>
                  <w:r>
                    <w:rPr>
                      <w:rFonts w:hint="eastAsia" w:cs="Times New Roman"/>
                      <w:color w:val="000000"/>
                      <w:kern w:val="0"/>
                      <w:sz w:val="18"/>
                      <w:szCs w:val="18"/>
                      <w:lang w:val="en-US" w:eastAsia="zh-CN" w:bidi="ar"/>
                    </w:rPr>
                    <w:t>玉溪市“三线一单”</w:t>
                  </w:r>
                  <w:r>
                    <w:rPr>
                      <w:rFonts w:hint="eastAsia" w:ascii="Times New Roman" w:hAnsi="Times New Roman" w:eastAsia="宋体" w:cs="Times New Roman"/>
                      <w:color w:val="000000"/>
                      <w:kern w:val="0"/>
                      <w:sz w:val="18"/>
                      <w:szCs w:val="18"/>
                      <w:lang w:val="en-US" w:eastAsia="zh-CN" w:bidi="ar"/>
                    </w:rPr>
                    <w:t>生态环境分区管控相关要求</w:t>
                  </w:r>
                  <w:r>
                    <w:rPr>
                      <w:rFonts w:hint="eastAsia" w:cs="Times New Roman"/>
                      <w:color w:val="000000"/>
                      <w:kern w:val="0"/>
                      <w:sz w:val="18"/>
                      <w:szCs w:val="18"/>
                      <w:lang w:val="en-US" w:eastAsia="zh-CN" w:bidi="ar"/>
                    </w:rPr>
                    <w:t>。</w:t>
                  </w:r>
                </w:p>
              </w:tc>
              <w:tc>
                <w:tcPr>
                  <w:tcW w:w="310" w:type="pct"/>
                  <w:tcBorders>
                    <w:tl2br w:val="nil"/>
                    <w:tr2bl w:val="nil"/>
                  </w:tcBorders>
                  <w:noWrap w:val="0"/>
                  <w:vAlign w:val="center"/>
                </w:tcPr>
                <w:p w14:paraId="683B963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符合</w:t>
                  </w:r>
                </w:p>
              </w:tc>
            </w:tr>
            <w:tr w14:paraId="1DDA76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458" w:type="pct"/>
                  <w:tcBorders>
                    <w:tl2br w:val="nil"/>
                    <w:tr2bl w:val="nil"/>
                  </w:tcBorders>
                  <w:noWrap w:val="0"/>
                  <w:vAlign w:val="center"/>
                </w:tcPr>
                <w:p w14:paraId="6A2AEC95">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5</w:t>
                  </w:r>
                </w:p>
              </w:tc>
              <w:tc>
                <w:tcPr>
                  <w:tcW w:w="2723" w:type="pct"/>
                  <w:tcBorders>
                    <w:tl2br w:val="nil"/>
                    <w:tr2bl w:val="nil"/>
                  </w:tcBorders>
                  <w:noWrap w:val="0"/>
                  <w:vAlign w:val="center"/>
                </w:tcPr>
                <w:p w14:paraId="7E098A0A">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严守环境质量底线，严格片区环境管控。根据“三线一单”、国家和云南省有关大气污染防治的相关要求，严格执行园区大气污染物总量管控要求，合理确定产业规模、布局、建设时序；入园企业采用先进的生产工艺路线、装备、清洁能源与原料，从源头上控制污染物的产生，在技术经济可行的条件下，应采用先进高效的污染防治措施，重点做好外排废气中颗粒物、二氧化硫、氮氧化物、挥发性有机物等污染物的减排工作，结合区域大气污染防治要求，加快能源结构升级改造和使用清洁能源，促进区域大气环境质量改善。</w:t>
                  </w:r>
                </w:p>
                <w:p w14:paraId="6DCD4AD6">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高度重视园区废水收集、处理、回用的环境管理，实施“雨污分流”，加快各片区污水管网、回用管网的建设，结合区域的建设时序适时建设污水处理厂、再生水处理设施，区域河流纳污容量有限，确保受纳水体水质满足环境功能要求。企业园区产业布局和项目建设时应充分考虑对地下水环境的影响，优化布局，严格水文地质、工程地质勘察，合理规避地下暗河及溶岩发育区，做好地下水污染防治和监控，按相关规范要求采取针对性防渗措施，确保区域地下水环境安全；严格执行《地下水管理条例》中相关规定，在泉域保护范围以及岩溶强发育、存在较多落水洞和岩溶漏斗的区域内，不得新建、改建、扩建可能造成地下水污染的建设项目。</w:t>
                  </w:r>
                </w:p>
                <w:p w14:paraId="180097D4">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将土壤污染防治工作纳入园区规划及相关环境保护规划，采取有效预防措施，防止、减少土壤污染，确保满足土壤环境管控要求。入园企业产生的危险废物按照规定严格管控，积极推进工业固体废物综合利用。</w:t>
                  </w:r>
                </w:p>
                <w:p w14:paraId="1FD33A0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根据国家和地方碳达峰碳中和行动方案和节能减排工作要求，积极开展园区减污降碳协同管控，推广园区能源梯级利用等节能低碳技术，实现减污降碳协同增效目标。</w:t>
                  </w:r>
                </w:p>
              </w:tc>
              <w:tc>
                <w:tcPr>
                  <w:tcW w:w="1507" w:type="pct"/>
                  <w:tcBorders>
                    <w:tl2br w:val="nil"/>
                    <w:tr2bl w:val="nil"/>
                  </w:tcBorders>
                  <w:noWrap w:val="0"/>
                  <w:vAlign w:val="center"/>
                </w:tcPr>
                <w:p w14:paraId="7FB9AC9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项目符合国家和地方产业政策和规划，符合玉溪市“生态环境分区管控”要求，废气污染物排放浓度满足《铜、镍、钴工业污染物排放标准》（GB25467-2010）浓度限值；项目区初期雨水经收集后进入</w:t>
                  </w:r>
                  <w:r>
                    <w:rPr>
                      <w:rFonts w:hint="eastAsia" w:cs="Times New Roman"/>
                      <w:color w:val="000000"/>
                      <w:kern w:val="0"/>
                      <w:sz w:val="18"/>
                      <w:szCs w:val="18"/>
                      <w:lang w:val="en-US" w:eastAsia="zh-CN" w:bidi="ar"/>
                    </w:rPr>
                    <w:t>初期雨水收集池处理后回用，不外排；</w:t>
                  </w:r>
                  <w:r>
                    <w:rPr>
                      <w:rFonts w:hint="eastAsia" w:ascii="Times New Roman" w:hAnsi="Times New Roman" w:eastAsia="宋体" w:cs="Times New Roman"/>
                      <w:color w:val="auto"/>
                      <w:sz w:val="18"/>
                      <w:szCs w:val="18"/>
                      <w:lang w:val="en-US" w:eastAsia="zh-CN"/>
                    </w:rPr>
                    <w:t>生产废水循环使用，不外排</w:t>
                  </w:r>
                  <w:r>
                    <w:rPr>
                      <w:rFonts w:hint="eastAsia" w:cs="Times New Roman"/>
                      <w:color w:val="auto"/>
                      <w:sz w:val="18"/>
                      <w:szCs w:val="18"/>
                      <w:lang w:val="en-US" w:eastAsia="zh-CN"/>
                    </w:rPr>
                    <w:t>；</w:t>
                  </w:r>
                  <w:r>
                    <w:rPr>
                      <w:rFonts w:hint="eastAsia" w:cs="Times New Roman"/>
                      <w:color w:val="000000"/>
                      <w:kern w:val="0"/>
                      <w:sz w:val="18"/>
                      <w:szCs w:val="18"/>
                      <w:lang w:val="en-US" w:eastAsia="zh-CN" w:bidi="ar"/>
                    </w:rPr>
                    <w:t>车辆清洗废水收集沉淀后回用，不外排；</w:t>
                  </w:r>
                  <w:r>
                    <w:rPr>
                      <w:rFonts w:hint="eastAsia" w:ascii="Times New Roman" w:hAnsi="Times New Roman" w:eastAsia="宋体" w:cs="Times New Roman"/>
                      <w:color w:val="000000"/>
                      <w:kern w:val="0"/>
                      <w:sz w:val="18"/>
                      <w:szCs w:val="18"/>
                      <w:lang w:val="en-US" w:eastAsia="zh-CN" w:bidi="ar"/>
                    </w:rPr>
                    <w:t>生活污水收集后进入生活污水处理站（200m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/d），处理后回用于厂区绿化、道路洒水，不外排</w:t>
                  </w:r>
                  <w:r>
                    <w:rPr>
                      <w:rFonts w:hint="eastAsia" w:cs="Times New Roman"/>
                      <w:color w:val="auto"/>
                      <w:sz w:val="18"/>
                      <w:szCs w:val="18"/>
                      <w:lang w:val="en-US" w:eastAsia="zh-CN"/>
                    </w:rPr>
                    <w:t>；各类固废妥善处置</w:t>
                  </w:r>
                  <w:r>
                    <w:rPr>
                      <w:rFonts w:hint="eastAsia" w:ascii="Times New Roman" w:hAnsi="Times New Roman" w:eastAsia="宋体" w:cs="Times New Roman"/>
                      <w:color w:val="000000"/>
                      <w:kern w:val="0"/>
                      <w:sz w:val="18"/>
                      <w:szCs w:val="18"/>
                      <w:lang w:val="en-US" w:eastAsia="zh-CN" w:bidi="ar"/>
                    </w:rPr>
                    <w:t>。</w:t>
                  </w:r>
                </w:p>
              </w:tc>
              <w:tc>
                <w:tcPr>
                  <w:tcW w:w="310" w:type="pct"/>
                  <w:tcBorders>
                    <w:tl2br w:val="nil"/>
                    <w:tr2bl w:val="nil"/>
                  </w:tcBorders>
                  <w:noWrap w:val="0"/>
                  <w:vAlign w:val="center"/>
                </w:tcPr>
                <w:p w14:paraId="583FBA6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符合</w:t>
                  </w:r>
                </w:p>
              </w:tc>
            </w:tr>
            <w:tr w14:paraId="68608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58" w:type="pct"/>
                  <w:tcBorders>
                    <w:tl2br w:val="nil"/>
                    <w:tr2bl w:val="nil"/>
                  </w:tcBorders>
                  <w:noWrap w:val="0"/>
                  <w:vAlign w:val="center"/>
                </w:tcPr>
                <w:p w14:paraId="6ADAE1FF">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6</w:t>
                  </w:r>
                </w:p>
              </w:tc>
              <w:tc>
                <w:tcPr>
                  <w:tcW w:w="2723" w:type="pct"/>
                  <w:tcBorders>
                    <w:tl2br w:val="nil"/>
                    <w:tr2bl w:val="nil"/>
                  </w:tcBorders>
                  <w:noWrap w:val="0"/>
                  <w:vAlign w:val="center"/>
                </w:tcPr>
                <w:p w14:paraId="3A941D2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严格执行环境准入要求，加强入园项目生态环境准入管理。落实蓝天、碧水、净土保卫战有关管控要求，加强“两高”行业生态环境源头防控，引进项目的生产工艺、设备、污染物排放和资源利用等，应达到清洁生产国内先进水平；推进技术研发型、创新型产业发展，提升产业的技术水平和园区的绿色低碳化水平；园区招商引资、入园项目环评审批应严格执行生态环境准入要求，要以园区的资源环境承载能力为基础，充分论证、有序发展，严禁引进工艺装备落后，不符合污染物排放总量控制要求的企业。</w:t>
                  </w:r>
                </w:p>
              </w:tc>
              <w:tc>
                <w:tcPr>
                  <w:tcW w:w="1507" w:type="pct"/>
                  <w:tcBorders>
                    <w:tl2br w:val="nil"/>
                    <w:tr2bl w:val="nil"/>
                  </w:tcBorders>
                  <w:noWrap w:val="0"/>
                  <w:vAlign w:val="center"/>
                </w:tcPr>
                <w:p w14:paraId="04222A8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本项目为渣选工艺提效升级改造项目，污染物排放符合总量控制要求。</w:t>
                  </w:r>
                </w:p>
              </w:tc>
              <w:tc>
                <w:tcPr>
                  <w:tcW w:w="310" w:type="pct"/>
                  <w:tcBorders>
                    <w:tl2br w:val="nil"/>
                    <w:tr2bl w:val="nil"/>
                  </w:tcBorders>
                  <w:noWrap w:val="0"/>
                  <w:vAlign w:val="center"/>
                </w:tcPr>
                <w:p w14:paraId="3F0F2D1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符合</w:t>
                  </w:r>
                </w:p>
              </w:tc>
            </w:tr>
            <w:tr w14:paraId="5B51FC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tcBorders>
                    <w:tl2br w:val="nil"/>
                    <w:tr2bl w:val="nil"/>
                  </w:tcBorders>
                  <w:noWrap w:val="0"/>
                  <w:vAlign w:val="center"/>
                </w:tcPr>
                <w:p w14:paraId="51CF454A">
                  <w:pPr>
                    <w:keepNext w:val="0"/>
                    <w:keepLines w:val="0"/>
                    <w:widowControl/>
                    <w:suppressLineNumbers w:val="0"/>
                    <w:ind w:left="0" w:leftChars="0" w:right="0" w:rightChars="0" w:firstLine="0" w:firstLineChars="0"/>
                    <w:jc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7</w:t>
                  </w:r>
                </w:p>
              </w:tc>
              <w:tc>
                <w:tcPr>
                  <w:tcW w:w="2723" w:type="pct"/>
                  <w:tcBorders>
                    <w:tl2br w:val="nil"/>
                    <w:tr2bl w:val="nil"/>
                  </w:tcBorders>
                  <w:noWrap w:val="0"/>
                  <w:vAlign w:val="center"/>
                </w:tcPr>
                <w:p w14:paraId="42220683">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建立健全区域环境风险防范和生态安全保障体系。加强园区内易导致环境风险的有毒有害和易燃易爆物质的生产、使用、贮运等管理，统筹考虑污染防治、生态恢复与建设、环境风险防范、环境管理等事宜；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1507" w:type="pct"/>
                  <w:tcBorders>
                    <w:tl2br w:val="nil"/>
                    <w:tr2bl w:val="nil"/>
                  </w:tcBorders>
                  <w:noWrap w:val="0"/>
                  <w:vAlign w:val="center"/>
                </w:tcPr>
                <w:p w14:paraId="292975C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项目加强环境风险防控，企业已制定突发环境事件应急预案并完成备案，改建完成后及时修订应急预案。</w:t>
                  </w:r>
                </w:p>
              </w:tc>
              <w:tc>
                <w:tcPr>
                  <w:tcW w:w="310" w:type="pct"/>
                  <w:tcBorders>
                    <w:tl2br w:val="nil"/>
                    <w:tr2bl w:val="nil"/>
                  </w:tcBorders>
                  <w:noWrap w:val="0"/>
                  <w:vAlign w:val="center"/>
                </w:tcPr>
                <w:p w14:paraId="4763E97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72CB19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tcBorders>
                    <w:tl2br w:val="nil"/>
                    <w:tr2bl w:val="nil"/>
                  </w:tcBorders>
                  <w:noWrap w:val="0"/>
                  <w:vAlign w:val="center"/>
                </w:tcPr>
                <w:p w14:paraId="0106619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8</w:t>
                  </w:r>
                </w:p>
              </w:tc>
              <w:tc>
                <w:tcPr>
                  <w:tcW w:w="2723" w:type="pct"/>
                  <w:tcBorders>
                    <w:tl2br w:val="nil"/>
                    <w:tr2bl w:val="nil"/>
                  </w:tcBorders>
                  <w:noWrap w:val="0"/>
                  <w:vAlign w:val="center"/>
                </w:tcPr>
                <w:p w14:paraId="42994977">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建立环境质量监测网络并共享数据。根据园区功能分区、产业布局、重点企业分布、特征污染物的排放种类和状况、环境敏感目标分布等情况，统筹安排环境监测监控网络建设，建议园区设置环境空气自动监测站；切实做好园区大气、地表水、地下水、土壤等环境的长期跟踪监测与管理，督促排污企业落实自行监测责任，根据监测结果、实际环境影响、不良环境影响减缓措施的有效性等完善环境管理方案并适时优化调整《规划》。</w:t>
                  </w:r>
                </w:p>
              </w:tc>
              <w:tc>
                <w:tcPr>
                  <w:tcW w:w="1507" w:type="pct"/>
                  <w:tcBorders>
                    <w:tl2br w:val="nil"/>
                    <w:tr2bl w:val="nil"/>
                  </w:tcBorders>
                  <w:noWrap w:val="0"/>
                  <w:vAlign w:val="center"/>
                </w:tcPr>
                <w:p w14:paraId="1E106698">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val="0"/>
                      <w:color w:val="auto"/>
                      <w:sz w:val="18"/>
                      <w:szCs w:val="18"/>
                    </w:rPr>
                  </w:pPr>
                  <w:r>
                    <w:rPr>
                      <w:rFonts w:hint="eastAsia" w:ascii="Times New Roman" w:hAnsi="Times New Roman" w:eastAsia="宋体" w:cs="Times New Roman"/>
                      <w:color w:val="000000"/>
                      <w:kern w:val="0"/>
                      <w:sz w:val="18"/>
                      <w:szCs w:val="18"/>
                      <w:lang w:val="en-US" w:eastAsia="zh-CN" w:bidi="ar"/>
                    </w:rPr>
                    <w:t>企业制定了自行监测计划，并将严格落实相关的监测计划。</w:t>
                  </w:r>
                </w:p>
              </w:tc>
              <w:tc>
                <w:tcPr>
                  <w:tcW w:w="310" w:type="pct"/>
                  <w:tcBorders>
                    <w:tl2br w:val="nil"/>
                    <w:tr2bl w:val="nil"/>
                  </w:tcBorders>
                  <w:noWrap w:val="0"/>
                  <w:vAlign w:val="center"/>
                </w:tcPr>
                <w:p w14:paraId="5B2ACB5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符合</w:t>
                  </w:r>
                </w:p>
              </w:tc>
            </w:tr>
            <w:tr w14:paraId="5D974D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tcBorders>
                    <w:tl2br w:val="nil"/>
                    <w:tr2bl w:val="nil"/>
                  </w:tcBorders>
                  <w:noWrap w:val="0"/>
                  <w:vAlign w:val="center"/>
                </w:tcPr>
                <w:p w14:paraId="4F8BC131">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9</w:t>
                  </w:r>
                </w:p>
              </w:tc>
              <w:tc>
                <w:tcPr>
                  <w:tcW w:w="2723" w:type="pct"/>
                  <w:tcBorders>
                    <w:tl2br w:val="nil"/>
                    <w:tr2bl w:val="nil"/>
                  </w:tcBorders>
                  <w:noWrap w:val="0"/>
                  <w:vAlign w:val="center"/>
                </w:tcPr>
                <w:p w14:paraId="456134BA">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加快园区环保基础设施建设，促进区域环境质量持续改善。各片区应根据用地规模、开发程度、产业聚集程度及排水条件，因地制宜规划建设污水集中处理设施及中水回用设施，并同步建设污水管网、雨水管网及中水回用管网，确保各片区污水得到有效收集和处理；积极推进集中供热的建设，督促园区企业加强废气、废水、噪声、固废等环保设施建设和运行管理。</w:t>
                  </w:r>
                </w:p>
              </w:tc>
              <w:tc>
                <w:tcPr>
                  <w:tcW w:w="1507" w:type="pct"/>
                  <w:tcBorders>
                    <w:tl2br w:val="nil"/>
                    <w:tr2bl w:val="nil"/>
                  </w:tcBorders>
                  <w:noWrap w:val="0"/>
                  <w:vAlign w:val="center"/>
                </w:tcPr>
                <w:p w14:paraId="2775469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c>
                <w:tcPr>
                  <w:tcW w:w="310" w:type="pct"/>
                  <w:tcBorders>
                    <w:tl2br w:val="nil"/>
                    <w:tr2bl w:val="nil"/>
                  </w:tcBorders>
                  <w:noWrap w:val="0"/>
                  <w:vAlign w:val="center"/>
                </w:tcPr>
                <w:p w14:paraId="5A0E528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5F7DBD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tcBorders>
                    <w:tl2br w:val="nil"/>
                    <w:tr2bl w:val="nil"/>
                  </w:tcBorders>
                  <w:noWrap w:val="0"/>
                  <w:vAlign w:val="center"/>
                </w:tcPr>
                <w:p w14:paraId="6EA4EA1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10</w:t>
                  </w:r>
                </w:p>
              </w:tc>
              <w:tc>
                <w:tcPr>
                  <w:tcW w:w="2723" w:type="pct"/>
                  <w:tcBorders>
                    <w:tl2br w:val="nil"/>
                    <w:tr2bl w:val="nil"/>
                  </w:tcBorders>
                  <w:noWrap w:val="0"/>
                  <w:vAlign w:val="center"/>
                </w:tcPr>
                <w:p w14:paraId="1C0BB616">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定期发布环境信息，建立畅通的公众参与平台。加强与周边公众的沟通，主动接受社会监督，妥善处理好园区建设与周边居民的关系，及时解决公众关心的环境问题，满足公众合理的环境诉求。</w:t>
                  </w:r>
                </w:p>
              </w:tc>
              <w:tc>
                <w:tcPr>
                  <w:tcW w:w="1507" w:type="pct"/>
                  <w:tcBorders>
                    <w:tl2br w:val="nil"/>
                    <w:tr2bl w:val="nil"/>
                  </w:tcBorders>
                  <w:noWrap w:val="0"/>
                  <w:vAlign w:val="center"/>
                </w:tcPr>
                <w:p w14:paraId="3E05705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本项目按照要求定期发布环境信息，主动接受社会监督，及时解决公众关心的环境问题。</w:t>
                  </w:r>
                </w:p>
              </w:tc>
              <w:tc>
                <w:tcPr>
                  <w:tcW w:w="310" w:type="pct"/>
                  <w:tcBorders>
                    <w:tl2br w:val="nil"/>
                    <w:tr2bl w:val="nil"/>
                  </w:tcBorders>
                  <w:noWrap w:val="0"/>
                  <w:vAlign w:val="center"/>
                </w:tcPr>
                <w:p w14:paraId="7F8E6FC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符合</w:t>
                  </w:r>
                </w:p>
              </w:tc>
            </w:tr>
            <w:tr w14:paraId="4F95D8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tcBorders>
                    <w:tl2br w:val="nil"/>
                    <w:tr2bl w:val="nil"/>
                  </w:tcBorders>
                  <w:noWrap w:val="0"/>
                  <w:vAlign w:val="center"/>
                </w:tcPr>
                <w:p w14:paraId="29C10304">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11</w:t>
                  </w:r>
                </w:p>
              </w:tc>
              <w:tc>
                <w:tcPr>
                  <w:tcW w:w="2723" w:type="pct"/>
                  <w:tcBorders>
                    <w:tl2br w:val="nil"/>
                    <w:tr2bl w:val="nil"/>
                  </w:tcBorders>
                  <w:noWrap w:val="0"/>
                  <w:vAlign w:val="center"/>
                </w:tcPr>
                <w:p w14:paraId="14B83B3D">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对拟入园建设项目环评的指导意见：拟入园建设项目，应结合规划环评提出的指导意见做好环境影响评价工作，落实相关要求，加强与规划环评的联动，严格项目生态环境准入条件，重点开展工程分析、污染物允许排放量测算和环保措施、固体废物综合利用途径及危险废物处理处置措施的可行性论证等工作，强化环境保护相关措施的落实；规划环评中协调性分析、环境现状、污染源调查等符合要求的资料可供建设项目环评共享，项目环评相应评价内容可结合实际情况予以简化。</w:t>
                  </w:r>
                </w:p>
              </w:tc>
              <w:tc>
                <w:tcPr>
                  <w:tcW w:w="1507" w:type="pct"/>
                  <w:tcBorders>
                    <w:tl2br w:val="nil"/>
                    <w:tr2bl w:val="nil"/>
                  </w:tcBorders>
                  <w:noWrap w:val="0"/>
                  <w:vAlign w:val="center"/>
                </w:tcPr>
                <w:p w14:paraId="6683AE0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本项目严格按照要求进行了环境影响评价。</w:t>
                  </w:r>
                </w:p>
              </w:tc>
              <w:tc>
                <w:tcPr>
                  <w:tcW w:w="310" w:type="pct"/>
                  <w:tcBorders>
                    <w:tl2br w:val="nil"/>
                    <w:tr2bl w:val="nil"/>
                  </w:tcBorders>
                  <w:noWrap w:val="0"/>
                  <w:vAlign w:val="center"/>
                </w:tcPr>
                <w:p w14:paraId="55BB1AE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符合</w:t>
                  </w:r>
                </w:p>
              </w:tc>
            </w:tr>
          </w:tbl>
          <w:p w14:paraId="300C8E9E">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由上表可知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的建设</w:t>
            </w:r>
            <w:r>
              <w:rPr>
                <w:rFonts w:hint="eastAsia" w:cs="Times New Roman"/>
                <w:color w:val="auto"/>
                <w:sz w:val="24"/>
                <w:szCs w:val="24"/>
                <w:lang w:val="en-US" w:eastAsia="zh-CN"/>
              </w:rPr>
              <w:t>符合</w:t>
            </w:r>
            <w:r>
              <w:rPr>
                <w:rFonts w:hint="default" w:ascii="Times New Roman" w:hAnsi="Times New Roman" w:eastAsia="宋体" w:cs="Times New Roman"/>
                <w:color w:val="auto"/>
                <w:sz w:val="24"/>
                <w:szCs w:val="24"/>
                <w:lang w:val="en-US" w:eastAsia="zh-CN"/>
              </w:rPr>
              <w:t>《云南</w:t>
            </w:r>
            <w:r>
              <w:rPr>
                <w:rFonts w:hint="eastAsia" w:cs="Times New Roman"/>
                <w:color w:val="auto"/>
                <w:sz w:val="24"/>
                <w:szCs w:val="24"/>
                <w:lang w:val="en-US" w:eastAsia="zh-CN"/>
              </w:rPr>
              <w:t>易门</w:t>
            </w:r>
            <w:r>
              <w:rPr>
                <w:rFonts w:hint="default" w:ascii="Times New Roman" w:hAnsi="Times New Roman" w:eastAsia="宋体" w:cs="Times New Roman"/>
                <w:color w:val="auto"/>
                <w:sz w:val="24"/>
                <w:szCs w:val="24"/>
                <w:lang w:val="en-US" w:eastAsia="zh-CN"/>
              </w:rPr>
              <w:t>产业园区总体规划</w:t>
            </w:r>
            <w:r>
              <w:rPr>
                <w:rFonts w:hint="eastAsia" w:cs="Times New Roman"/>
                <w:color w:val="auto"/>
                <w:sz w:val="24"/>
                <w:szCs w:val="24"/>
                <w:lang w:val="en-US" w:eastAsia="zh-CN"/>
              </w:rPr>
              <w:t>（修编）</w:t>
            </w:r>
            <w:r>
              <w:rPr>
                <w:rFonts w:hint="default" w:ascii="Times New Roman" w:hAnsi="Times New Roman" w:eastAsia="宋体" w:cs="Times New Roman"/>
                <w:color w:val="auto"/>
                <w:sz w:val="24"/>
                <w:szCs w:val="24"/>
                <w:lang w:val="en-US" w:eastAsia="zh-CN"/>
              </w:rPr>
              <w:t>（2021~2035年）环境影响报告书》审查意见</w:t>
            </w:r>
            <w:r>
              <w:rPr>
                <w:rFonts w:hint="eastAsia" w:ascii="Times New Roman" w:hAnsi="Times New Roman" w:eastAsia="宋体" w:cs="Times New Roman"/>
                <w:color w:val="auto"/>
                <w:sz w:val="24"/>
                <w:szCs w:val="32"/>
                <w:lang w:val="en-US" w:eastAsia="zh-CN"/>
              </w:rPr>
              <w:t>（玉市环函〔</w:t>
            </w:r>
            <w:r>
              <w:rPr>
                <w:rFonts w:hint="default" w:ascii="Times New Roman" w:hAnsi="Times New Roman" w:eastAsia="宋体" w:cs="Times New Roman"/>
                <w:color w:val="auto"/>
                <w:sz w:val="24"/>
                <w:szCs w:val="32"/>
                <w:lang w:val="en-US" w:eastAsia="zh-CN"/>
              </w:rPr>
              <w:t>2022</w:t>
            </w:r>
            <w:r>
              <w:rPr>
                <w:rFonts w:hint="eastAsia" w:ascii="Times New Roman" w:hAnsi="Times New Roman" w:eastAsia="宋体" w:cs="Times New Roman"/>
                <w:color w:val="auto"/>
                <w:sz w:val="24"/>
                <w:szCs w:val="32"/>
                <w:lang w:val="en-US" w:eastAsia="zh-CN"/>
              </w:rPr>
              <w:t>〕</w:t>
            </w:r>
            <w:r>
              <w:rPr>
                <w:rFonts w:hint="default" w:ascii="Times New Roman" w:hAnsi="Times New Roman" w:eastAsia="宋体" w:cs="Times New Roman"/>
                <w:color w:val="auto"/>
                <w:sz w:val="24"/>
                <w:szCs w:val="32"/>
                <w:lang w:val="en-US" w:eastAsia="zh-CN"/>
              </w:rPr>
              <w:t>32</w:t>
            </w:r>
            <w:r>
              <w:rPr>
                <w:rFonts w:hint="eastAsia" w:ascii="Times New Roman" w:hAnsi="Times New Roman" w:eastAsia="宋体" w:cs="Times New Roman"/>
                <w:color w:val="auto"/>
                <w:sz w:val="24"/>
                <w:szCs w:val="32"/>
                <w:lang w:val="en-US" w:eastAsia="zh-CN"/>
              </w:rPr>
              <w:t>号）</w:t>
            </w:r>
            <w:r>
              <w:rPr>
                <w:rFonts w:hint="default" w:ascii="Times New Roman" w:hAnsi="Times New Roman" w:eastAsia="宋体" w:cs="Times New Roman"/>
                <w:color w:val="auto"/>
                <w:sz w:val="24"/>
                <w:szCs w:val="24"/>
              </w:rPr>
              <w:t>。</w:t>
            </w:r>
          </w:p>
        </w:tc>
      </w:tr>
      <w:tr w14:paraId="2C9D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4" w:type="pct"/>
            <w:tcBorders>
              <w:tl2br w:val="nil"/>
              <w:tr2bl w:val="nil"/>
            </w:tcBorders>
            <w:noWrap w:val="0"/>
            <w:vAlign w:val="center"/>
          </w:tcPr>
          <w:p w14:paraId="49B23779">
            <w:pPr>
              <w:pStyle w:val="30"/>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其他符合性分析</w:t>
            </w:r>
          </w:p>
        </w:tc>
        <w:tc>
          <w:tcPr>
            <w:tcW w:w="4385" w:type="pct"/>
            <w:gridSpan w:val="4"/>
            <w:tcBorders>
              <w:tl2br w:val="nil"/>
              <w:tr2bl w:val="nil"/>
            </w:tcBorders>
            <w:noWrap w:val="0"/>
            <w:vAlign w:val="center"/>
          </w:tcPr>
          <w:p w14:paraId="33B1417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rPr>
              <w:t>、产业政策符合性分析</w:t>
            </w:r>
          </w:p>
          <w:p w14:paraId="53FF1B2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rPr>
              <w:t>本项目</w:t>
            </w:r>
            <w:r>
              <w:rPr>
                <w:rFonts w:hint="eastAsia" w:ascii="Times New Roman" w:hAnsi="Times New Roman" w:eastAsia="宋体"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资源综合利用项目，经破碎、筛分后采用浮选和磁选工艺，选出铜精矿和铁精矿</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属于</w:t>
            </w:r>
            <w:r>
              <w:rPr>
                <w:rFonts w:hint="default" w:ascii="Times New Roman" w:hAnsi="Times New Roman" w:eastAsia="宋体" w:cs="Times New Roman"/>
                <w:color w:val="auto"/>
                <w:kern w:val="0"/>
                <w:sz w:val="24"/>
                <w:szCs w:val="24"/>
                <w:highlight w:val="none"/>
              </w:rPr>
              <w:t>《产业结构调整指导目录》（</w:t>
            </w:r>
            <w:r>
              <w:rPr>
                <w:rFonts w:hint="eastAsia" w:ascii="Times New Roman" w:hAnsi="Times New Roman" w:eastAsia="宋体" w:cs="Times New Roman"/>
                <w:color w:val="auto"/>
                <w:kern w:val="0"/>
                <w:sz w:val="24"/>
                <w:szCs w:val="24"/>
                <w:highlight w:val="none"/>
                <w:lang w:val="en-US" w:eastAsia="zh-CN"/>
              </w:rPr>
              <w:t>2024</w:t>
            </w:r>
            <w:r>
              <w:rPr>
                <w:rFonts w:hint="default" w:ascii="Times New Roman" w:hAnsi="Times New Roman" w:eastAsia="宋体" w:cs="Times New Roman"/>
                <w:color w:val="auto"/>
                <w:kern w:val="0"/>
                <w:sz w:val="24"/>
                <w:szCs w:val="24"/>
                <w:highlight w:val="none"/>
              </w:rPr>
              <w:t>年本）</w:t>
            </w:r>
            <w:r>
              <w:rPr>
                <w:rFonts w:hint="eastAsia" w:ascii="Times New Roman" w:hAnsi="Times New Roman" w:eastAsia="宋体" w:cs="Times New Roman"/>
                <w:color w:val="auto"/>
                <w:sz w:val="24"/>
                <w:szCs w:val="24"/>
                <w:highlight w:val="none"/>
                <w:lang w:val="en-US" w:eastAsia="zh-CN"/>
              </w:rPr>
              <w:t>第一类鼓励类中：四十二、环境保护与资源节约综合利用中</w:t>
            </w:r>
            <w:r>
              <w:rPr>
                <w:rFonts w:hint="default" w:ascii="Times New Roman" w:hAnsi="Times New Roman" w:eastAsia="宋体" w:cs="Times New Roman"/>
                <w:color w:val="auto"/>
                <w:kern w:val="0"/>
                <w:sz w:val="24"/>
                <w:szCs w:val="24"/>
                <w:highlight w:val="none"/>
              </w:rPr>
              <w:t>8．废弃物循环利用</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废有色金属综合利用</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生产过程中未使用国家明令禁止淘汰类和限制类工艺和设备。</w:t>
            </w:r>
            <w:r>
              <w:rPr>
                <w:rFonts w:hint="eastAsia" w:ascii="Times New Roman" w:hAnsi="Times New Roman" w:eastAsia="宋体" w:cs="Times New Roman"/>
                <w:color w:val="auto"/>
                <w:kern w:val="0"/>
                <w:sz w:val="24"/>
                <w:szCs w:val="24"/>
                <w:highlight w:val="none"/>
                <w:lang w:val="en-US" w:eastAsia="zh-CN"/>
              </w:rPr>
              <w:t>根据《西部地区鼓励类产业目录（2025年本）》，本项目属于“二、西部地区新增鼓励类产业-云南省-16、</w:t>
            </w:r>
            <w:r>
              <w:rPr>
                <w:rFonts w:hint="default" w:ascii="Times New Roman" w:hAnsi="Times New Roman" w:eastAsia="宋体" w:cs="Times New Roman"/>
                <w:color w:val="auto"/>
                <w:kern w:val="0"/>
                <w:sz w:val="24"/>
                <w:szCs w:val="24"/>
                <w:highlight w:val="none"/>
              </w:rPr>
              <w:t>矿产资源综合利用及装备制造，煤层气资源综合利用</w:t>
            </w:r>
            <w:r>
              <w:rPr>
                <w:rFonts w:hint="eastAsia" w:ascii="Times New Roman" w:hAnsi="Times New Roman"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中的矿产资源综合利用。</w:t>
            </w:r>
          </w:p>
          <w:p w14:paraId="447D152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rPr>
            </w:pPr>
            <w:r>
              <w:rPr>
                <w:rFonts w:hint="eastAsia" w:cs="Times New Roman"/>
                <w:color w:val="auto"/>
                <w:kern w:val="0"/>
                <w:sz w:val="24"/>
                <w:szCs w:val="24"/>
                <w:highlight w:val="none"/>
                <w:lang w:val="en-US" w:eastAsia="zh-CN"/>
              </w:rPr>
              <w:t>且</w:t>
            </w:r>
            <w:r>
              <w:rPr>
                <w:rFonts w:hint="default" w:ascii="Times New Roman" w:hAnsi="Times New Roman" w:eastAsia="宋体" w:cs="Times New Roman"/>
                <w:color w:val="auto"/>
                <w:kern w:val="0"/>
                <w:sz w:val="24"/>
                <w:szCs w:val="24"/>
                <w:highlight w:val="none"/>
              </w:rPr>
              <w:t>项目于</w:t>
            </w:r>
            <w:r>
              <w:rPr>
                <w:rFonts w:hint="eastAsia" w:ascii="Times New Roman" w:hAnsi="Times New Roman" w:cs="Times New Roman"/>
                <w:color w:val="auto"/>
                <w:kern w:val="0"/>
                <w:sz w:val="24"/>
                <w:szCs w:val="24"/>
                <w:highlight w:val="none"/>
                <w:lang w:val="en-US" w:eastAsia="zh-CN"/>
              </w:rPr>
              <w:t>202</w:t>
            </w:r>
            <w:r>
              <w:rPr>
                <w:rFonts w:hint="eastAsia"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年</w:t>
            </w:r>
            <w:r>
              <w:rPr>
                <w:rFonts w:hint="eastAsia" w:ascii="Times New Roman" w:hAnsi="Times New Roman" w:cs="Times New Roman"/>
                <w:color w:val="auto"/>
                <w:kern w:val="0"/>
                <w:sz w:val="24"/>
                <w:szCs w:val="24"/>
                <w:highlight w:val="none"/>
                <w:lang w:val="en-US" w:eastAsia="zh-CN"/>
              </w:rPr>
              <w:t>11</w:t>
            </w:r>
            <w:r>
              <w:rPr>
                <w:rFonts w:hint="default" w:ascii="Times New Roman" w:hAnsi="Times New Roman" w:eastAsia="宋体" w:cs="Times New Roman"/>
                <w:color w:val="auto"/>
                <w:kern w:val="0"/>
                <w:sz w:val="24"/>
                <w:szCs w:val="24"/>
                <w:highlight w:val="none"/>
              </w:rPr>
              <w:t>月</w:t>
            </w:r>
            <w:r>
              <w:rPr>
                <w:rFonts w:hint="eastAsia" w:cs="Times New Roman"/>
                <w:color w:val="auto"/>
                <w:kern w:val="0"/>
                <w:sz w:val="24"/>
                <w:szCs w:val="24"/>
                <w:highlight w:val="none"/>
                <w:lang w:val="en-US" w:eastAsia="zh-CN"/>
              </w:rPr>
              <w:t>19</w:t>
            </w:r>
            <w:r>
              <w:rPr>
                <w:rFonts w:hint="default" w:ascii="Times New Roman" w:hAnsi="Times New Roman" w:eastAsia="宋体" w:cs="Times New Roman"/>
                <w:color w:val="auto"/>
                <w:kern w:val="0"/>
                <w:sz w:val="24"/>
                <w:szCs w:val="24"/>
                <w:highlight w:val="none"/>
              </w:rPr>
              <w:t>日取得了</w:t>
            </w:r>
            <w:r>
              <w:rPr>
                <w:rFonts w:hint="eastAsia" w:cs="Times New Roman"/>
                <w:color w:val="auto"/>
                <w:kern w:val="0"/>
                <w:sz w:val="24"/>
                <w:szCs w:val="24"/>
                <w:highlight w:val="none"/>
                <w:lang w:val="en-US" w:eastAsia="zh-CN"/>
              </w:rPr>
              <w:t>易门县发展和改革局</w:t>
            </w:r>
            <w:r>
              <w:rPr>
                <w:rFonts w:hint="default" w:ascii="Times New Roman" w:hAnsi="Times New Roman" w:eastAsia="宋体" w:cs="Times New Roman"/>
                <w:color w:val="auto"/>
                <w:kern w:val="0"/>
                <w:sz w:val="24"/>
                <w:szCs w:val="24"/>
                <w:highlight w:val="none"/>
              </w:rPr>
              <w:t>出具的《投资项目备案证》，项目代码为：</w:t>
            </w:r>
            <w:r>
              <w:rPr>
                <w:rFonts w:hint="eastAsia" w:ascii="Times New Roman" w:hAnsi="Times New Roman" w:eastAsia="宋体" w:cs="Times New Roman"/>
                <w:b w:val="0"/>
                <w:bCs w:val="0"/>
                <w:color w:val="auto"/>
                <w:kern w:val="2"/>
                <w:sz w:val="24"/>
                <w:szCs w:val="24"/>
                <w:lang w:val="en-US" w:eastAsia="zh-CN" w:bidi="ar-SA"/>
              </w:rPr>
              <w:t>2511-530425-04-02-412061</w:t>
            </w:r>
            <w:r>
              <w:rPr>
                <w:rFonts w:hint="default" w:ascii="Times New Roman" w:hAnsi="Times New Roman" w:eastAsia="宋体" w:cs="Times New Roman"/>
                <w:color w:val="auto"/>
                <w:kern w:val="0"/>
                <w:sz w:val="24"/>
                <w:szCs w:val="24"/>
                <w:highlight w:val="none"/>
              </w:rPr>
              <w:t>（详见附件</w:t>
            </w:r>
            <w:r>
              <w:rPr>
                <w:rFonts w:hint="eastAsia"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），因此项目建设符合国家现行的产业政策。</w:t>
            </w:r>
          </w:p>
          <w:p w14:paraId="1A5A31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与《玉溪市生态环境局关于印发玉溪市生态环境分区管控动态更新调整方案</w:t>
            </w:r>
            <w:r>
              <w:rPr>
                <w:rFonts w:hint="eastAsia" w:ascii="Times New Roman" w:hAnsi="Times New Roman" w:eastAsia="宋体" w:cs="Times New Roman"/>
                <w:b/>
                <w:bCs/>
                <w:color w:val="auto"/>
                <w:sz w:val="24"/>
                <w:szCs w:val="24"/>
                <w:lang w:val="en-US" w:eastAsia="zh-CN"/>
              </w:rPr>
              <w:t>（2023年）</w:t>
            </w:r>
            <w:r>
              <w:rPr>
                <w:rFonts w:hint="default" w:ascii="Times New Roman" w:hAnsi="Times New Roman" w:eastAsia="宋体" w:cs="Times New Roman"/>
                <w:b/>
                <w:bCs/>
                <w:color w:val="auto"/>
                <w:sz w:val="24"/>
                <w:szCs w:val="24"/>
                <w:lang w:val="en-US" w:eastAsia="zh-CN"/>
              </w:rPr>
              <w:t>的通知》</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玉市环〔2024〕40号</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的符合性分析</w:t>
            </w:r>
          </w:p>
          <w:p w14:paraId="2F46670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根据《玉溪市生态环境局关于印发玉溪市生态环境分区管控动态更新调整方案（</w:t>
            </w:r>
            <w:r>
              <w:rPr>
                <w:rFonts w:hint="default" w:ascii="Times New Roman" w:hAnsi="Times New Roman" w:eastAsia="宋体" w:cs="Times New Roman"/>
                <w:color w:val="auto"/>
                <w:kern w:val="0"/>
                <w:sz w:val="24"/>
                <w:szCs w:val="24"/>
                <w:highlight w:val="none"/>
                <w:lang w:val="en-US" w:eastAsia="zh-CN"/>
              </w:rPr>
              <w:t>2023</w:t>
            </w:r>
            <w:r>
              <w:rPr>
                <w:rFonts w:hint="eastAsia" w:ascii="Times New Roman" w:hAnsi="Times New Roman" w:eastAsia="宋体" w:cs="Times New Roman"/>
                <w:color w:val="auto"/>
                <w:kern w:val="0"/>
                <w:sz w:val="24"/>
                <w:szCs w:val="24"/>
                <w:highlight w:val="none"/>
                <w:lang w:val="en-US" w:eastAsia="zh-CN"/>
              </w:rPr>
              <w:t>年）的通知》（玉市环〔</w:t>
            </w:r>
            <w:r>
              <w:rPr>
                <w:rFonts w:hint="default" w:ascii="Times New Roman" w:hAnsi="Times New Roman" w:eastAsia="宋体" w:cs="Times New Roman"/>
                <w:color w:val="auto"/>
                <w:kern w:val="0"/>
                <w:sz w:val="24"/>
                <w:szCs w:val="24"/>
                <w:highlight w:val="none"/>
                <w:lang w:val="en-US" w:eastAsia="zh-CN"/>
              </w:rPr>
              <w:t>2024</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40</w:t>
            </w:r>
            <w:r>
              <w:rPr>
                <w:rFonts w:hint="eastAsia" w:ascii="Times New Roman" w:hAnsi="Times New Roman" w:eastAsia="宋体" w:cs="Times New Roman"/>
                <w:color w:val="auto"/>
                <w:kern w:val="0"/>
                <w:sz w:val="24"/>
                <w:szCs w:val="24"/>
                <w:highlight w:val="none"/>
                <w:lang w:val="en-US" w:eastAsia="zh-CN"/>
              </w:rPr>
              <w:t>号），各县（市、区）结合调整后环境管控单元的生态环境主要特征、突出问题和环境质量目标，以改善生态环境质量为导向，提出具有针对性、可操作性的管控要求。本项目与《玉溪市生态环境局关于印发玉溪市生态环境分区管控动态更新调整方案（</w:t>
            </w:r>
            <w:r>
              <w:rPr>
                <w:rFonts w:hint="default" w:ascii="Times New Roman" w:hAnsi="Times New Roman" w:eastAsia="宋体" w:cs="Times New Roman"/>
                <w:color w:val="auto"/>
                <w:kern w:val="0"/>
                <w:sz w:val="24"/>
                <w:szCs w:val="24"/>
                <w:highlight w:val="none"/>
                <w:lang w:val="en-US" w:eastAsia="zh-CN"/>
              </w:rPr>
              <w:t>2023</w:t>
            </w:r>
            <w:r>
              <w:rPr>
                <w:rFonts w:hint="eastAsia" w:ascii="Times New Roman" w:hAnsi="Times New Roman" w:eastAsia="宋体" w:cs="Times New Roman"/>
                <w:color w:val="auto"/>
                <w:kern w:val="0"/>
                <w:sz w:val="24"/>
                <w:szCs w:val="24"/>
                <w:highlight w:val="none"/>
                <w:lang w:val="en-US" w:eastAsia="zh-CN"/>
              </w:rPr>
              <w:t>年）的通知》中的生态环境管控总体要求的符合性见表1-4，项目位于易门县产业园区大椿树片区，属于易门县产业园区重点管控单元（环境管控单元编码：ZH53042520001），分区管控查询截图如下，与易门县重点管控单元生态环境准入清单的符合性分析见表1-5。</w:t>
            </w:r>
          </w:p>
          <w:p w14:paraId="5475D69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drawing>
                <wp:inline distT="0" distB="0" distL="114300" distR="114300">
                  <wp:extent cx="4418965" cy="4664075"/>
                  <wp:effectExtent l="0" t="0" r="635" b="3175"/>
                  <wp:docPr id="3" name="图片 3" descr="管控单元截图2026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管控单元截图20260408"/>
                          <pic:cNvPicPr>
                            <a:picLocks noChangeAspect="1"/>
                          </pic:cNvPicPr>
                        </pic:nvPicPr>
                        <pic:blipFill>
                          <a:blip r:embed="rId6"/>
                          <a:stretch>
                            <a:fillRect/>
                          </a:stretch>
                        </pic:blipFill>
                        <pic:spPr>
                          <a:xfrm>
                            <a:off x="0" y="0"/>
                            <a:ext cx="4418965" cy="4664075"/>
                          </a:xfrm>
                          <a:prstGeom prst="rect">
                            <a:avLst/>
                          </a:prstGeom>
                        </pic:spPr>
                      </pic:pic>
                    </a:graphicData>
                  </a:graphic>
                </wp:inline>
              </w:drawing>
            </w:r>
          </w:p>
          <w:p w14:paraId="3239986D">
            <w:pPr>
              <w:keepNext w:val="0"/>
              <w:keepLines w:val="0"/>
              <w:pageBreakBefore w:val="0"/>
              <w:widowControl w:val="0"/>
              <w:kinsoku/>
              <w:wordWrap/>
              <w:overflowPunct w:val="0"/>
              <w:topLinePunct/>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黑体" w:cs="Times New Roman"/>
                <w:color w:val="auto"/>
                <w:szCs w:val="21"/>
                <w:lang w:val="en-US" w:eastAsia="zh-CN"/>
              </w:rPr>
              <w:t>图1</w:t>
            </w:r>
            <w:r>
              <w:rPr>
                <w:rFonts w:hint="eastAsia" w:ascii="Times New Roman" w:hAnsi="Times New Roman" w:eastAsia="黑体" w:cs="Times New Roman"/>
                <w:color w:val="auto"/>
                <w:szCs w:val="21"/>
                <w:lang w:val="en-US" w:eastAsia="zh-CN"/>
              </w:rPr>
              <w:t>-1</w:t>
            </w:r>
            <w:r>
              <w:rPr>
                <w:rFonts w:hint="default" w:ascii="Times New Roman" w:hAnsi="Times New Roman" w:eastAsia="黑体" w:cs="Times New Roman"/>
                <w:color w:val="auto"/>
                <w:szCs w:val="21"/>
                <w:lang w:val="en-US" w:eastAsia="zh-CN"/>
              </w:rPr>
              <w:t xml:space="preserve">   项目</w:t>
            </w:r>
            <w:r>
              <w:rPr>
                <w:rFonts w:hint="default" w:ascii="Times New Roman" w:hAnsi="Times New Roman" w:eastAsia="黑体" w:cs="Times New Roman"/>
                <w:color w:val="auto"/>
                <w:szCs w:val="21"/>
              </w:rPr>
              <w:t>与管控单元位置图</w:t>
            </w:r>
          </w:p>
          <w:p w14:paraId="01FC92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4</w:t>
            </w:r>
            <w:r>
              <w:rPr>
                <w:rFonts w:hint="eastAsia" w:ascii="黑体" w:hAnsi="黑体" w:eastAsia="黑体" w:cs="黑体"/>
                <w:b w:val="0"/>
                <w:bCs w:val="0"/>
                <w:color w:val="auto"/>
                <w:sz w:val="21"/>
                <w:szCs w:val="21"/>
                <w:highlight w:val="none"/>
              </w:rPr>
              <w:t xml:space="preserve">  </w:t>
            </w:r>
            <w:r>
              <w:rPr>
                <w:rFonts w:hint="default" w:ascii="Times New Roman" w:hAnsi="Times New Roman" w:eastAsia="黑体" w:cs="Times New Roman"/>
                <w:b w:val="0"/>
                <w:bCs/>
                <w:snapToGrid/>
                <w:color w:val="auto"/>
                <w:kern w:val="2"/>
                <w:sz w:val="21"/>
                <w:szCs w:val="21"/>
                <w:highlight w:val="none"/>
                <w:lang w:val="en-US" w:eastAsia="zh-CN" w:bidi="ar-SA"/>
              </w:rPr>
              <w:t>项目与生态环境管控总体要求的相符性分析一览表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369"/>
              <w:gridCol w:w="2430"/>
              <w:gridCol w:w="517"/>
            </w:tblGrid>
            <w:tr w14:paraId="0AB3E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8" w:type="pct"/>
                  <w:tcBorders>
                    <w:tl2br w:val="nil"/>
                    <w:tr2bl w:val="nil"/>
                  </w:tcBorders>
                  <w:noWrap w:val="0"/>
                  <w:vAlign w:val="center"/>
                </w:tcPr>
                <w:p w14:paraId="00F36F87">
                  <w:pPr>
                    <w:pStyle w:val="32"/>
                    <w:keepNext w:val="0"/>
                    <w:keepLines w:val="0"/>
                    <w:pageBreakBefore w:val="0"/>
                    <w:kinsoku/>
                    <w:wordWrap/>
                    <w:overflowPunct/>
                    <w:bidi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管控领域</w:t>
                  </w:r>
                </w:p>
              </w:tc>
              <w:tc>
                <w:tcPr>
                  <w:tcW w:w="2401" w:type="pct"/>
                  <w:tcBorders>
                    <w:tl2br w:val="nil"/>
                    <w:tr2bl w:val="nil"/>
                  </w:tcBorders>
                  <w:noWrap w:val="0"/>
                  <w:vAlign w:val="center"/>
                </w:tcPr>
                <w:p w14:paraId="1A543951">
                  <w:pPr>
                    <w:pStyle w:val="32"/>
                    <w:keepNext w:val="0"/>
                    <w:keepLines w:val="0"/>
                    <w:pageBreakBefore w:val="0"/>
                    <w:kinsoku/>
                    <w:wordWrap/>
                    <w:overflowPunct/>
                    <w:bidi w:val="0"/>
                    <w:spacing w:line="240" w:lineRule="auto"/>
                    <w:ind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管控要求</w:t>
                  </w:r>
                </w:p>
              </w:tc>
              <w:tc>
                <w:tcPr>
                  <w:tcW w:w="1732" w:type="pct"/>
                  <w:tcBorders>
                    <w:tl2br w:val="nil"/>
                    <w:tr2bl w:val="nil"/>
                  </w:tcBorders>
                  <w:noWrap w:val="0"/>
                  <w:vAlign w:val="center"/>
                </w:tcPr>
                <w:p w14:paraId="5B2F7445">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项目情况</w:t>
                  </w:r>
                </w:p>
              </w:tc>
              <w:tc>
                <w:tcPr>
                  <w:tcW w:w="368" w:type="pct"/>
                  <w:tcBorders>
                    <w:tl2br w:val="nil"/>
                    <w:tr2bl w:val="nil"/>
                  </w:tcBorders>
                  <w:noWrap w:val="0"/>
                  <w:vAlign w:val="center"/>
                </w:tcPr>
                <w:p w14:paraId="62284C71">
                  <w:pPr>
                    <w:pStyle w:val="32"/>
                    <w:keepNext w:val="0"/>
                    <w:keepLines w:val="0"/>
                    <w:pageBreakBefore w:val="0"/>
                    <w:kinsoku/>
                    <w:wordWrap/>
                    <w:overflowPunct/>
                    <w:bidi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符合性</w:t>
                  </w:r>
                </w:p>
              </w:tc>
            </w:tr>
            <w:tr w14:paraId="3554CD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8" w:type="pct"/>
                  <w:tcBorders>
                    <w:tl2br w:val="nil"/>
                    <w:tr2bl w:val="nil"/>
                  </w:tcBorders>
                  <w:noWrap w:val="0"/>
                  <w:vAlign w:val="center"/>
                </w:tcPr>
                <w:p w14:paraId="22CA2A61">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空间布局约束</w:t>
                  </w:r>
                </w:p>
              </w:tc>
              <w:tc>
                <w:tcPr>
                  <w:tcW w:w="2401" w:type="pct"/>
                  <w:tcBorders>
                    <w:tl2br w:val="nil"/>
                    <w:tr2bl w:val="nil"/>
                  </w:tcBorders>
                  <w:noWrap w:val="0"/>
                  <w:vAlign w:val="center"/>
                </w:tcPr>
                <w:p w14:paraId="59CAC37F">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4938F368">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5191CCC9">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6AF1DB08">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4.禁止在九大高原湖泊（抚仙湖、星云湖、杞麓湖）流域内新建、改建、扩建污染环境、高耗水、高耗能、破坏生态平衡和自然景观的项目。</w:t>
                  </w:r>
                </w:p>
                <w:p w14:paraId="2DB28A48">
                  <w:pPr>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kern w:val="0"/>
                      <w:sz w:val="18"/>
                      <w:szCs w:val="18"/>
                      <w:lang w:val="en-US" w:eastAsia="zh-CN" w:bidi="ar-SA"/>
                    </w:rPr>
                    <w:t>5.落实云南省碳达峰碳中和相关要求，处理好发展和减排、整体和局部、长远目标和短期目标、政府和市场的关系，坚定不移走生态优先、绿色低碳的高质量发展道路。</w:t>
                  </w:r>
                </w:p>
              </w:tc>
              <w:tc>
                <w:tcPr>
                  <w:tcW w:w="1732" w:type="pct"/>
                  <w:tcBorders>
                    <w:tl2br w:val="nil"/>
                    <w:tr2bl w:val="nil"/>
                  </w:tcBorders>
                  <w:noWrap w:val="0"/>
                  <w:vAlign w:val="center"/>
                </w:tcPr>
                <w:p w14:paraId="46E37D08">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r>
                    <w:rPr>
                      <w:rFonts w:hint="eastAsia" w:ascii="Times New Roman" w:hAnsi="Times New Roman" w:eastAsia="宋体" w:cs="Times New Roman"/>
                      <w:color w:val="auto"/>
                      <w:sz w:val="18"/>
                      <w:szCs w:val="18"/>
                      <w:lang w:val="en-US" w:eastAsia="zh-CN"/>
                    </w:rPr>
                    <w:t>、本项目位于易门产业园区大椿树片区，在既有厂区范围内进行改建，本项目为渣选工艺流程提效升级改造项目，</w:t>
                  </w:r>
                  <w:r>
                    <w:rPr>
                      <w:rFonts w:hint="default" w:ascii="Times New Roman" w:hAnsi="Times New Roman" w:eastAsia="宋体" w:cs="Times New Roman"/>
                      <w:color w:val="auto"/>
                      <w:sz w:val="18"/>
                      <w:szCs w:val="18"/>
                      <w:lang w:val="en-US" w:eastAsia="zh-CN"/>
                    </w:rPr>
                    <w:t>建设项目行业类别属于</w:t>
                  </w:r>
                  <w:r>
                    <w:rPr>
                      <w:rFonts w:hint="default" w:ascii="Times New Roman" w:hAnsi="Times New Roman" w:eastAsia="宋体" w:cs="Times New Roman"/>
                      <w:color w:val="auto"/>
                      <w:sz w:val="18"/>
                      <w:szCs w:val="18"/>
                      <w:lang w:eastAsia="zh-CN"/>
                    </w:rPr>
                    <w:t>《产业结构调整指导目录》（</w:t>
                  </w:r>
                  <w:r>
                    <w:rPr>
                      <w:rFonts w:hint="eastAsia" w:ascii="Times New Roman" w:hAnsi="Times New Roman" w:eastAsia="宋体" w:cs="Times New Roman"/>
                      <w:color w:val="auto"/>
                      <w:sz w:val="18"/>
                      <w:szCs w:val="18"/>
                      <w:lang w:val="en-US" w:eastAsia="zh-CN"/>
                    </w:rPr>
                    <w:t>2024</w:t>
                  </w:r>
                  <w:r>
                    <w:rPr>
                      <w:rFonts w:hint="default" w:ascii="Times New Roman" w:hAnsi="Times New Roman" w:eastAsia="宋体" w:cs="Times New Roman"/>
                      <w:color w:val="auto"/>
                      <w:sz w:val="18"/>
                      <w:szCs w:val="18"/>
                      <w:lang w:eastAsia="zh-CN"/>
                    </w:rPr>
                    <w:t>年本）</w:t>
                  </w:r>
                  <w:r>
                    <w:rPr>
                      <w:rFonts w:hint="eastAsia" w:ascii="Times New Roman" w:hAnsi="Times New Roman" w:eastAsia="宋体" w:cs="Times New Roman"/>
                      <w:color w:val="auto"/>
                      <w:sz w:val="18"/>
                      <w:szCs w:val="18"/>
                      <w:lang w:val="en-US" w:eastAsia="zh-CN"/>
                    </w:rPr>
                    <w:t>第一类鼓励类中：</w:t>
                  </w:r>
                  <w:r>
                    <w:rPr>
                      <w:rFonts w:hint="eastAsia"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四十二、环境保护与资源节约综合利用中</w:t>
                  </w:r>
                  <w:r>
                    <w:rPr>
                      <w:rFonts w:hint="default" w:ascii="Times New Roman" w:hAnsi="Times New Roman" w:eastAsia="宋体" w:cs="Times New Roman"/>
                      <w:color w:val="auto"/>
                      <w:sz w:val="18"/>
                      <w:szCs w:val="18"/>
                      <w:lang w:eastAsia="zh-CN"/>
                    </w:rPr>
                    <w:t>8．废弃物循环利用</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废有色金属综合利用”项目，生产过程中未使用国家明令禁止淘汰类和限制类工艺和设备，符合国家现行产业政策要求。项目不属于钢铁、水泥、平板玻璃、电解铝行业。</w:t>
                  </w:r>
                </w:p>
                <w:p w14:paraId="05971EE1">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、项目不涉及九大高原湖泊</w:t>
                  </w:r>
                  <w:r>
                    <w:rPr>
                      <w:rFonts w:hint="eastAsia" w:cs="Times New Roman"/>
                      <w:color w:val="auto"/>
                      <w:sz w:val="18"/>
                      <w:szCs w:val="18"/>
                      <w:lang w:val="en-US" w:eastAsia="zh-CN"/>
                    </w:rPr>
                    <w:t>“两线三区”</w:t>
                  </w:r>
                  <w:r>
                    <w:rPr>
                      <w:rFonts w:hint="eastAsia" w:ascii="Times New Roman" w:hAnsi="Times New Roman" w:eastAsia="宋体" w:cs="Times New Roman"/>
                      <w:color w:val="auto"/>
                      <w:sz w:val="18"/>
                      <w:szCs w:val="18"/>
                      <w:lang w:val="en-US" w:eastAsia="zh-CN"/>
                    </w:rPr>
                    <w:t>。</w:t>
                  </w:r>
                </w:p>
                <w:p w14:paraId="64874551">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w:t>
                  </w:r>
                  <w:r>
                    <w:rPr>
                      <w:rFonts w:hint="eastAsia" w:ascii="Times New Roman" w:hAnsi="Times New Roman" w:eastAsia="宋体" w:cs="Times New Roman"/>
                      <w:color w:val="auto"/>
                      <w:sz w:val="18"/>
                      <w:szCs w:val="18"/>
                      <w:lang w:val="en-US" w:eastAsia="zh-CN"/>
                    </w:rPr>
                    <w:t>、本项目位于合规的云南易门产业园区，属于易门县产业园区重点管控单元，经分析与园区规划、规划环评及审查意见相符。</w:t>
                  </w:r>
                </w:p>
              </w:tc>
              <w:tc>
                <w:tcPr>
                  <w:tcW w:w="368" w:type="pct"/>
                  <w:tcBorders>
                    <w:tl2br w:val="nil"/>
                    <w:tr2bl w:val="nil"/>
                  </w:tcBorders>
                  <w:noWrap w:val="0"/>
                  <w:vAlign w:val="center"/>
                </w:tcPr>
                <w:p w14:paraId="0D8CDADE">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194C69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8" w:type="pct"/>
                  <w:tcBorders>
                    <w:tl2br w:val="nil"/>
                    <w:tr2bl w:val="nil"/>
                  </w:tcBorders>
                  <w:noWrap w:val="0"/>
                  <w:vAlign w:val="center"/>
                </w:tcPr>
                <w:p w14:paraId="4627E2D7">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污染物排放管控</w:t>
                  </w:r>
                </w:p>
              </w:tc>
              <w:tc>
                <w:tcPr>
                  <w:tcW w:w="2401" w:type="pct"/>
                  <w:tcBorders>
                    <w:tl2br w:val="nil"/>
                    <w:tr2bl w:val="nil"/>
                  </w:tcBorders>
                  <w:noWrap w:val="0"/>
                  <w:vAlign w:val="center"/>
                </w:tcPr>
                <w:p w14:paraId="6C9537B6">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1.严格落实强制性清洁生产审核要求，引导重点行业实施清洁生产改造，到2025年底，重点行业企业基本达到国内清洁生产先进水平。</w:t>
                  </w:r>
                </w:p>
                <w:p w14:paraId="7F02648F">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3EED8ED0">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3.严格保护城乡饮用水水源地，整治饮用水水源保护区内的污染源，确保饮水安全。</w:t>
                  </w:r>
                </w:p>
                <w:p w14:paraId="4E637330">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527A16F3">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5.加大环境污染物减排力度，到2025年，实现氮氧化物减排1224吨，挥发性有机物减排1393吨，化学需氧量减排2461吨，氨氮减排230吨。</w:t>
                  </w:r>
                </w:p>
                <w:p w14:paraId="229CD4FE">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2A6C4E14">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kern w:val="0"/>
                      <w:sz w:val="18"/>
                      <w:szCs w:val="18"/>
                      <w:lang w:val="en-US" w:eastAsia="zh-CN" w:bidi="ar-SA"/>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tc>
              <w:tc>
                <w:tcPr>
                  <w:tcW w:w="1732" w:type="pct"/>
                  <w:tcBorders>
                    <w:tl2br w:val="nil"/>
                    <w:tr2bl w:val="nil"/>
                  </w:tcBorders>
                  <w:noWrap w:val="0"/>
                  <w:vAlign w:val="center"/>
                </w:tcPr>
                <w:p w14:paraId="6DCA5F0E">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1</w:t>
                  </w:r>
                  <w:r>
                    <w:rPr>
                      <w:rFonts w:hint="eastAsia" w:ascii="Times New Roman" w:hAnsi="Times New Roman" w:eastAsia="宋体" w:cs="Times New Roman"/>
                      <w:color w:val="auto"/>
                      <w:kern w:val="0"/>
                      <w:sz w:val="18"/>
                      <w:szCs w:val="18"/>
                      <w:lang w:val="en-US" w:eastAsia="zh-CN" w:bidi="ar-SA"/>
                    </w:rPr>
                    <w:t>、公司已严格落实强制性清洁生产审核要求；</w:t>
                  </w:r>
                </w:p>
                <w:p w14:paraId="198BCFB1">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SA"/>
                    </w:rPr>
                    <w:t>2</w:t>
                  </w:r>
                  <w:r>
                    <w:rPr>
                      <w:rFonts w:hint="eastAsia" w:ascii="Times New Roman" w:hAnsi="Times New Roman" w:eastAsia="宋体" w:cs="Times New Roman"/>
                      <w:color w:val="auto"/>
                      <w:kern w:val="0"/>
                      <w:sz w:val="18"/>
                      <w:szCs w:val="18"/>
                      <w:lang w:val="en-US" w:eastAsia="zh-CN" w:bidi="ar-SA"/>
                    </w:rPr>
                    <w:t>、本项目位于易门产业园区大椿树片区，在既有厂区范围内进行改建，</w:t>
                  </w:r>
                  <w:r>
                    <w:rPr>
                      <w:rFonts w:hint="eastAsia" w:ascii="Times New Roman" w:hAnsi="Times New Roman" w:eastAsia="宋体" w:cs="Times New Roman"/>
                      <w:color w:val="auto"/>
                      <w:sz w:val="18"/>
                      <w:szCs w:val="18"/>
                      <w:lang w:val="en-US" w:eastAsia="zh-CN"/>
                    </w:rPr>
                    <w:t>生产废水循环使用，不外排</w:t>
                  </w:r>
                  <w:r>
                    <w:rPr>
                      <w:rFonts w:hint="eastAsia" w:cs="Times New Roman"/>
                      <w:color w:val="auto"/>
                      <w:sz w:val="18"/>
                      <w:szCs w:val="18"/>
                      <w:lang w:val="en-US" w:eastAsia="zh-CN"/>
                    </w:rPr>
                    <w:t>；</w:t>
                  </w:r>
                  <w:r>
                    <w:rPr>
                      <w:rFonts w:hint="eastAsia" w:ascii="Times New Roman" w:hAnsi="Times New Roman" w:eastAsia="宋体" w:cs="Times New Roman"/>
                      <w:color w:val="000000"/>
                      <w:kern w:val="0"/>
                      <w:sz w:val="18"/>
                      <w:szCs w:val="18"/>
                      <w:lang w:val="en-US" w:eastAsia="zh-CN" w:bidi="ar"/>
                    </w:rPr>
                    <w:t>项目区初期雨水经收集后进入</w:t>
                  </w:r>
                  <w:r>
                    <w:rPr>
                      <w:rFonts w:hint="eastAsia" w:cs="Times New Roman"/>
                      <w:color w:val="000000"/>
                      <w:kern w:val="0"/>
                      <w:sz w:val="18"/>
                      <w:szCs w:val="18"/>
                      <w:lang w:val="en-US" w:eastAsia="zh-CN" w:bidi="ar"/>
                    </w:rPr>
                    <w:t>初期雨水收集池处理后回用，不外排；车辆清洗废水收集沉淀后回用，不外排；</w:t>
                  </w:r>
                  <w:r>
                    <w:rPr>
                      <w:rFonts w:hint="eastAsia" w:ascii="Times New Roman" w:hAnsi="Times New Roman" w:eastAsia="宋体" w:cs="Times New Roman"/>
                      <w:color w:val="000000"/>
                      <w:kern w:val="0"/>
                      <w:sz w:val="18"/>
                      <w:szCs w:val="18"/>
                      <w:lang w:val="en-US" w:eastAsia="zh-CN" w:bidi="ar"/>
                    </w:rPr>
                    <w:t>生活污水收集后进入生活污水处理站（200m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/d），处理后回用于厂区绿化、道路洒水，不外排</w:t>
                  </w:r>
                  <w:r>
                    <w:rPr>
                      <w:rFonts w:hint="eastAsia" w:ascii="Times New Roman" w:hAnsi="Times New Roman" w:eastAsia="宋体" w:cs="Times New Roman"/>
                      <w:color w:val="auto"/>
                      <w:sz w:val="18"/>
                      <w:szCs w:val="18"/>
                      <w:lang w:val="en-US" w:eastAsia="zh-CN"/>
                    </w:rPr>
                    <w:t>；</w:t>
                  </w:r>
                </w:p>
                <w:p w14:paraId="7E2A6EEE">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3</w:t>
                  </w:r>
                  <w:r>
                    <w:rPr>
                      <w:rFonts w:hint="eastAsia" w:ascii="Times New Roman" w:hAnsi="Times New Roman" w:eastAsia="宋体" w:cs="Times New Roman"/>
                      <w:color w:val="auto"/>
                      <w:kern w:val="0"/>
                      <w:sz w:val="18"/>
                      <w:szCs w:val="18"/>
                      <w:lang w:val="en-US" w:eastAsia="zh-CN" w:bidi="ar-SA"/>
                    </w:rPr>
                    <w:t>、项目不涉及“三湖”（抚仙湖、星云湖、杞麓湖）及“两江”，不涉及饮用水水源地；</w:t>
                  </w:r>
                </w:p>
                <w:p w14:paraId="246FDAA7">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4</w:t>
                  </w:r>
                  <w:r>
                    <w:rPr>
                      <w:rFonts w:hint="eastAsia" w:ascii="Times New Roman" w:hAnsi="Times New Roman" w:eastAsia="宋体" w:cs="Times New Roman"/>
                      <w:color w:val="auto"/>
                      <w:kern w:val="0"/>
                      <w:sz w:val="18"/>
                      <w:szCs w:val="18"/>
                      <w:lang w:val="en-US" w:eastAsia="zh-CN" w:bidi="ar-SA"/>
                    </w:rPr>
                    <w:t>、项目不涉及挥发性有机物，项目不涉及淘汰落后工艺技术和生产装置。</w:t>
                  </w:r>
                </w:p>
              </w:tc>
              <w:tc>
                <w:tcPr>
                  <w:tcW w:w="368" w:type="pct"/>
                  <w:tcBorders>
                    <w:tl2br w:val="nil"/>
                    <w:tr2bl w:val="nil"/>
                  </w:tcBorders>
                  <w:noWrap w:val="0"/>
                  <w:vAlign w:val="center"/>
                </w:tcPr>
                <w:p w14:paraId="625D31DA">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01992F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2" w:hRule="atLeast"/>
                <w:jc w:val="center"/>
              </w:trPr>
              <w:tc>
                <w:tcPr>
                  <w:tcW w:w="498" w:type="pct"/>
                  <w:tcBorders>
                    <w:tl2br w:val="nil"/>
                    <w:tr2bl w:val="nil"/>
                  </w:tcBorders>
                  <w:noWrap w:val="0"/>
                  <w:vAlign w:val="center"/>
                </w:tcPr>
                <w:p w14:paraId="420AD20C">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环境风险防控</w:t>
                  </w:r>
                </w:p>
              </w:tc>
              <w:tc>
                <w:tcPr>
                  <w:tcW w:w="2401" w:type="pct"/>
                  <w:tcBorders>
                    <w:tl2br w:val="nil"/>
                    <w:tr2bl w:val="nil"/>
                  </w:tcBorders>
                  <w:noWrap w:val="0"/>
                  <w:vAlign w:val="center"/>
                </w:tcPr>
                <w:p w14:paraId="52616E79">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1.强化与其他滇中城市的大气、水污染防治联防联控协作机制，加强区域内重污染天气和跨界水体风险应急联动。</w:t>
                  </w:r>
                </w:p>
                <w:p w14:paraId="563E52F0">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732" w:type="pct"/>
                  <w:tcBorders>
                    <w:tl2br w:val="nil"/>
                    <w:tr2bl w:val="nil"/>
                  </w:tcBorders>
                  <w:noWrap w:val="0"/>
                  <w:vAlign w:val="center"/>
                </w:tcPr>
                <w:p w14:paraId="1CCF0E5F">
                  <w:pPr>
                    <w:pStyle w:val="32"/>
                    <w:keepNext w:val="0"/>
                    <w:keepLines w:val="0"/>
                    <w:pageBreakBefore w:val="0"/>
                    <w:kinsoku/>
                    <w:wordWrap/>
                    <w:overflowPunct/>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本项目产生</w:t>
                  </w:r>
                  <w:r>
                    <w:rPr>
                      <w:rFonts w:hint="eastAsia" w:cs="Times New Roman"/>
                      <w:color w:val="auto"/>
                      <w:kern w:val="0"/>
                      <w:sz w:val="18"/>
                      <w:szCs w:val="18"/>
                      <w:lang w:val="en-US" w:eastAsia="zh-CN"/>
                    </w:rPr>
                    <w:t>废润滑油</w:t>
                  </w:r>
                  <w:r>
                    <w:rPr>
                      <w:rFonts w:hint="eastAsia" w:cs="Times New Roman"/>
                      <w:color w:val="auto"/>
                      <w:sz w:val="18"/>
                      <w:szCs w:val="18"/>
                      <w:lang w:val="en-US" w:eastAsia="zh-CN"/>
                    </w:rPr>
                    <w:t>和废油桶</w:t>
                  </w:r>
                  <w:r>
                    <w:rPr>
                      <w:rFonts w:hint="eastAsia" w:ascii="Times New Roman" w:hAnsi="Times New Roman" w:eastAsia="宋体" w:cs="Times New Roman"/>
                      <w:color w:val="auto"/>
                      <w:sz w:val="18"/>
                      <w:szCs w:val="18"/>
                      <w:lang w:val="en-US" w:eastAsia="zh-CN"/>
                    </w:rPr>
                    <w:t>为危险废物，</w:t>
                  </w:r>
                  <w:r>
                    <w:rPr>
                      <w:rFonts w:hint="eastAsia" w:cs="Times New Roman"/>
                      <w:color w:val="auto"/>
                      <w:kern w:val="0"/>
                      <w:sz w:val="18"/>
                      <w:szCs w:val="18"/>
                      <w:lang w:val="en-US" w:eastAsia="zh-CN"/>
                    </w:rPr>
                    <w:t>废润滑油</w:t>
                  </w:r>
                  <w:r>
                    <w:rPr>
                      <w:rFonts w:hint="eastAsia" w:cs="Times New Roman"/>
                      <w:color w:val="auto"/>
                      <w:sz w:val="18"/>
                      <w:szCs w:val="18"/>
                      <w:lang w:val="en-US" w:eastAsia="zh-CN"/>
                    </w:rPr>
                    <w:t>和废油桶收集后暂存于公司现有的5</w:t>
                  </w:r>
                  <w:r>
                    <w:rPr>
                      <w:rFonts w:hint="eastAsia" w:ascii="宋体" w:hAnsi="宋体" w:eastAsia="宋体" w:cs="宋体"/>
                      <w:color w:val="auto"/>
                      <w:sz w:val="18"/>
                      <w:szCs w:val="18"/>
                      <w:lang w:val="en-US" w:eastAsia="zh-CN"/>
                    </w:rPr>
                    <w:t>＃</w:t>
                  </w:r>
                  <w:r>
                    <w:rPr>
                      <w:rFonts w:hint="eastAsia" w:cs="Times New Roman"/>
                      <w:color w:val="auto"/>
                      <w:sz w:val="18"/>
                      <w:szCs w:val="18"/>
                      <w:lang w:val="en-US" w:eastAsia="zh-CN"/>
                    </w:rPr>
                    <w:t>危险废物贮存库，委托</w:t>
                  </w:r>
                  <w:r>
                    <w:rPr>
                      <w:rFonts w:hint="eastAsia" w:ascii="Times New Roman" w:hAnsi="Times New Roman" w:eastAsia="宋体" w:cs="Times New Roman"/>
                      <w:color w:val="000000"/>
                      <w:kern w:val="0"/>
                      <w:sz w:val="18"/>
                      <w:szCs w:val="18"/>
                      <w:lang w:val="en-US" w:eastAsia="zh-CN" w:bidi="ar"/>
                    </w:rPr>
                    <w:t>云南广莱再生资源回收有限公司</w:t>
                  </w:r>
                  <w:r>
                    <w:rPr>
                      <w:rFonts w:hint="eastAsia" w:cs="Times New Roman"/>
                      <w:color w:val="auto"/>
                      <w:sz w:val="18"/>
                      <w:szCs w:val="18"/>
                      <w:lang w:val="en-US" w:eastAsia="zh-CN"/>
                    </w:rPr>
                    <w:t>清运处置</w:t>
                  </w:r>
                  <w:r>
                    <w:rPr>
                      <w:rFonts w:hint="eastAsia" w:ascii="Times New Roman" w:hAnsi="Times New Roman" w:eastAsia="宋体" w:cs="Times New Roman"/>
                      <w:color w:val="auto"/>
                      <w:sz w:val="18"/>
                      <w:szCs w:val="18"/>
                      <w:lang w:val="en-US" w:eastAsia="zh-CN"/>
                    </w:rPr>
                    <w:t>；企业已制定突发环境事件应急预案并完成备案，待本项目改扩建完成后重新修订。</w:t>
                  </w:r>
                </w:p>
              </w:tc>
              <w:tc>
                <w:tcPr>
                  <w:tcW w:w="368" w:type="pct"/>
                  <w:tcBorders>
                    <w:tl2br w:val="nil"/>
                    <w:tr2bl w:val="nil"/>
                  </w:tcBorders>
                  <w:noWrap w:val="0"/>
                  <w:vAlign w:val="center"/>
                </w:tcPr>
                <w:p w14:paraId="0F69743D">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3E78C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98" w:type="pct"/>
                  <w:tcBorders>
                    <w:tl2br w:val="nil"/>
                    <w:tr2bl w:val="nil"/>
                  </w:tcBorders>
                  <w:noWrap w:val="0"/>
                  <w:vAlign w:val="center"/>
                </w:tcPr>
                <w:p w14:paraId="739ECDB3">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资源开发利用效率</w:t>
                  </w:r>
                </w:p>
              </w:tc>
              <w:tc>
                <w:tcPr>
                  <w:tcW w:w="2401" w:type="pct"/>
                  <w:tcBorders>
                    <w:tl2br w:val="nil"/>
                    <w:tr2bl w:val="nil"/>
                  </w:tcBorders>
                  <w:noWrap w:val="0"/>
                  <w:vAlign w:val="center"/>
                </w:tcPr>
                <w:p w14:paraId="23DB65AF">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1.降低水、土地、能源、矿产资源消耗强度，强化约束性指标管理。</w:t>
                  </w:r>
                </w:p>
                <w:p w14:paraId="4A85757D">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001DE49D">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3.坚持最严格的耕地保护制度，守住耕地保护红线。坚持节约用地，严格执行耕地占补平衡等制度，提高土地投资强度和单位面积产出水平。</w:t>
                  </w:r>
                </w:p>
                <w:p w14:paraId="05444640">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4.全市单位GDP二氧化碳排放累计下降率完成云南省下达的指标；单位GDP能耗持续下降，到2025年，全市单位GDP能耗累计下降率14%。</w:t>
                  </w:r>
                </w:p>
                <w:p w14:paraId="39C73B34">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5.高污染燃料禁燃区按照《高污染燃料目录》及当地有关禁燃区管理规定执行。</w:t>
                  </w:r>
                </w:p>
                <w:p w14:paraId="366BE985">
                  <w:pPr>
                    <w:pStyle w:val="32"/>
                    <w:keepNext w:val="0"/>
                    <w:keepLines w:val="0"/>
                    <w:pageBreakBefore w:val="0"/>
                    <w:kinsoku/>
                    <w:wordWrap/>
                    <w:overflowPunct/>
                    <w:bidi w:val="0"/>
                    <w:spacing w:line="240" w:lineRule="auto"/>
                    <w:ind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kern w:val="0"/>
                      <w:sz w:val="18"/>
                      <w:szCs w:val="18"/>
                      <w:lang w:val="en-US" w:eastAsia="zh-CN" w:bidi="ar-SA"/>
                    </w:rPr>
                    <w:t>6.实施高效节水灌溉工程，大力推广高效节水灌溉措施，到2025年，农田灌溉水有效利用系数达到0.55。</w:t>
                  </w:r>
                </w:p>
              </w:tc>
              <w:tc>
                <w:tcPr>
                  <w:tcW w:w="1732" w:type="pct"/>
                  <w:tcBorders>
                    <w:tl2br w:val="nil"/>
                    <w:tr2bl w:val="nil"/>
                  </w:tcBorders>
                  <w:noWrap w:val="0"/>
                  <w:vAlign w:val="center"/>
                </w:tcPr>
                <w:p w14:paraId="1203EFF1">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1</w:t>
                  </w:r>
                  <w:r>
                    <w:rPr>
                      <w:rFonts w:hint="eastAsia" w:ascii="Times New Roman" w:hAnsi="Times New Roman" w:eastAsia="宋体" w:cs="Times New Roman"/>
                      <w:color w:val="auto"/>
                      <w:kern w:val="0"/>
                      <w:sz w:val="18"/>
                      <w:szCs w:val="18"/>
                      <w:lang w:val="en-US" w:eastAsia="zh-CN" w:bidi="ar-SA"/>
                    </w:rPr>
                    <w:t>、本项目位于易门产业园区大椿树片区，在既有厂区范围内进行改建，不超过园区土地、水及能源开发利用总量；</w:t>
                  </w:r>
                </w:p>
                <w:p w14:paraId="76E76887">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2</w:t>
                  </w:r>
                  <w:r>
                    <w:rPr>
                      <w:rFonts w:hint="eastAsia" w:ascii="Times New Roman" w:hAnsi="Times New Roman" w:eastAsia="宋体" w:cs="Times New Roman"/>
                      <w:color w:val="auto"/>
                      <w:kern w:val="0"/>
                      <w:sz w:val="18"/>
                      <w:szCs w:val="18"/>
                      <w:lang w:val="en-US" w:eastAsia="zh-CN" w:bidi="ar-SA"/>
                    </w:rPr>
                    <w:t>、</w:t>
                  </w:r>
                  <w:r>
                    <w:rPr>
                      <w:rFonts w:hint="eastAsia" w:ascii="Times New Roman" w:hAnsi="Times New Roman" w:eastAsia="宋体" w:cs="Times New Roman"/>
                      <w:color w:val="auto"/>
                      <w:sz w:val="18"/>
                      <w:szCs w:val="18"/>
                      <w:lang w:val="en-US" w:eastAsia="zh-CN"/>
                    </w:rPr>
                    <w:t>生产废水循环使用，不外排</w:t>
                  </w:r>
                  <w:r>
                    <w:rPr>
                      <w:rFonts w:hint="eastAsia" w:cs="Times New Roman"/>
                      <w:color w:val="auto"/>
                      <w:sz w:val="18"/>
                      <w:szCs w:val="18"/>
                      <w:lang w:val="en-US" w:eastAsia="zh-CN"/>
                    </w:rPr>
                    <w:t>；</w:t>
                  </w:r>
                  <w:r>
                    <w:rPr>
                      <w:rFonts w:hint="eastAsia" w:cs="Times New Roman"/>
                      <w:color w:val="000000"/>
                      <w:kern w:val="0"/>
                      <w:sz w:val="18"/>
                      <w:szCs w:val="18"/>
                      <w:lang w:val="en-US" w:eastAsia="zh-CN" w:bidi="ar"/>
                    </w:rPr>
                    <w:t>车辆清洗废水收集沉淀后回用，不外排；</w:t>
                  </w:r>
                  <w:r>
                    <w:rPr>
                      <w:rFonts w:hint="eastAsia" w:ascii="Times New Roman" w:hAnsi="Times New Roman" w:eastAsia="宋体" w:cs="Times New Roman"/>
                      <w:color w:val="000000"/>
                      <w:kern w:val="0"/>
                      <w:sz w:val="18"/>
                      <w:szCs w:val="18"/>
                      <w:lang w:val="en-US" w:eastAsia="zh-CN" w:bidi="ar"/>
                    </w:rPr>
                    <w:t>生活污水收集后进入生活污水处理站（200m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/d），处理后回用于厂区绿化、道路洒水，不外排</w:t>
                  </w:r>
                  <w:r>
                    <w:rPr>
                      <w:rFonts w:hint="eastAsia" w:ascii="Times New Roman" w:hAnsi="Times New Roman" w:eastAsia="宋体" w:cs="Times New Roman"/>
                      <w:color w:val="auto"/>
                      <w:sz w:val="18"/>
                      <w:szCs w:val="18"/>
                      <w:lang w:val="en-US" w:eastAsia="zh-CN"/>
                    </w:rPr>
                    <w:t>；</w:t>
                  </w:r>
                </w:p>
                <w:p w14:paraId="5C3886DB">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3</w:t>
                  </w:r>
                  <w:r>
                    <w:rPr>
                      <w:rFonts w:hint="eastAsia" w:ascii="Times New Roman" w:hAnsi="Times New Roman" w:eastAsia="宋体" w:cs="Times New Roman"/>
                      <w:color w:val="auto"/>
                      <w:kern w:val="0"/>
                      <w:sz w:val="18"/>
                      <w:szCs w:val="18"/>
                      <w:lang w:val="en-US" w:eastAsia="zh-CN" w:bidi="ar-SA"/>
                    </w:rPr>
                    <w:t>、项目不涉及占用耕地；</w:t>
                  </w:r>
                </w:p>
                <w:p w14:paraId="523FE9CC">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4</w:t>
                  </w:r>
                  <w:r>
                    <w:rPr>
                      <w:rFonts w:hint="eastAsia" w:ascii="Times New Roman" w:hAnsi="Times New Roman" w:eastAsia="宋体" w:cs="Times New Roman"/>
                      <w:color w:val="auto"/>
                      <w:kern w:val="0"/>
                      <w:sz w:val="18"/>
                      <w:szCs w:val="18"/>
                      <w:lang w:val="en-US" w:eastAsia="zh-CN" w:bidi="ar-SA"/>
                    </w:rPr>
                    <w:t>、本项目不使用高污染燃料。</w:t>
                  </w:r>
                </w:p>
              </w:tc>
              <w:tc>
                <w:tcPr>
                  <w:tcW w:w="368" w:type="pct"/>
                  <w:tcBorders>
                    <w:tl2br w:val="nil"/>
                    <w:tr2bl w:val="nil"/>
                  </w:tcBorders>
                  <w:noWrap w:val="0"/>
                  <w:vAlign w:val="center"/>
                </w:tcPr>
                <w:p w14:paraId="48C50D82">
                  <w:pPr>
                    <w:pStyle w:val="32"/>
                    <w:keepNext w:val="0"/>
                    <w:keepLines w:val="0"/>
                    <w:pageBreakBefore w:val="0"/>
                    <w:kinsoku/>
                    <w:wordWrap/>
                    <w:overflowPunct/>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bl>
          <w:p w14:paraId="674A6E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黑体" w:cs="Times New Roman"/>
                <w:b w:val="0"/>
                <w:bCs/>
                <w:snapToGrid/>
                <w:color w:val="auto"/>
                <w:kern w:val="2"/>
                <w:sz w:val="21"/>
                <w:szCs w:val="21"/>
                <w:highlight w:val="none"/>
                <w:lang w:val="en-US" w:eastAsia="zh-CN" w:bidi="ar-SA"/>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5</w:t>
            </w:r>
            <w:r>
              <w:rPr>
                <w:rFonts w:hint="default" w:ascii="Times New Roman" w:hAnsi="Times New Roman" w:eastAsia="黑体" w:cs="Times New Roman"/>
                <w:b w:val="0"/>
                <w:bCs/>
                <w:snapToGrid/>
                <w:color w:val="auto"/>
                <w:kern w:val="2"/>
                <w:sz w:val="21"/>
                <w:szCs w:val="21"/>
                <w:highlight w:val="none"/>
                <w:lang w:val="en-US" w:eastAsia="zh-CN" w:bidi="ar-SA"/>
              </w:rPr>
              <w:t>项目与</w:t>
            </w:r>
            <w:r>
              <w:rPr>
                <w:rFonts w:hint="eastAsia" w:ascii="Times New Roman" w:hAnsi="Times New Roman" w:eastAsia="黑体" w:cs="Times New Roman"/>
                <w:b w:val="0"/>
                <w:bCs/>
                <w:snapToGrid/>
                <w:color w:val="auto"/>
                <w:kern w:val="2"/>
                <w:sz w:val="21"/>
                <w:szCs w:val="21"/>
                <w:highlight w:val="none"/>
                <w:lang w:val="en-US" w:eastAsia="zh-CN" w:bidi="ar-SA"/>
              </w:rPr>
              <w:t>易门县重点管控单元生态环境准入清单的相符性分析表</w:t>
            </w:r>
          </w:p>
          <w:tbl>
            <w:tblPr>
              <w:tblStyle w:val="22"/>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68"/>
              <w:gridCol w:w="3966"/>
              <w:gridCol w:w="1746"/>
            </w:tblGrid>
            <w:tr w14:paraId="4BF4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left w:val="nil"/>
                  </w:tcBorders>
                  <w:vAlign w:val="center"/>
                </w:tcPr>
                <w:p w14:paraId="198DC6D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单元名称</w:t>
                  </w:r>
                </w:p>
              </w:tc>
              <w:tc>
                <w:tcPr>
                  <w:tcW w:w="3245" w:type="pct"/>
                  <w:gridSpan w:val="2"/>
                  <w:vAlign w:val="center"/>
                </w:tcPr>
                <w:p w14:paraId="732AA60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管控要求</w:t>
                  </w:r>
                </w:p>
              </w:tc>
              <w:tc>
                <w:tcPr>
                  <w:tcW w:w="1250" w:type="pct"/>
                  <w:tcBorders>
                    <w:right w:val="nil"/>
                  </w:tcBorders>
                  <w:vAlign w:val="center"/>
                </w:tcPr>
                <w:p w14:paraId="446EA7A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符合性分析</w:t>
                  </w:r>
                </w:p>
              </w:tc>
            </w:tr>
            <w:tr w14:paraId="514E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restart"/>
                  <w:tcBorders>
                    <w:left w:val="nil"/>
                  </w:tcBorders>
                  <w:vAlign w:val="center"/>
                </w:tcPr>
                <w:p w14:paraId="62D16C4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易门县产业园区重点管控单元</w:t>
                  </w:r>
                </w:p>
              </w:tc>
              <w:tc>
                <w:tcPr>
                  <w:tcW w:w="406" w:type="pct"/>
                  <w:vAlign w:val="center"/>
                </w:tcPr>
                <w:p w14:paraId="258C51E4">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空间布局约束</w:t>
                  </w:r>
                </w:p>
              </w:tc>
              <w:tc>
                <w:tcPr>
                  <w:tcW w:w="2838" w:type="pct"/>
                  <w:vAlign w:val="center"/>
                </w:tcPr>
                <w:p w14:paraId="21679440">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1.</w:t>
                  </w:r>
                  <w:r>
                    <w:rPr>
                      <w:rFonts w:hint="eastAsia" w:ascii="Times New Roman" w:hAnsi="Times New Roman" w:eastAsia="宋体" w:cs="Times New Roman"/>
                      <w:b w:val="0"/>
                      <w:color w:val="auto"/>
                      <w:kern w:val="0"/>
                      <w:sz w:val="18"/>
                      <w:szCs w:val="18"/>
                      <w:lang w:val="en-US" w:eastAsia="zh-CN" w:bidi="ar-SA"/>
                    </w:rPr>
                    <w:t>合理规划产业分区和功能定位，禁止不符合产业政策、产业结构调整指导目录和园区规划要求的项目入园区。新建、扩建金属冶炼项目大气污染物鼓励实施超低排放要求，“两高”项目实行主要污染物区域削减替代。</w:t>
                  </w:r>
                </w:p>
                <w:p w14:paraId="33BBE945">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2.</w:t>
                  </w:r>
                  <w:r>
                    <w:rPr>
                      <w:rFonts w:hint="eastAsia" w:ascii="Times New Roman" w:hAnsi="Times New Roman" w:eastAsia="宋体" w:cs="Times New Roman"/>
                      <w:b w:val="0"/>
                      <w:color w:val="auto"/>
                      <w:kern w:val="0"/>
                      <w:sz w:val="18"/>
                      <w:szCs w:val="18"/>
                      <w:lang w:val="en-US" w:eastAsia="zh-CN" w:bidi="ar-SA"/>
                    </w:rPr>
                    <w:t>居民集中区周边禁止布局重污染企业，园区内工业用地与人口密集区应合理设置绿化隔离带。</w:t>
                  </w:r>
                </w:p>
                <w:p w14:paraId="49B1E409">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3.</w:t>
                  </w:r>
                  <w:r>
                    <w:rPr>
                      <w:rFonts w:hint="eastAsia" w:ascii="Times New Roman" w:hAnsi="Times New Roman" w:eastAsia="宋体" w:cs="Times New Roman"/>
                      <w:b w:val="0"/>
                      <w:color w:val="auto"/>
                      <w:kern w:val="0"/>
                      <w:sz w:val="18"/>
                      <w:szCs w:val="18"/>
                      <w:lang w:val="en-US" w:eastAsia="zh-CN" w:bidi="ar-SA"/>
                    </w:rPr>
                    <w:t>六街片区优化布局，企业与翠柏自然保护区边界预留</w:t>
                  </w:r>
                  <w:r>
                    <w:rPr>
                      <w:rFonts w:hint="default" w:ascii="Times New Roman" w:hAnsi="Times New Roman" w:eastAsia="宋体" w:cs="Times New Roman"/>
                      <w:b w:val="0"/>
                      <w:color w:val="auto"/>
                      <w:kern w:val="0"/>
                      <w:sz w:val="18"/>
                      <w:szCs w:val="18"/>
                      <w:lang w:val="en-US" w:eastAsia="zh-CN" w:bidi="ar-SA"/>
                    </w:rPr>
                    <w:t>5</w:t>
                  </w:r>
                  <w:r>
                    <w:rPr>
                      <w:rFonts w:hint="eastAsia" w:ascii="Times New Roman" w:hAnsi="Times New Roman" w:eastAsia="宋体" w:cs="Times New Roman"/>
                      <w:b w:val="0"/>
                      <w:color w:val="auto"/>
                      <w:kern w:val="0"/>
                      <w:sz w:val="18"/>
                      <w:szCs w:val="18"/>
                      <w:lang w:val="en-US" w:eastAsia="zh-CN" w:bidi="ar-SA"/>
                    </w:rPr>
                    <w:t>米缓冲地带。</w:t>
                  </w:r>
                </w:p>
                <w:p w14:paraId="40E47338">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4.</w:t>
                  </w:r>
                  <w:r>
                    <w:rPr>
                      <w:rFonts w:hint="eastAsia" w:ascii="Times New Roman" w:hAnsi="Times New Roman" w:eastAsia="宋体" w:cs="Times New Roman"/>
                      <w:b w:val="0"/>
                      <w:color w:val="auto"/>
                      <w:kern w:val="0"/>
                      <w:sz w:val="18"/>
                      <w:szCs w:val="18"/>
                      <w:lang w:val="en-US" w:eastAsia="zh-CN" w:bidi="ar-SA"/>
                    </w:rPr>
                    <w:t>麦子田片区布局重污染企业远离六街街道居民集中区。</w:t>
                  </w:r>
                </w:p>
                <w:p w14:paraId="70918AEF">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5.</w:t>
                  </w:r>
                  <w:r>
                    <w:rPr>
                      <w:rFonts w:hint="eastAsia" w:ascii="Times New Roman" w:hAnsi="Times New Roman" w:eastAsia="宋体" w:cs="Times New Roman"/>
                      <w:b w:val="0"/>
                      <w:color w:val="auto"/>
                      <w:kern w:val="0"/>
                      <w:sz w:val="18"/>
                      <w:szCs w:val="18"/>
                      <w:lang w:val="en-US" w:eastAsia="zh-CN" w:bidi="ar-SA"/>
                    </w:rPr>
                    <w:t>大椿树片区控制传统陶瓷业，鼓励产业链延伸，加大中高档产品的开发布局；鼓励粗铜精深加工，大力发展下游产品的发展。</w:t>
                  </w:r>
                </w:p>
                <w:p w14:paraId="618CDA9F">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6.</w:t>
                  </w:r>
                  <w:r>
                    <w:rPr>
                      <w:rFonts w:hint="eastAsia" w:ascii="Times New Roman" w:hAnsi="Times New Roman" w:eastAsia="宋体" w:cs="Times New Roman"/>
                      <w:b w:val="0"/>
                      <w:color w:val="auto"/>
                      <w:kern w:val="0"/>
                      <w:sz w:val="18"/>
                      <w:szCs w:val="18"/>
                      <w:lang w:val="en-US" w:eastAsia="zh-CN" w:bidi="ar-SA"/>
                    </w:rPr>
                    <w:t>稀贵金属产业园尽量将主要污染装置避开大龙口组灰岩地层。</w:t>
                  </w:r>
                </w:p>
              </w:tc>
              <w:tc>
                <w:tcPr>
                  <w:tcW w:w="1250" w:type="pct"/>
                  <w:tcBorders>
                    <w:right w:val="nil"/>
                  </w:tcBorders>
                  <w:vAlign w:val="center"/>
                </w:tcPr>
                <w:p w14:paraId="72BCF9EC">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eastAsia" w:ascii="Times New Roman" w:hAnsi="Times New Roman" w:eastAsia="宋体" w:cs="Times New Roman"/>
                      <w:b w:val="0"/>
                      <w:color w:val="auto"/>
                      <w:kern w:val="0"/>
                      <w:sz w:val="18"/>
                      <w:szCs w:val="18"/>
                      <w:lang w:val="en-US" w:eastAsia="zh-CN" w:bidi="ar-SA"/>
                    </w:rPr>
                    <w:t>本项目为渣选工艺流程提效升级改造项目，利用易门铜业有限公司</w:t>
                  </w:r>
                  <w:r>
                    <w:rPr>
                      <w:rFonts w:hint="eastAsia" w:cs="Times New Roman"/>
                      <w:b w:val="0"/>
                      <w:color w:val="auto"/>
                      <w:kern w:val="0"/>
                      <w:sz w:val="18"/>
                      <w:szCs w:val="18"/>
                      <w:lang w:val="en-US" w:eastAsia="zh-CN" w:bidi="ar-SA"/>
                    </w:rPr>
                    <w:t>铜</w:t>
                  </w:r>
                  <w:r>
                    <w:rPr>
                      <w:rFonts w:hint="eastAsia" w:ascii="Times New Roman" w:hAnsi="Times New Roman" w:eastAsia="宋体" w:cs="Times New Roman"/>
                      <w:b w:val="0"/>
                      <w:color w:val="auto"/>
                      <w:kern w:val="0"/>
                      <w:sz w:val="18"/>
                      <w:szCs w:val="18"/>
                      <w:lang w:val="en-US" w:eastAsia="zh-CN" w:bidi="ar-SA"/>
                    </w:rPr>
                    <w:t>冶炼渣进行选矿，位于云南易门产业园区大椿树片区，项目仅在易门铜业有限公司既有厂区范围内进行改造，不新增占地，符合园区功能定位；项目建设</w:t>
                  </w:r>
                  <w:r>
                    <w:rPr>
                      <w:rFonts w:hint="default" w:ascii="Times New Roman" w:hAnsi="Times New Roman" w:eastAsia="宋体" w:cs="Times New Roman"/>
                      <w:b w:val="0"/>
                      <w:color w:val="auto"/>
                      <w:kern w:val="0"/>
                      <w:sz w:val="18"/>
                      <w:szCs w:val="18"/>
                      <w:lang w:val="en-US" w:eastAsia="zh-CN" w:bidi="ar-SA"/>
                    </w:rPr>
                    <w:t>符合国家现行的产业政策</w:t>
                  </w:r>
                  <w:r>
                    <w:rPr>
                      <w:rFonts w:hint="eastAsia" w:ascii="Times New Roman" w:hAnsi="Times New Roman" w:eastAsia="宋体" w:cs="Times New Roman"/>
                      <w:b w:val="0"/>
                      <w:color w:val="auto"/>
                      <w:kern w:val="0"/>
                      <w:sz w:val="18"/>
                      <w:szCs w:val="18"/>
                      <w:lang w:val="en-US" w:eastAsia="zh-CN" w:bidi="ar-SA"/>
                    </w:rPr>
                    <w:t>，且</w:t>
                  </w:r>
                  <w:r>
                    <w:rPr>
                      <w:rFonts w:hint="default" w:ascii="Times New Roman" w:hAnsi="Times New Roman" w:eastAsia="宋体" w:cs="Times New Roman"/>
                      <w:b w:val="0"/>
                      <w:color w:val="auto"/>
                      <w:kern w:val="0"/>
                      <w:sz w:val="18"/>
                      <w:szCs w:val="18"/>
                      <w:lang w:val="en-US" w:eastAsia="zh-CN" w:bidi="ar-SA"/>
                    </w:rPr>
                    <w:t>项目于</w:t>
                  </w:r>
                  <w:r>
                    <w:rPr>
                      <w:rFonts w:hint="eastAsia" w:ascii="Times New Roman" w:hAnsi="Times New Roman" w:eastAsia="宋体" w:cs="Times New Roman"/>
                      <w:b w:val="0"/>
                      <w:color w:val="auto"/>
                      <w:kern w:val="0"/>
                      <w:sz w:val="18"/>
                      <w:szCs w:val="18"/>
                      <w:lang w:val="en-US" w:eastAsia="zh-CN" w:bidi="ar-SA"/>
                    </w:rPr>
                    <w:t>2025</w:t>
                  </w:r>
                  <w:r>
                    <w:rPr>
                      <w:rFonts w:hint="default" w:ascii="Times New Roman" w:hAnsi="Times New Roman" w:eastAsia="宋体" w:cs="Times New Roman"/>
                      <w:b w:val="0"/>
                      <w:color w:val="auto"/>
                      <w:kern w:val="0"/>
                      <w:sz w:val="18"/>
                      <w:szCs w:val="18"/>
                      <w:lang w:val="en-US" w:eastAsia="zh-CN" w:bidi="ar-SA"/>
                    </w:rPr>
                    <w:t>年</w:t>
                  </w:r>
                  <w:r>
                    <w:rPr>
                      <w:rFonts w:hint="eastAsia" w:ascii="Times New Roman" w:hAnsi="Times New Roman" w:eastAsia="宋体" w:cs="Times New Roman"/>
                      <w:b w:val="0"/>
                      <w:color w:val="auto"/>
                      <w:kern w:val="0"/>
                      <w:sz w:val="18"/>
                      <w:szCs w:val="18"/>
                      <w:lang w:val="en-US" w:eastAsia="zh-CN" w:bidi="ar-SA"/>
                    </w:rPr>
                    <w:t>11</w:t>
                  </w:r>
                  <w:r>
                    <w:rPr>
                      <w:rFonts w:hint="default" w:ascii="Times New Roman" w:hAnsi="Times New Roman" w:eastAsia="宋体" w:cs="Times New Roman"/>
                      <w:b w:val="0"/>
                      <w:color w:val="auto"/>
                      <w:kern w:val="0"/>
                      <w:sz w:val="18"/>
                      <w:szCs w:val="18"/>
                      <w:lang w:val="en-US" w:eastAsia="zh-CN" w:bidi="ar-SA"/>
                    </w:rPr>
                    <w:t>月</w:t>
                  </w:r>
                  <w:r>
                    <w:rPr>
                      <w:rFonts w:hint="eastAsia" w:ascii="Times New Roman" w:hAnsi="Times New Roman" w:eastAsia="宋体" w:cs="Times New Roman"/>
                      <w:b w:val="0"/>
                      <w:color w:val="auto"/>
                      <w:kern w:val="0"/>
                      <w:sz w:val="18"/>
                      <w:szCs w:val="18"/>
                      <w:lang w:val="en-US" w:eastAsia="zh-CN" w:bidi="ar-SA"/>
                    </w:rPr>
                    <w:t>19</w:t>
                  </w:r>
                  <w:r>
                    <w:rPr>
                      <w:rFonts w:hint="default" w:ascii="Times New Roman" w:hAnsi="Times New Roman" w:eastAsia="宋体" w:cs="Times New Roman"/>
                      <w:b w:val="0"/>
                      <w:color w:val="auto"/>
                      <w:kern w:val="0"/>
                      <w:sz w:val="18"/>
                      <w:szCs w:val="18"/>
                      <w:lang w:val="en-US" w:eastAsia="zh-CN" w:bidi="ar-SA"/>
                    </w:rPr>
                    <w:t>日取得了</w:t>
                  </w:r>
                  <w:r>
                    <w:rPr>
                      <w:rFonts w:hint="eastAsia" w:ascii="Times New Roman" w:hAnsi="Times New Roman" w:eastAsia="宋体" w:cs="Times New Roman"/>
                      <w:b w:val="0"/>
                      <w:color w:val="auto"/>
                      <w:kern w:val="0"/>
                      <w:sz w:val="18"/>
                      <w:szCs w:val="18"/>
                      <w:lang w:val="en-US" w:eastAsia="zh-CN" w:bidi="ar-SA"/>
                    </w:rPr>
                    <w:t>易门县发展和改革局</w:t>
                  </w:r>
                  <w:r>
                    <w:rPr>
                      <w:rFonts w:hint="default" w:ascii="Times New Roman" w:hAnsi="Times New Roman" w:eastAsia="宋体" w:cs="Times New Roman"/>
                      <w:b w:val="0"/>
                      <w:color w:val="auto"/>
                      <w:kern w:val="0"/>
                      <w:sz w:val="18"/>
                      <w:szCs w:val="18"/>
                      <w:lang w:val="en-US" w:eastAsia="zh-CN" w:bidi="ar-SA"/>
                    </w:rPr>
                    <w:t>出具的《投资项目备案证》，项目代码为：</w:t>
                  </w:r>
                  <w:r>
                    <w:rPr>
                      <w:rFonts w:hint="eastAsia" w:ascii="Times New Roman" w:hAnsi="Times New Roman" w:eastAsia="宋体" w:cs="Times New Roman"/>
                      <w:b w:val="0"/>
                      <w:color w:val="auto"/>
                      <w:kern w:val="0"/>
                      <w:sz w:val="18"/>
                      <w:szCs w:val="18"/>
                      <w:lang w:val="en-US" w:eastAsia="zh-CN" w:bidi="ar-SA"/>
                    </w:rPr>
                    <w:t>2511-530425-04-02-412061</w:t>
                  </w:r>
                  <w:r>
                    <w:rPr>
                      <w:rFonts w:hint="default" w:ascii="Times New Roman" w:hAnsi="Times New Roman" w:eastAsia="宋体" w:cs="Times New Roman"/>
                      <w:b w:val="0"/>
                      <w:color w:val="auto"/>
                      <w:kern w:val="0"/>
                      <w:sz w:val="18"/>
                      <w:szCs w:val="18"/>
                      <w:lang w:val="en-US" w:eastAsia="zh-CN" w:bidi="ar-SA"/>
                    </w:rPr>
                    <w:t>（详见附件</w:t>
                  </w:r>
                  <w:r>
                    <w:rPr>
                      <w:rFonts w:hint="eastAsia" w:ascii="Times New Roman" w:hAnsi="Times New Roman" w:eastAsia="宋体" w:cs="Times New Roman"/>
                      <w:b w:val="0"/>
                      <w:color w:val="auto"/>
                      <w:kern w:val="0"/>
                      <w:sz w:val="18"/>
                      <w:szCs w:val="18"/>
                      <w:lang w:val="en-US" w:eastAsia="zh-CN" w:bidi="ar-SA"/>
                    </w:rPr>
                    <w:t>2</w:t>
                  </w:r>
                  <w:r>
                    <w:rPr>
                      <w:rFonts w:hint="default" w:ascii="Times New Roman" w:hAnsi="Times New Roman" w:eastAsia="宋体" w:cs="Times New Roman"/>
                      <w:b w:val="0"/>
                      <w:color w:val="auto"/>
                      <w:kern w:val="0"/>
                      <w:sz w:val="18"/>
                      <w:szCs w:val="18"/>
                      <w:lang w:val="en-US" w:eastAsia="zh-CN" w:bidi="ar-SA"/>
                    </w:rPr>
                    <w:t>）</w:t>
                  </w:r>
                  <w:r>
                    <w:rPr>
                      <w:rFonts w:hint="eastAsia" w:ascii="Times New Roman" w:hAnsi="Times New Roman" w:eastAsia="宋体" w:cs="Times New Roman"/>
                      <w:b w:val="0"/>
                      <w:color w:val="auto"/>
                      <w:kern w:val="0"/>
                      <w:sz w:val="18"/>
                      <w:szCs w:val="18"/>
                      <w:lang w:val="en-US" w:eastAsia="zh-CN" w:bidi="ar-SA"/>
                    </w:rPr>
                    <w:t>，允许项目建设</w:t>
                  </w:r>
                  <w:r>
                    <w:rPr>
                      <w:rFonts w:hint="default" w:ascii="Times New Roman" w:hAnsi="Times New Roman" w:eastAsia="宋体" w:cs="Times New Roman"/>
                      <w:b w:val="0"/>
                      <w:color w:val="auto"/>
                      <w:kern w:val="0"/>
                      <w:sz w:val="18"/>
                      <w:szCs w:val="18"/>
                      <w:lang w:val="en-US" w:eastAsia="zh-CN" w:bidi="ar-SA"/>
                    </w:rPr>
                    <w:t>；</w:t>
                  </w:r>
                  <w:r>
                    <w:rPr>
                      <w:rFonts w:hint="eastAsia" w:ascii="Times New Roman" w:hAnsi="Times New Roman" w:eastAsia="宋体" w:cs="Times New Roman"/>
                      <w:b w:val="0"/>
                      <w:color w:val="auto"/>
                      <w:kern w:val="0"/>
                      <w:sz w:val="18"/>
                      <w:szCs w:val="18"/>
                      <w:lang w:val="en-US" w:eastAsia="zh-CN" w:bidi="ar-SA"/>
                    </w:rPr>
                    <w:t>此外，项目取得了云南易门产业园区管理委员会出具的“入园证明”（详见相关附件</w:t>
                  </w:r>
                  <w:r>
                    <w:rPr>
                      <w:rFonts w:hint="eastAsia" w:cs="Times New Roman"/>
                      <w:b w:val="0"/>
                      <w:color w:val="auto"/>
                      <w:kern w:val="0"/>
                      <w:sz w:val="18"/>
                      <w:szCs w:val="18"/>
                      <w:lang w:val="en-US" w:eastAsia="zh-CN" w:bidi="ar-SA"/>
                    </w:rPr>
                    <w:t>8</w:t>
                  </w:r>
                  <w:r>
                    <w:rPr>
                      <w:rFonts w:hint="eastAsia" w:ascii="Times New Roman" w:hAnsi="Times New Roman" w:eastAsia="宋体" w:cs="Times New Roman"/>
                      <w:b w:val="0"/>
                      <w:color w:val="auto"/>
                      <w:kern w:val="0"/>
                      <w:sz w:val="18"/>
                      <w:szCs w:val="18"/>
                      <w:lang w:val="en-US" w:eastAsia="zh-CN" w:bidi="ar-SA"/>
                    </w:rPr>
                    <w:t>）；本项目不采用淘汰或禁止使用的原料、工艺、技术和设备，不属于“两高”项目。</w:t>
                  </w:r>
                </w:p>
              </w:tc>
            </w:tr>
            <w:tr w14:paraId="1F89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tcBorders>
                    <w:left w:val="nil"/>
                  </w:tcBorders>
                  <w:vAlign w:val="center"/>
                </w:tcPr>
                <w:p w14:paraId="7DBD014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406" w:type="pct"/>
                  <w:vAlign w:val="center"/>
                </w:tcPr>
                <w:p w14:paraId="1E19495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污染物排放管控</w:t>
                  </w:r>
                </w:p>
              </w:tc>
              <w:tc>
                <w:tcPr>
                  <w:tcW w:w="2838" w:type="pct"/>
                  <w:vAlign w:val="center"/>
                </w:tcPr>
                <w:p w14:paraId="250B6677">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1.</w:t>
                  </w:r>
                  <w:r>
                    <w:rPr>
                      <w:rFonts w:hint="eastAsia" w:ascii="Times New Roman" w:hAnsi="Times New Roman" w:eastAsia="宋体" w:cs="Times New Roman"/>
                      <w:b w:val="0"/>
                      <w:color w:val="auto"/>
                      <w:kern w:val="0"/>
                      <w:sz w:val="18"/>
                      <w:szCs w:val="18"/>
                      <w:lang w:val="en-US" w:eastAsia="zh-CN" w:bidi="ar-SA"/>
                    </w:rPr>
                    <w:t>积极开展区域地表水环境综合整治，加强园区清污分流、雨污分流系统建设，提高生活污水的截污率，为产业布局腾出环境容量。</w:t>
                  </w:r>
                </w:p>
                <w:p w14:paraId="1FE430CD">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2.</w:t>
                  </w:r>
                  <w:r>
                    <w:rPr>
                      <w:rFonts w:hint="eastAsia" w:ascii="Times New Roman" w:hAnsi="Times New Roman" w:eastAsia="宋体" w:cs="Times New Roman"/>
                      <w:b w:val="0"/>
                      <w:color w:val="auto"/>
                      <w:kern w:val="0"/>
                      <w:sz w:val="18"/>
                      <w:szCs w:val="18"/>
                      <w:lang w:val="en-US" w:eastAsia="zh-CN" w:bidi="ar-SA"/>
                    </w:rPr>
                    <w:t>生产废水由企业自行建设废水处理站处理后，回用于生产，严禁外排；生活污水经处理达三级污水综合排放标准后排入各片区污水处理厂处理，园区应加快污水处理设施及配套管网建设，确保产业园区废水处理率达到</w:t>
                  </w:r>
                  <w:r>
                    <w:rPr>
                      <w:rFonts w:hint="default" w:ascii="Times New Roman" w:hAnsi="Times New Roman" w:eastAsia="宋体" w:cs="Times New Roman"/>
                      <w:b w:val="0"/>
                      <w:color w:val="auto"/>
                      <w:kern w:val="0"/>
                      <w:sz w:val="18"/>
                      <w:szCs w:val="18"/>
                      <w:lang w:val="en-US" w:eastAsia="zh-CN" w:bidi="ar-SA"/>
                    </w:rPr>
                    <w:t>100%</w:t>
                  </w:r>
                  <w:r>
                    <w:rPr>
                      <w:rFonts w:hint="eastAsia" w:ascii="Times New Roman" w:hAnsi="Times New Roman" w:eastAsia="宋体" w:cs="Times New Roman"/>
                      <w:b w:val="0"/>
                      <w:color w:val="auto"/>
                      <w:kern w:val="0"/>
                      <w:sz w:val="18"/>
                      <w:szCs w:val="18"/>
                      <w:lang w:val="en-US" w:eastAsia="zh-CN" w:bidi="ar-SA"/>
                    </w:rPr>
                    <w:t>。除园区污水处理厂入河排污口外，不新设、改设或者扩大排污口，园区污水处理厂必须处理达到《城镇污水处理厂污染物排放标准》（</w:t>
                  </w:r>
                  <w:r>
                    <w:rPr>
                      <w:rFonts w:hint="default" w:ascii="Times New Roman" w:hAnsi="Times New Roman" w:eastAsia="宋体" w:cs="Times New Roman"/>
                      <w:b w:val="0"/>
                      <w:color w:val="auto"/>
                      <w:kern w:val="0"/>
                      <w:sz w:val="18"/>
                      <w:szCs w:val="18"/>
                      <w:lang w:val="en-US" w:eastAsia="zh-CN" w:bidi="ar-SA"/>
                    </w:rPr>
                    <w:t>GB18918</w:t>
                  </w:r>
                  <w:r>
                    <w:rPr>
                      <w:rFonts w:hint="eastAsia" w:ascii="Times New Roman" w:hAnsi="Times New Roman" w:eastAsia="宋体" w:cs="Times New Roman"/>
                      <w:b w:val="0"/>
                      <w:color w:val="auto"/>
                      <w:kern w:val="0"/>
                      <w:sz w:val="18"/>
                      <w:szCs w:val="18"/>
                      <w:lang w:val="en-US" w:eastAsia="zh-CN" w:bidi="ar-SA"/>
                    </w:rPr>
                    <w:t>－</w:t>
                  </w:r>
                  <w:r>
                    <w:rPr>
                      <w:rFonts w:hint="default" w:ascii="Times New Roman" w:hAnsi="Times New Roman" w:eastAsia="宋体" w:cs="Times New Roman"/>
                      <w:b w:val="0"/>
                      <w:color w:val="auto"/>
                      <w:kern w:val="0"/>
                      <w:sz w:val="18"/>
                      <w:szCs w:val="18"/>
                      <w:lang w:val="en-US" w:eastAsia="zh-CN" w:bidi="ar-SA"/>
                    </w:rPr>
                    <w:t>2002</w:t>
                  </w:r>
                  <w:r>
                    <w:rPr>
                      <w:rFonts w:hint="eastAsia" w:ascii="Times New Roman" w:hAnsi="Times New Roman" w:eastAsia="宋体" w:cs="Times New Roman"/>
                      <w:b w:val="0"/>
                      <w:color w:val="auto"/>
                      <w:kern w:val="0"/>
                      <w:sz w:val="18"/>
                      <w:szCs w:val="18"/>
                      <w:lang w:val="en-US" w:eastAsia="zh-CN" w:bidi="ar-SA"/>
                    </w:rPr>
                    <w:t>）一级</w:t>
                  </w:r>
                  <w:r>
                    <w:rPr>
                      <w:rFonts w:hint="default" w:ascii="Times New Roman" w:hAnsi="Times New Roman" w:eastAsia="宋体" w:cs="Times New Roman"/>
                      <w:b w:val="0"/>
                      <w:color w:val="auto"/>
                      <w:kern w:val="0"/>
                      <w:sz w:val="18"/>
                      <w:szCs w:val="18"/>
                      <w:lang w:val="en-US" w:eastAsia="zh-CN" w:bidi="ar-SA"/>
                    </w:rPr>
                    <w:t>A</w:t>
                  </w:r>
                  <w:r>
                    <w:rPr>
                      <w:rFonts w:hint="eastAsia" w:ascii="Times New Roman" w:hAnsi="Times New Roman" w:eastAsia="宋体" w:cs="Times New Roman"/>
                      <w:b w:val="0"/>
                      <w:color w:val="auto"/>
                      <w:kern w:val="0"/>
                      <w:sz w:val="18"/>
                      <w:szCs w:val="18"/>
                      <w:lang w:val="en-US" w:eastAsia="zh-CN" w:bidi="ar-SA"/>
                    </w:rPr>
                    <w:t>标后达标外排。</w:t>
                  </w:r>
                </w:p>
                <w:p w14:paraId="630B6E38">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3.</w:t>
                  </w:r>
                  <w:r>
                    <w:rPr>
                      <w:rFonts w:hint="eastAsia" w:ascii="Times New Roman" w:hAnsi="Times New Roman" w:eastAsia="宋体" w:cs="Times New Roman"/>
                      <w:b w:val="0"/>
                      <w:color w:val="auto"/>
                      <w:kern w:val="0"/>
                      <w:sz w:val="18"/>
                      <w:szCs w:val="18"/>
                      <w:lang w:val="en-US" w:eastAsia="zh-CN" w:bidi="ar-SA"/>
                    </w:rPr>
                    <w:t>现有重污染企业要开展技术升级改造和环保设施提标改造，减少污染排放。</w:t>
                  </w:r>
                </w:p>
              </w:tc>
              <w:tc>
                <w:tcPr>
                  <w:tcW w:w="1250" w:type="pct"/>
                  <w:tcBorders>
                    <w:right w:val="nil"/>
                  </w:tcBorders>
                  <w:vAlign w:val="center"/>
                </w:tcPr>
                <w:p w14:paraId="288E5268">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ascii="宋体" w:hAnsi="宋体" w:eastAsia="宋体" w:cs="宋体"/>
                      <w:color w:val="000000"/>
                      <w:kern w:val="0"/>
                      <w:sz w:val="18"/>
                      <w:szCs w:val="18"/>
                      <w:lang w:val="en-US" w:eastAsia="zh-CN" w:bidi="ar"/>
                    </w:rPr>
                    <w:t>本项目厂区实行“雨污分流”，</w:t>
                  </w:r>
                  <w:r>
                    <w:rPr>
                      <w:rFonts w:hint="eastAsia" w:ascii="Times New Roman" w:hAnsi="Times New Roman" w:eastAsia="宋体" w:cs="Times New Roman"/>
                      <w:color w:val="auto"/>
                      <w:sz w:val="18"/>
                      <w:szCs w:val="18"/>
                      <w:lang w:val="en-US" w:eastAsia="zh-CN"/>
                    </w:rPr>
                    <w:t>生产废水循环使用，不外排</w:t>
                  </w:r>
                  <w:r>
                    <w:rPr>
                      <w:rFonts w:hint="eastAsia" w:cs="Times New Roman"/>
                      <w:color w:val="auto"/>
                      <w:sz w:val="18"/>
                      <w:szCs w:val="18"/>
                      <w:lang w:val="en-US" w:eastAsia="zh-CN"/>
                    </w:rPr>
                    <w:t>；</w:t>
                  </w:r>
                  <w:r>
                    <w:rPr>
                      <w:rFonts w:hint="eastAsia" w:cs="Times New Roman"/>
                      <w:color w:val="000000"/>
                      <w:kern w:val="0"/>
                      <w:sz w:val="18"/>
                      <w:szCs w:val="18"/>
                      <w:lang w:val="en-US" w:eastAsia="zh-CN" w:bidi="ar"/>
                    </w:rPr>
                    <w:t>车辆清洗废水收集沉淀后回用，不外排；</w:t>
                  </w:r>
                  <w:r>
                    <w:rPr>
                      <w:rFonts w:hint="eastAsia" w:ascii="Times New Roman" w:hAnsi="Times New Roman" w:eastAsia="宋体" w:cs="Times New Roman"/>
                      <w:color w:val="000000"/>
                      <w:kern w:val="0"/>
                      <w:sz w:val="18"/>
                      <w:szCs w:val="18"/>
                      <w:lang w:val="en-US" w:eastAsia="zh-CN" w:bidi="ar"/>
                    </w:rPr>
                    <w:t>生活污水收集后进入生活污水处理站（200m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/d），处理后回用于厂区绿化、道路洒水，不外排</w:t>
                  </w:r>
                  <w:r>
                    <w:rPr>
                      <w:rFonts w:hint="eastAsia" w:ascii="宋体" w:hAnsi="宋体" w:eastAsia="宋体" w:cs="宋体"/>
                      <w:color w:val="000000"/>
                      <w:kern w:val="0"/>
                      <w:sz w:val="18"/>
                      <w:szCs w:val="18"/>
                      <w:lang w:val="en-US" w:eastAsia="zh-CN" w:bidi="ar"/>
                    </w:rPr>
                    <w:t>。本项目不属于重污染企业。</w:t>
                  </w:r>
                </w:p>
              </w:tc>
            </w:tr>
            <w:tr w14:paraId="21E2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tcBorders>
                    <w:left w:val="nil"/>
                  </w:tcBorders>
                  <w:vAlign w:val="center"/>
                </w:tcPr>
                <w:p w14:paraId="052D15C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406" w:type="pct"/>
                  <w:vAlign w:val="center"/>
                </w:tcPr>
                <w:p w14:paraId="215BD9E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环境风险防控</w:t>
                  </w:r>
                </w:p>
              </w:tc>
              <w:tc>
                <w:tcPr>
                  <w:tcW w:w="2838" w:type="pct"/>
                  <w:vAlign w:val="center"/>
                </w:tcPr>
                <w:p w14:paraId="648C2770">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1.</w:t>
                  </w:r>
                  <w:r>
                    <w:rPr>
                      <w:rFonts w:hint="eastAsia" w:ascii="Times New Roman" w:hAnsi="Times New Roman" w:eastAsia="宋体" w:cs="Times New Roman"/>
                      <w:b w:val="0"/>
                      <w:color w:val="auto"/>
                      <w:kern w:val="0"/>
                      <w:sz w:val="18"/>
                      <w:szCs w:val="18"/>
                      <w:lang w:val="en-US" w:eastAsia="zh-CN" w:bidi="ar-SA"/>
                    </w:rPr>
                    <w:t>靠近城区居民分布密集区周边区域不宜布置日常储量构成重大危险源的使用危险化学品的项目。</w:t>
                  </w:r>
                </w:p>
                <w:p w14:paraId="5FE39898">
                  <w:pPr>
                    <w:keepNext w:val="0"/>
                    <w:keepLines w:val="0"/>
                    <w:widowControl/>
                    <w:suppressLineNumbers w:val="0"/>
                    <w:jc w:val="both"/>
                    <w:rPr>
                      <w:rFonts w:hint="eastAsia"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2.</w:t>
                  </w:r>
                  <w:r>
                    <w:rPr>
                      <w:rFonts w:hint="eastAsia" w:ascii="Times New Roman" w:hAnsi="Times New Roman" w:eastAsia="宋体" w:cs="Times New Roman"/>
                      <w:b w:val="0"/>
                      <w:color w:val="auto"/>
                      <w:kern w:val="0"/>
                      <w:sz w:val="18"/>
                      <w:szCs w:val="18"/>
                      <w:lang w:val="en-US" w:eastAsia="zh-CN" w:bidi="ar-SA"/>
                    </w:rPr>
                    <w:t>各片区应注重液氨和天然气等危险化学品的贮存和风险防范，其最大可信事故半致死浓度范围内不得有居民点存在。</w:t>
                  </w:r>
                </w:p>
                <w:p w14:paraId="173DC613">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3.</w:t>
                  </w:r>
                  <w:r>
                    <w:rPr>
                      <w:rFonts w:hint="eastAsia" w:ascii="Times New Roman" w:hAnsi="Times New Roman" w:eastAsia="宋体" w:cs="Times New Roman"/>
                      <w:b w:val="0"/>
                      <w:color w:val="auto"/>
                      <w:kern w:val="0"/>
                      <w:sz w:val="18"/>
                      <w:szCs w:val="18"/>
                      <w:lang w:val="en-US" w:eastAsia="zh-CN" w:bidi="ar-SA"/>
                    </w:rPr>
                    <w:t>对于进驻园区项目在选址布局时要充分考虑卫生防护距离的要求。</w:t>
                  </w:r>
                </w:p>
                <w:p w14:paraId="1F87FDF1">
                  <w:pPr>
                    <w:keepNext w:val="0"/>
                    <w:keepLines w:val="0"/>
                    <w:widowControl/>
                    <w:suppressLineNumbers w:val="0"/>
                    <w:jc w:val="both"/>
                    <w:rPr>
                      <w:rFonts w:hint="default" w:ascii="Times New Roman" w:hAnsi="Times New Roman" w:eastAsia="宋体" w:cs="Times New Roman"/>
                      <w:b w:val="0"/>
                      <w:color w:val="auto"/>
                      <w:kern w:val="0"/>
                      <w:sz w:val="18"/>
                      <w:szCs w:val="18"/>
                      <w:lang w:val="en-US" w:eastAsia="zh-CN" w:bidi="ar-SA"/>
                    </w:rPr>
                  </w:pPr>
                  <w:r>
                    <w:rPr>
                      <w:rFonts w:hint="default" w:ascii="Times New Roman" w:hAnsi="Times New Roman" w:eastAsia="宋体" w:cs="Times New Roman"/>
                      <w:b w:val="0"/>
                      <w:color w:val="auto"/>
                      <w:kern w:val="0"/>
                      <w:sz w:val="18"/>
                      <w:szCs w:val="18"/>
                      <w:lang w:val="en-US" w:eastAsia="zh-CN" w:bidi="ar-SA"/>
                    </w:rPr>
                    <w:t>4.</w:t>
                  </w:r>
                  <w:r>
                    <w:rPr>
                      <w:rFonts w:hint="eastAsia" w:ascii="Times New Roman" w:hAnsi="Times New Roman" w:eastAsia="宋体" w:cs="Times New Roman"/>
                      <w:b w:val="0"/>
                      <w:color w:val="auto"/>
                      <w:kern w:val="0"/>
                      <w:sz w:val="18"/>
                      <w:szCs w:val="18"/>
                      <w:lang w:val="en-US" w:eastAsia="zh-CN" w:bidi="ar-SA"/>
                    </w:rPr>
                    <w:t>制定突发环境事件应急预案，完善风险管理机制，加强风险控制防范。建立区域环境监测制度，加强规划实施的跟踪监测与管理。</w:t>
                  </w:r>
                </w:p>
              </w:tc>
              <w:tc>
                <w:tcPr>
                  <w:tcW w:w="1250" w:type="pct"/>
                  <w:tcBorders>
                    <w:right w:val="nil"/>
                  </w:tcBorders>
                  <w:vAlign w:val="center"/>
                </w:tcPr>
                <w:p w14:paraId="680F54B7">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color w:val="auto"/>
                      <w:kern w:val="0"/>
                      <w:sz w:val="18"/>
                      <w:szCs w:val="18"/>
                      <w:lang w:val="en-US" w:eastAsia="zh-CN" w:bidi="ar-SA"/>
                    </w:rPr>
                  </w:pPr>
                  <w:r>
                    <w:rPr>
                      <w:rFonts w:hint="eastAsia" w:ascii="Times New Roman" w:hAnsi="Times New Roman" w:eastAsia="宋体" w:cs="Times New Roman"/>
                      <w:b w:val="0"/>
                      <w:color w:val="auto"/>
                      <w:kern w:val="0"/>
                      <w:sz w:val="18"/>
                      <w:szCs w:val="18"/>
                      <w:lang w:val="en-US" w:eastAsia="zh-CN" w:bidi="ar-SA"/>
                    </w:rPr>
                    <w:t>本项目无重大危险源，无液氨及天然气的贮存；本项目属于原址改建；企业已制定突发环境事件应急预案并完成备案，改建完成后及时修订应急预案。加强环境风险防控；建立区域环境监测制度，加强规划实施的跟踪监测与管理。</w:t>
                  </w:r>
                </w:p>
              </w:tc>
            </w:tr>
            <w:tr w14:paraId="3B79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tcBorders>
                    <w:left w:val="nil"/>
                  </w:tcBorders>
                  <w:vAlign w:val="center"/>
                </w:tcPr>
                <w:p w14:paraId="79C413E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406" w:type="pct"/>
                  <w:vAlign w:val="center"/>
                </w:tcPr>
                <w:p w14:paraId="386A8FC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资源开发效率要求</w:t>
                  </w:r>
                </w:p>
              </w:tc>
              <w:tc>
                <w:tcPr>
                  <w:tcW w:w="2838" w:type="pct"/>
                  <w:vAlign w:val="center"/>
                </w:tcPr>
                <w:p w14:paraId="638CBE23">
                  <w:pPr>
                    <w:keepNext w:val="0"/>
                    <w:keepLines w:val="0"/>
                    <w:widowControl/>
                    <w:suppressLineNumbers w:val="0"/>
                    <w:jc w:val="left"/>
                    <w:rPr>
                      <w:rFonts w:hint="default" w:ascii="Times New Roman" w:hAnsi="Times New Roman" w:eastAsia="宋体" w:cs="Times New Roman"/>
                      <w:b w:val="0"/>
                      <w:color w:val="auto"/>
                      <w:kern w:val="0"/>
                      <w:sz w:val="18"/>
                      <w:szCs w:val="18"/>
                      <w:lang w:val="en-US" w:eastAsia="zh-CN" w:bidi="ar-SA"/>
                    </w:rPr>
                  </w:pPr>
                  <w:r>
                    <w:rPr>
                      <w:rFonts w:hint="eastAsia" w:ascii="Times New Roman" w:hAnsi="Times New Roman" w:eastAsia="宋体" w:cs="Times New Roman"/>
                      <w:b w:val="0"/>
                      <w:color w:val="auto"/>
                      <w:kern w:val="0"/>
                      <w:sz w:val="18"/>
                      <w:szCs w:val="18"/>
                      <w:lang w:val="en-US" w:eastAsia="zh-CN" w:bidi="ar-SA"/>
                    </w:rPr>
                    <w:t>工业用水循环利用率达</w:t>
                  </w:r>
                  <w:r>
                    <w:rPr>
                      <w:rFonts w:hint="default" w:ascii="Times New Roman" w:hAnsi="Times New Roman" w:eastAsia="宋体" w:cs="Times New Roman"/>
                      <w:b w:val="0"/>
                      <w:color w:val="auto"/>
                      <w:kern w:val="0"/>
                      <w:sz w:val="18"/>
                      <w:szCs w:val="18"/>
                      <w:lang w:val="en-US" w:eastAsia="zh-CN" w:bidi="ar-SA"/>
                    </w:rPr>
                    <w:t>90%</w:t>
                  </w:r>
                  <w:r>
                    <w:rPr>
                      <w:rFonts w:hint="eastAsia" w:ascii="Times New Roman" w:hAnsi="Times New Roman" w:eastAsia="宋体" w:cs="Times New Roman"/>
                      <w:b w:val="0"/>
                      <w:color w:val="auto"/>
                      <w:kern w:val="0"/>
                      <w:sz w:val="18"/>
                      <w:szCs w:val="18"/>
                      <w:lang w:val="en-US" w:eastAsia="zh-CN" w:bidi="ar-SA"/>
                    </w:rPr>
                    <w:t>以上。加大中水回用力度，完善中水管网建设，要求除食品行业外，其他工业企业的中水回用率要求达</w:t>
                  </w:r>
                  <w:r>
                    <w:rPr>
                      <w:rFonts w:hint="default" w:ascii="Times New Roman" w:hAnsi="Times New Roman" w:eastAsia="宋体" w:cs="Times New Roman"/>
                      <w:b w:val="0"/>
                      <w:color w:val="auto"/>
                      <w:kern w:val="0"/>
                      <w:sz w:val="18"/>
                      <w:szCs w:val="18"/>
                      <w:lang w:val="en-US" w:eastAsia="zh-CN" w:bidi="ar-SA"/>
                    </w:rPr>
                    <w:t>40%</w:t>
                  </w:r>
                  <w:r>
                    <w:rPr>
                      <w:rFonts w:hint="eastAsia" w:ascii="Times New Roman" w:hAnsi="Times New Roman" w:eastAsia="宋体" w:cs="Times New Roman"/>
                      <w:b w:val="0"/>
                      <w:color w:val="auto"/>
                      <w:kern w:val="0"/>
                      <w:sz w:val="18"/>
                      <w:szCs w:val="18"/>
                      <w:lang w:val="en-US" w:eastAsia="zh-CN" w:bidi="ar-SA"/>
                    </w:rPr>
                    <w:t>。</w:t>
                  </w:r>
                </w:p>
              </w:tc>
              <w:tc>
                <w:tcPr>
                  <w:tcW w:w="1250" w:type="pct"/>
                  <w:tcBorders>
                    <w:right w:val="nil"/>
                  </w:tcBorders>
                  <w:vAlign w:val="center"/>
                </w:tcPr>
                <w:p w14:paraId="0C92B9B6">
                  <w:pPr>
                    <w:keepNext w:val="0"/>
                    <w:keepLines w:val="0"/>
                    <w:widowControl/>
                    <w:suppressLineNumbers w:val="0"/>
                    <w:ind w:left="0" w:leftChars="0" w:right="0" w:rightChars="0" w:firstLine="0" w:firstLineChars="0"/>
                    <w:jc w:val="center"/>
                    <w:rPr>
                      <w:rFonts w:hint="default" w:ascii="Times New Roman" w:hAnsi="Times New Roman" w:eastAsia="宋体" w:cs="Times New Roman"/>
                      <w:b w:val="0"/>
                      <w:color w:val="auto"/>
                      <w:kern w:val="0"/>
                      <w:sz w:val="18"/>
                      <w:szCs w:val="18"/>
                      <w:lang w:val="en-US" w:eastAsia="zh-CN" w:bidi="ar-SA"/>
                    </w:rPr>
                  </w:pPr>
                  <w:r>
                    <w:rPr>
                      <w:rFonts w:hint="eastAsia" w:ascii="Times New Roman" w:hAnsi="Times New Roman" w:eastAsia="宋体" w:cs="Times New Roman"/>
                      <w:b w:val="0"/>
                      <w:color w:val="auto"/>
                      <w:kern w:val="0"/>
                      <w:sz w:val="18"/>
                      <w:szCs w:val="18"/>
                      <w:lang w:val="en-US" w:eastAsia="zh-CN" w:bidi="ar-SA"/>
                    </w:rPr>
                    <w:t>本项目生产废水循环使用不外排，工业用水循环利用率</w:t>
                  </w:r>
                  <w:r>
                    <w:rPr>
                      <w:rFonts w:hint="default" w:ascii="Times New Roman" w:hAnsi="Times New Roman" w:eastAsia="宋体" w:cs="Times New Roman"/>
                      <w:b w:val="0"/>
                      <w:color w:val="auto"/>
                      <w:kern w:val="0"/>
                      <w:sz w:val="18"/>
                      <w:szCs w:val="18"/>
                      <w:lang w:val="en-US" w:eastAsia="zh-CN" w:bidi="ar-SA"/>
                    </w:rPr>
                    <w:t>100%</w:t>
                  </w:r>
                  <w:r>
                    <w:rPr>
                      <w:rFonts w:hint="eastAsia" w:ascii="Times New Roman" w:hAnsi="Times New Roman" w:eastAsia="宋体" w:cs="Times New Roman"/>
                      <w:b w:val="0"/>
                      <w:color w:val="auto"/>
                      <w:kern w:val="0"/>
                      <w:sz w:val="18"/>
                      <w:szCs w:val="18"/>
                      <w:lang w:val="en-US" w:eastAsia="zh-CN" w:bidi="ar-SA"/>
                    </w:rPr>
                    <w:t>。</w:t>
                  </w:r>
                </w:p>
              </w:tc>
            </w:tr>
          </w:tbl>
          <w:p w14:paraId="1211920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u w:val="none"/>
              </w:rPr>
            </w:pPr>
            <w:r>
              <w:rPr>
                <w:rFonts w:hint="eastAsia" w:ascii="Times New Roman" w:hAnsi="Times New Roman" w:eastAsia="宋体" w:cs="Times New Roman"/>
                <w:b w:val="0"/>
                <w:bCs/>
                <w:color w:val="auto"/>
                <w:sz w:val="24"/>
                <w:szCs w:val="24"/>
                <w:highlight w:val="none"/>
                <w:u w:val="none"/>
                <w:lang w:val="en-US" w:eastAsia="zh-CN"/>
              </w:rPr>
              <w:t>项目位于易门产业园区大椿树片区，在既有厂区范围内，位于易门县产业园区重点管控单元，项目建设满足《玉溪市生态环境局关于印发玉溪市生态环境分区管控动态更新调整方案（</w:t>
            </w:r>
            <w:r>
              <w:rPr>
                <w:rFonts w:hint="default" w:ascii="Times New Roman" w:hAnsi="Times New Roman" w:eastAsia="宋体" w:cs="Times New Roman"/>
                <w:b w:val="0"/>
                <w:bCs/>
                <w:color w:val="auto"/>
                <w:sz w:val="24"/>
                <w:szCs w:val="24"/>
                <w:highlight w:val="none"/>
                <w:u w:val="none"/>
                <w:lang w:val="en-US" w:eastAsia="zh-CN"/>
              </w:rPr>
              <w:t>2023</w:t>
            </w:r>
            <w:r>
              <w:rPr>
                <w:rFonts w:hint="eastAsia" w:ascii="Times New Roman" w:hAnsi="Times New Roman" w:eastAsia="宋体" w:cs="Times New Roman"/>
                <w:b w:val="0"/>
                <w:bCs/>
                <w:color w:val="auto"/>
                <w:sz w:val="24"/>
                <w:szCs w:val="24"/>
                <w:highlight w:val="none"/>
                <w:u w:val="none"/>
                <w:lang w:val="en-US" w:eastAsia="zh-CN"/>
              </w:rPr>
              <w:t>年）的通知》（玉市环〔</w:t>
            </w:r>
            <w:r>
              <w:rPr>
                <w:rFonts w:hint="default" w:ascii="Times New Roman" w:hAnsi="Times New Roman" w:eastAsia="宋体" w:cs="Times New Roman"/>
                <w:b w:val="0"/>
                <w:bCs/>
                <w:color w:val="auto"/>
                <w:sz w:val="24"/>
                <w:szCs w:val="24"/>
                <w:highlight w:val="none"/>
                <w:u w:val="none"/>
                <w:lang w:val="en-US" w:eastAsia="zh-CN"/>
              </w:rPr>
              <w:t>2024</w:t>
            </w:r>
            <w:r>
              <w:rPr>
                <w:rFonts w:hint="eastAsia" w:ascii="Times New Roman" w:hAnsi="Times New Roman" w:eastAsia="宋体" w:cs="Times New Roman"/>
                <w:b w:val="0"/>
                <w:bCs/>
                <w:color w:val="auto"/>
                <w:sz w:val="24"/>
                <w:szCs w:val="24"/>
                <w:highlight w:val="none"/>
                <w:u w:val="none"/>
                <w:lang w:val="en-US" w:eastAsia="zh-CN"/>
              </w:rPr>
              <w:t>〕</w:t>
            </w:r>
            <w:r>
              <w:rPr>
                <w:rFonts w:hint="default" w:ascii="Times New Roman" w:hAnsi="Times New Roman" w:eastAsia="宋体" w:cs="Times New Roman"/>
                <w:b w:val="0"/>
                <w:bCs/>
                <w:color w:val="auto"/>
                <w:sz w:val="24"/>
                <w:szCs w:val="24"/>
                <w:highlight w:val="none"/>
                <w:u w:val="none"/>
                <w:lang w:val="en-US" w:eastAsia="zh-CN"/>
              </w:rPr>
              <w:t>40</w:t>
            </w:r>
            <w:r>
              <w:rPr>
                <w:rFonts w:hint="eastAsia" w:ascii="Times New Roman" w:hAnsi="Times New Roman" w:eastAsia="宋体" w:cs="Times New Roman"/>
                <w:b w:val="0"/>
                <w:bCs/>
                <w:color w:val="auto"/>
                <w:sz w:val="24"/>
                <w:szCs w:val="24"/>
                <w:highlight w:val="none"/>
                <w:u w:val="none"/>
                <w:lang w:val="en-US" w:eastAsia="zh-CN"/>
              </w:rPr>
              <w:t>号）中生态环境管控总体要求和易门县</w:t>
            </w:r>
            <w:r>
              <w:rPr>
                <w:rFonts w:hint="eastAsia" w:cs="Times New Roman"/>
                <w:b w:val="0"/>
                <w:bCs/>
                <w:color w:val="auto"/>
                <w:sz w:val="24"/>
                <w:szCs w:val="24"/>
                <w:highlight w:val="none"/>
                <w:u w:val="none"/>
                <w:lang w:val="en-US" w:eastAsia="zh-CN"/>
              </w:rPr>
              <w:t>产业园区</w:t>
            </w:r>
            <w:r>
              <w:rPr>
                <w:rFonts w:hint="eastAsia" w:ascii="Times New Roman" w:hAnsi="Times New Roman" w:eastAsia="宋体" w:cs="Times New Roman"/>
                <w:b w:val="0"/>
                <w:bCs/>
                <w:color w:val="auto"/>
                <w:sz w:val="24"/>
                <w:szCs w:val="24"/>
                <w:highlight w:val="none"/>
                <w:u w:val="none"/>
                <w:lang w:val="en-US" w:eastAsia="zh-CN"/>
              </w:rPr>
              <w:t>重点管控单元的管控要求。</w:t>
            </w:r>
          </w:p>
          <w:p w14:paraId="136C2C9F">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rPr>
            </w:pPr>
            <w:r>
              <w:rPr>
                <w:rFonts w:hint="eastAsia" w:cs="Times New Roman"/>
                <w:b/>
                <w:bCs/>
                <w:color w:val="auto"/>
                <w:kern w:val="0"/>
                <w:sz w:val="24"/>
                <w:szCs w:val="24"/>
                <w:highlight w:val="none"/>
                <w:lang w:val="en-US" w:eastAsia="zh-CN"/>
              </w:rPr>
              <w:t>3</w:t>
            </w:r>
            <w:r>
              <w:rPr>
                <w:rFonts w:hint="eastAsia" w:ascii="Times New Roman" w:hAnsi="Times New Roman"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rPr>
              <w:t>与《长江经济带发展负面清单指南（试行），2022年版》符合性分析</w:t>
            </w:r>
          </w:p>
          <w:p w14:paraId="0136246A">
            <w:pPr>
              <w:pStyle w:val="3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96"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根据《长江经济带发展负面清单指南</w:t>
            </w:r>
            <w:r>
              <w:rPr>
                <w:rFonts w:hint="eastAsia" w:cs="Times New Roman"/>
                <w:color w:val="auto"/>
                <w:szCs w:val="24"/>
                <w:highlight w:val="none"/>
                <w:lang w:eastAsia="zh-CN"/>
              </w:rPr>
              <w:t>（</w:t>
            </w:r>
            <w:r>
              <w:rPr>
                <w:rFonts w:hint="default" w:ascii="Times New Roman" w:hAnsi="Times New Roman" w:eastAsia="宋体" w:cs="Times New Roman"/>
                <w:color w:val="auto"/>
                <w:szCs w:val="24"/>
                <w:highlight w:val="none"/>
              </w:rPr>
              <w:t>试行，2022年版</w:t>
            </w:r>
            <w:r>
              <w:rPr>
                <w:rFonts w:hint="eastAsia" w:cs="Times New Roman"/>
                <w:color w:val="auto"/>
                <w:szCs w:val="24"/>
                <w:highlight w:val="none"/>
                <w:lang w:eastAsia="zh-CN"/>
              </w:rPr>
              <w:t>）</w:t>
            </w:r>
            <w:r>
              <w:rPr>
                <w:rFonts w:hint="default" w:ascii="Times New Roman" w:hAnsi="Times New Roman" w:eastAsia="宋体" w:cs="Times New Roman"/>
                <w:color w:val="auto"/>
                <w:szCs w:val="24"/>
                <w:highlight w:val="none"/>
              </w:rPr>
              <w:t>》（长江办〔2022〕7号），本项目与其符合性详见如下：</w:t>
            </w:r>
          </w:p>
          <w:p w14:paraId="735244E9">
            <w:pPr>
              <w:pStyle w:val="35"/>
              <w:keepNext w:val="0"/>
              <w:keepLines w:val="0"/>
              <w:pageBreakBefore w:val="0"/>
              <w:kinsoku/>
              <w:wordWrap/>
              <w:overflowPunct/>
              <w:topLinePunct w:val="0"/>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黑体" w:hAnsi="黑体" w:eastAsia="黑体" w:cs="黑体"/>
                <w:b w:val="0"/>
                <w:bCs w:val="0"/>
                <w:color w:val="auto"/>
                <w:sz w:val="21"/>
                <w:szCs w:val="21"/>
                <w:highlight w:val="none"/>
              </w:rPr>
              <w:t>表</w:t>
            </w:r>
            <w:r>
              <w:rPr>
                <w:rFonts w:hint="eastAsia" w:ascii="黑体" w:hAnsi="黑体" w:eastAsia="黑体" w:cs="黑体"/>
                <w:b w:val="0"/>
                <w:bCs w:val="0"/>
                <w:color w:val="auto"/>
                <w:sz w:val="21"/>
                <w:szCs w:val="21"/>
                <w:highlight w:val="none"/>
                <w:lang w:val="en-US" w:eastAsia="zh-CN"/>
              </w:rPr>
              <w:t>1</w:t>
            </w:r>
            <w:r>
              <w:rPr>
                <w:rFonts w:hint="eastAsia" w:ascii="黑体" w:hAnsi="黑体" w:eastAsia="黑体" w:cs="黑体"/>
                <w:b w:val="0"/>
                <w:bCs w:val="0"/>
                <w:color w:val="auto"/>
                <w:sz w:val="21"/>
                <w:szCs w:val="21"/>
                <w:highlight w:val="none"/>
              </w:rPr>
              <w:t>-</w:t>
            </w:r>
            <w:r>
              <w:rPr>
                <w:rFonts w:hint="eastAsia" w:ascii="黑体" w:hAnsi="黑体" w:eastAsia="黑体" w:cs="黑体"/>
                <w:b w:val="0"/>
                <w:bCs w:val="0"/>
                <w:color w:val="auto"/>
                <w:sz w:val="21"/>
                <w:szCs w:val="21"/>
                <w:highlight w:val="none"/>
                <w:lang w:val="en-US" w:eastAsia="zh-CN"/>
              </w:rPr>
              <w:t>6</w:t>
            </w:r>
            <w:r>
              <w:rPr>
                <w:rFonts w:hint="eastAsia" w:ascii="黑体" w:hAnsi="黑体" w:eastAsia="黑体" w:cs="黑体"/>
                <w:b w:val="0"/>
                <w:bCs w:val="0"/>
                <w:color w:val="auto"/>
                <w:sz w:val="21"/>
                <w:szCs w:val="21"/>
                <w:highlight w:val="none"/>
              </w:rPr>
              <w:t xml:space="preserve">    本项目与长江经济带发展负面清单指南相关规定要求对照表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54"/>
              <w:gridCol w:w="2463"/>
              <w:gridCol w:w="698"/>
            </w:tblGrid>
            <w:tr w14:paraId="4BC890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46" w:type="pct"/>
                  <w:tcBorders>
                    <w:tl2br w:val="nil"/>
                    <w:tr2bl w:val="nil"/>
                  </w:tcBorders>
                  <w:noWrap w:val="0"/>
                  <w:vAlign w:val="center"/>
                </w:tcPr>
                <w:p w14:paraId="488E46D9">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规定保护要求</w:t>
                  </w:r>
                </w:p>
              </w:tc>
              <w:tc>
                <w:tcPr>
                  <w:tcW w:w="1755" w:type="pct"/>
                  <w:tcBorders>
                    <w:tl2br w:val="nil"/>
                    <w:tr2bl w:val="nil"/>
                  </w:tcBorders>
                  <w:noWrap w:val="0"/>
                  <w:vAlign w:val="center"/>
                </w:tcPr>
                <w:p w14:paraId="59C1C3CD">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本项目保护情况</w:t>
                  </w:r>
                </w:p>
              </w:tc>
              <w:tc>
                <w:tcPr>
                  <w:tcW w:w="497" w:type="pct"/>
                  <w:tcBorders>
                    <w:tl2br w:val="nil"/>
                    <w:tr2bl w:val="nil"/>
                  </w:tcBorders>
                  <w:noWrap w:val="0"/>
                  <w:vAlign w:val="center"/>
                </w:tcPr>
                <w:p w14:paraId="64D91716">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符合性</w:t>
                  </w:r>
                </w:p>
              </w:tc>
            </w:tr>
            <w:tr w14:paraId="5EA853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4A05B26C">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禁止建设不符合全国和省级港口布局规划以及港口总体规划的码头项目，禁止建设不符合《长江干线过江通道布局规划》的过长江通道项目。</w:t>
                  </w:r>
                </w:p>
              </w:tc>
              <w:tc>
                <w:tcPr>
                  <w:tcW w:w="1755" w:type="pct"/>
                  <w:tcBorders>
                    <w:tl2br w:val="nil"/>
                    <w:tr2bl w:val="nil"/>
                  </w:tcBorders>
                  <w:noWrap w:val="0"/>
                  <w:vAlign w:val="center"/>
                </w:tcPr>
                <w:p w14:paraId="6D620154">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项目不属于码头项目，不涉及</w:t>
                  </w:r>
                  <w:r>
                    <w:rPr>
                      <w:rFonts w:hint="default" w:ascii="Times New Roman" w:hAnsi="Times New Roman" w:eastAsia="宋体" w:cs="Times New Roman"/>
                      <w:color w:val="auto"/>
                      <w:sz w:val="18"/>
                      <w:szCs w:val="18"/>
                      <w:highlight w:val="none"/>
                      <w:lang w:eastAsia="zh-CN"/>
                    </w:rPr>
                    <w:t>。</w:t>
                  </w:r>
                </w:p>
              </w:tc>
              <w:tc>
                <w:tcPr>
                  <w:tcW w:w="497" w:type="pct"/>
                  <w:tcBorders>
                    <w:tl2br w:val="nil"/>
                    <w:tr2bl w:val="nil"/>
                  </w:tcBorders>
                  <w:noWrap w:val="0"/>
                  <w:vAlign w:val="center"/>
                </w:tcPr>
                <w:p w14:paraId="5F059258">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7788A7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0DB6D84F">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755" w:type="pct"/>
                  <w:tcBorders>
                    <w:tl2br w:val="nil"/>
                    <w:tr2bl w:val="nil"/>
                  </w:tcBorders>
                  <w:noWrap w:val="0"/>
                  <w:vAlign w:val="center"/>
                </w:tcPr>
                <w:p w14:paraId="123DABA1">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项目位于</w:t>
                  </w:r>
                  <w:r>
                    <w:rPr>
                      <w:rFonts w:hint="eastAsia" w:cs="Times New Roman"/>
                      <w:color w:val="auto"/>
                      <w:sz w:val="18"/>
                      <w:szCs w:val="18"/>
                      <w:highlight w:val="none"/>
                      <w:lang w:val="en-US" w:eastAsia="zh-CN"/>
                    </w:rPr>
                    <w:t>云南易门产业园区大椿树片区</w:t>
                  </w:r>
                  <w:r>
                    <w:rPr>
                      <w:rFonts w:hint="default" w:ascii="Times New Roman" w:hAnsi="Times New Roman" w:eastAsia="宋体" w:cs="Times New Roman"/>
                      <w:color w:val="auto"/>
                      <w:sz w:val="18"/>
                      <w:szCs w:val="18"/>
                      <w:highlight w:val="none"/>
                    </w:rPr>
                    <w:t>，不在自然保护区及风景名胜区范围。</w:t>
                  </w:r>
                </w:p>
              </w:tc>
              <w:tc>
                <w:tcPr>
                  <w:tcW w:w="497" w:type="pct"/>
                  <w:tcBorders>
                    <w:tl2br w:val="nil"/>
                    <w:tr2bl w:val="nil"/>
                  </w:tcBorders>
                  <w:noWrap w:val="0"/>
                  <w:vAlign w:val="center"/>
                </w:tcPr>
                <w:p w14:paraId="41393C08">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6EF64D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6B29FA15">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755" w:type="pct"/>
                  <w:tcBorders>
                    <w:tl2br w:val="nil"/>
                    <w:tr2bl w:val="nil"/>
                  </w:tcBorders>
                  <w:noWrap w:val="0"/>
                  <w:vAlign w:val="center"/>
                </w:tcPr>
                <w:p w14:paraId="77810212">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本</w:t>
                  </w:r>
                  <w:r>
                    <w:rPr>
                      <w:rFonts w:hint="default" w:ascii="Times New Roman" w:hAnsi="Times New Roman" w:eastAsia="宋体" w:cs="Times New Roman"/>
                      <w:color w:val="auto"/>
                      <w:sz w:val="18"/>
                      <w:szCs w:val="18"/>
                      <w:highlight w:val="none"/>
                    </w:rPr>
                    <w:t>项目不在饮用水水源地保护区。</w:t>
                  </w:r>
                </w:p>
              </w:tc>
              <w:tc>
                <w:tcPr>
                  <w:tcW w:w="497" w:type="pct"/>
                  <w:tcBorders>
                    <w:tl2br w:val="nil"/>
                    <w:tr2bl w:val="nil"/>
                  </w:tcBorders>
                  <w:noWrap w:val="0"/>
                  <w:vAlign w:val="center"/>
                </w:tcPr>
                <w:p w14:paraId="63871505">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288809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028476F3">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55" w:type="pct"/>
                  <w:tcBorders>
                    <w:tl2br w:val="nil"/>
                    <w:tr2bl w:val="nil"/>
                  </w:tcBorders>
                  <w:noWrap w:val="0"/>
                  <w:vAlign w:val="center"/>
                </w:tcPr>
                <w:p w14:paraId="3AEF9450">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本</w:t>
                  </w:r>
                  <w:r>
                    <w:rPr>
                      <w:rFonts w:hint="default" w:ascii="Times New Roman" w:hAnsi="Times New Roman" w:eastAsia="宋体" w:cs="Times New Roman"/>
                      <w:color w:val="auto"/>
                      <w:sz w:val="18"/>
                      <w:szCs w:val="18"/>
                      <w:highlight w:val="none"/>
                    </w:rPr>
                    <w:t>项目不在水产种质资源保护区及国家湿地公园范围。</w:t>
                  </w:r>
                </w:p>
              </w:tc>
              <w:tc>
                <w:tcPr>
                  <w:tcW w:w="497" w:type="pct"/>
                  <w:tcBorders>
                    <w:tl2br w:val="nil"/>
                    <w:tr2bl w:val="nil"/>
                  </w:tcBorders>
                  <w:noWrap w:val="0"/>
                  <w:vAlign w:val="center"/>
                </w:tcPr>
                <w:p w14:paraId="1F53D432">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31FDC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4A23D085">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55" w:type="pct"/>
                  <w:tcBorders>
                    <w:tl2br w:val="nil"/>
                    <w:tr2bl w:val="nil"/>
                  </w:tcBorders>
                  <w:noWrap w:val="0"/>
                  <w:vAlign w:val="center"/>
                </w:tcPr>
                <w:p w14:paraId="5EA06434">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本项目不在《长江岸线保护和开发利用总体规划》划定的岸线保护区内。</w:t>
                  </w:r>
                </w:p>
              </w:tc>
              <w:tc>
                <w:tcPr>
                  <w:tcW w:w="497" w:type="pct"/>
                  <w:tcBorders>
                    <w:tl2br w:val="nil"/>
                    <w:tr2bl w:val="nil"/>
                  </w:tcBorders>
                  <w:noWrap w:val="0"/>
                  <w:vAlign w:val="center"/>
                </w:tcPr>
                <w:p w14:paraId="3449D75D">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04C8D4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586D7F65">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禁止未经许可在长江干支流及湖泊新设、改设或扩大排污口。</w:t>
                  </w:r>
                </w:p>
              </w:tc>
              <w:tc>
                <w:tcPr>
                  <w:tcW w:w="1755" w:type="pct"/>
                  <w:tcBorders>
                    <w:tl2br w:val="nil"/>
                    <w:tr2bl w:val="nil"/>
                  </w:tcBorders>
                  <w:noWrap w:val="0"/>
                  <w:vAlign w:val="center"/>
                </w:tcPr>
                <w:p w14:paraId="1D0D8836">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本项目不在长江干支流范围</w:t>
                  </w:r>
                  <w:r>
                    <w:rPr>
                      <w:rFonts w:hint="default" w:ascii="Times New Roman" w:hAnsi="Times New Roman" w:eastAsia="宋体" w:cs="Times New Roman"/>
                      <w:color w:val="auto"/>
                      <w:sz w:val="18"/>
                      <w:szCs w:val="18"/>
                      <w:highlight w:val="none"/>
                      <w:lang w:eastAsia="zh-CN"/>
                    </w:rPr>
                    <w:t>。</w:t>
                  </w:r>
                </w:p>
              </w:tc>
              <w:tc>
                <w:tcPr>
                  <w:tcW w:w="497" w:type="pct"/>
                  <w:tcBorders>
                    <w:tl2br w:val="nil"/>
                    <w:tr2bl w:val="nil"/>
                  </w:tcBorders>
                  <w:noWrap w:val="0"/>
                  <w:vAlign w:val="center"/>
                </w:tcPr>
                <w:p w14:paraId="645BFB90">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6FCCF7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4CD89BCD">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禁止在“一江一口两湖七河”和332个水生生物保护区开展生产性捕捞。</w:t>
                  </w:r>
                </w:p>
              </w:tc>
              <w:tc>
                <w:tcPr>
                  <w:tcW w:w="1755" w:type="pct"/>
                  <w:tcBorders>
                    <w:tl2br w:val="nil"/>
                    <w:tr2bl w:val="nil"/>
                  </w:tcBorders>
                  <w:noWrap w:val="0"/>
                  <w:vAlign w:val="center"/>
                </w:tcPr>
                <w:p w14:paraId="11864EBC">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本项目不在</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一江一口两湖七河</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和332个水生生物保护区，且本项目不涉及生产性捕捞。</w:t>
                  </w:r>
                </w:p>
              </w:tc>
              <w:tc>
                <w:tcPr>
                  <w:tcW w:w="497" w:type="pct"/>
                  <w:tcBorders>
                    <w:tl2br w:val="nil"/>
                    <w:tr2bl w:val="nil"/>
                  </w:tcBorders>
                  <w:noWrap w:val="0"/>
                  <w:vAlign w:val="center"/>
                </w:tcPr>
                <w:p w14:paraId="4F8C6F61">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69000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198ADE83">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755" w:type="pct"/>
                  <w:tcBorders>
                    <w:tl2br w:val="nil"/>
                    <w:tr2bl w:val="nil"/>
                  </w:tcBorders>
                  <w:noWrap w:val="0"/>
                  <w:vAlign w:val="center"/>
                </w:tcPr>
                <w:p w14:paraId="6832B744">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本项目不在长江干支流、重要湖泊岸线一公里范围内、长江干流岸线三公里范围内和重要支流岸线一公里范围内。</w:t>
                  </w:r>
                </w:p>
              </w:tc>
              <w:tc>
                <w:tcPr>
                  <w:tcW w:w="497" w:type="pct"/>
                  <w:tcBorders>
                    <w:tl2br w:val="nil"/>
                    <w:tr2bl w:val="nil"/>
                  </w:tcBorders>
                  <w:noWrap w:val="0"/>
                  <w:vAlign w:val="center"/>
                </w:tcPr>
                <w:p w14:paraId="011751B3">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3617A8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134" w:hRule="atLeast"/>
                <w:jc w:val="center"/>
              </w:trPr>
              <w:tc>
                <w:tcPr>
                  <w:tcW w:w="2746" w:type="pct"/>
                  <w:tcBorders>
                    <w:tl2br w:val="nil"/>
                    <w:tr2bl w:val="nil"/>
                  </w:tcBorders>
                  <w:noWrap w:val="0"/>
                  <w:vAlign w:val="center"/>
                </w:tcPr>
                <w:p w14:paraId="7CAEE012">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禁止新建、扩建不符合国家石化、现代煤化工等产业布局规划的项目。</w:t>
                  </w:r>
                </w:p>
              </w:tc>
              <w:tc>
                <w:tcPr>
                  <w:tcW w:w="1755" w:type="pct"/>
                  <w:tcBorders>
                    <w:tl2br w:val="nil"/>
                    <w:tr2bl w:val="nil"/>
                  </w:tcBorders>
                  <w:noWrap w:val="0"/>
                  <w:vAlign w:val="center"/>
                </w:tcPr>
                <w:p w14:paraId="4357030B">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本项目为</w:t>
                  </w:r>
                  <w:r>
                    <w:rPr>
                      <w:rFonts w:hint="eastAsia" w:cs="Times New Roman"/>
                      <w:color w:val="auto"/>
                      <w:sz w:val="18"/>
                      <w:szCs w:val="18"/>
                      <w:highlight w:val="none"/>
                      <w:lang w:val="en-US" w:eastAsia="zh-CN"/>
                    </w:rPr>
                    <w:t>易门铜业渣选工艺提效升级改造项目</w:t>
                  </w:r>
                  <w:r>
                    <w:rPr>
                      <w:rFonts w:hint="default" w:ascii="Times New Roman" w:hAnsi="Times New Roman" w:eastAsia="宋体" w:cs="Times New Roman"/>
                      <w:color w:val="auto"/>
                      <w:sz w:val="18"/>
                      <w:szCs w:val="18"/>
                      <w:highlight w:val="none"/>
                    </w:rPr>
                    <w:t>，不属于国家石化、现代煤化工等产业布局规划的项目。</w:t>
                  </w:r>
                </w:p>
              </w:tc>
              <w:tc>
                <w:tcPr>
                  <w:tcW w:w="497" w:type="pct"/>
                  <w:tcBorders>
                    <w:tl2br w:val="nil"/>
                    <w:tr2bl w:val="nil"/>
                  </w:tcBorders>
                  <w:noWrap w:val="0"/>
                  <w:vAlign w:val="center"/>
                </w:tcPr>
                <w:p w14:paraId="0DD7BBC4">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736A61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6" w:type="pct"/>
                  <w:tcBorders>
                    <w:tl2br w:val="nil"/>
                    <w:tr2bl w:val="nil"/>
                  </w:tcBorders>
                  <w:noWrap w:val="0"/>
                  <w:vAlign w:val="center"/>
                </w:tcPr>
                <w:p w14:paraId="4508A522">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755" w:type="pct"/>
                  <w:tcBorders>
                    <w:tl2br w:val="nil"/>
                    <w:tr2bl w:val="nil"/>
                  </w:tcBorders>
                  <w:noWrap w:val="0"/>
                  <w:vAlign w:val="center"/>
                </w:tcPr>
                <w:p w14:paraId="720FA700">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本项目为</w:t>
                  </w:r>
                  <w:r>
                    <w:rPr>
                      <w:rFonts w:hint="eastAsia" w:cs="Times New Roman"/>
                      <w:color w:val="auto"/>
                      <w:sz w:val="18"/>
                      <w:szCs w:val="18"/>
                      <w:highlight w:val="none"/>
                      <w:lang w:val="en-US" w:eastAsia="zh-CN"/>
                    </w:rPr>
                    <w:t>易门铜业渣选工艺提效升级改造项目</w:t>
                  </w:r>
                  <w:r>
                    <w:rPr>
                      <w:rFonts w:hint="default" w:ascii="Times New Roman" w:hAnsi="Times New Roman" w:eastAsia="宋体" w:cs="Times New Roman"/>
                      <w:color w:val="auto"/>
                      <w:sz w:val="18"/>
                      <w:szCs w:val="18"/>
                      <w:highlight w:val="none"/>
                    </w:rPr>
                    <w:t>，不属于法律法规和相关政策明令禁止的落后产能项目。项目不属于高耗能项目。</w:t>
                  </w:r>
                </w:p>
              </w:tc>
              <w:tc>
                <w:tcPr>
                  <w:tcW w:w="497" w:type="pct"/>
                  <w:tcBorders>
                    <w:tl2br w:val="nil"/>
                    <w:tr2bl w:val="nil"/>
                  </w:tcBorders>
                  <w:noWrap w:val="0"/>
                  <w:vAlign w:val="center"/>
                </w:tcPr>
                <w:p w14:paraId="0BDA71F4">
                  <w:pPr>
                    <w:pStyle w:val="3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bl>
          <w:p w14:paraId="7964C2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综上所述，本项目建设符合《长江经济带发展负面清单指南（试行），2022年版》要求。</w:t>
            </w:r>
          </w:p>
          <w:p w14:paraId="591C56D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与</w:t>
            </w:r>
            <w:r>
              <w:rPr>
                <w:rFonts w:hint="eastAsia" w:ascii="Times New Roman" w:hAnsi="Times New Roman" w:eastAsia="宋体" w:cs="Times New Roman"/>
                <w:b/>
                <w:bCs/>
                <w:color w:val="auto"/>
                <w:kern w:val="0"/>
                <w:sz w:val="24"/>
                <w:lang w:val="en-US" w:eastAsia="zh-CN"/>
              </w:rPr>
              <w:t>《云南省长江经济带发展负面清单指南实施细则（试行）》</w:t>
            </w:r>
            <w:r>
              <w:rPr>
                <w:rFonts w:hint="default" w:ascii="Times New Roman" w:hAnsi="Times New Roman" w:eastAsia="宋体" w:cs="Times New Roman"/>
                <w:b/>
                <w:bCs/>
                <w:color w:val="auto"/>
                <w:sz w:val="24"/>
                <w:szCs w:val="24"/>
                <w:highlight w:val="none"/>
                <w:lang w:val="en-US" w:eastAsia="zh-CN"/>
              </w:rPr>
              <w:t>（云发改基础〔2022〕894号</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符合性分析</w:t>
            </w:r>
          </w:p>
          <w:p w14:paraId="38B2A23F">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黑体" w:hAnsi="黑体" w:eastAsia="黑体" w:cs="黑体"/>
                <w:b w:val="0"/>
                <w:bCs/>
                <w:color w:val="auto"/>
                <w:highlight w:val="none"/>
                <w:lang w:val="en-US" w:eastAsia="zh-CN"/>
              </w:rPr>
            </w:pPr>
            <w:r>
              <w:rPr>
                <w:rFonts w:hint="eastAsia" w:ascii="黑体" w:hAnsi="黑体" w:eastAsia="黑体" w:cs="黑体"/>
                <w:b w:val="0"/>
                <w:bCs/>
                <w:color w:val="auto"/>
                <w:highlight w:val="none"/>
                <w:lang w:val="zh-TW" w:eastAsia="zh-CN"/>
              </w:rPr>
              <w:t>表</w:t>
            </w:r>
            <w:r>
              <w:rPr>
                <w:rFonts w:hint="eastAsia" w:ascii="黑体" w:hAnsi="黑体" w:eastAsia="黑体" w:cs="黑体"/>
                <w:b w:val="0"/>
                <w:bCs/>
                <w:color w:val="auto"/>
                <w:highlight w:val="none"/>
                <w:lang w:val="en-US" w:eastAsia="zh-CN"/>
              </w:rPr>
              <w:t>1-7 与《云南省长江经济带发展负面清单指南实施细则（试行）》符合性分析</w:t>
            </w:r>
          </w:p>
          <w:tbl>
            <w:tblPr>
              <w:tblStyle w:val="2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6"/>
              <w:gridCol w:w="1950"/>
              <w:gridCol w:w="878"/>
            </w:tblGrid>
            <w:tr w14:paraId="41E9B2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1CA66CBD">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color w:val="auto"/>
                      <w:sz w:val="18"/>
                      <w:szCs w:val="18"/>
                      <w:highlight w:val="none"/>
                      <w:lang w:val="en-US" w:eastAsia="zh-CN"/>
                    </w:rPr>
                    <w:t>相关</w:t>
                  </w:r>
                  <w:r>
                    <w:rPr>
                      <w:rFonts w:hint="default" w:ascii="Times New Roman" w:hAnsi="Times New Roman" w:eastAsia="宋体" w:cs="Times New Roman"/>
                      <w:b/>
                      <w:color w:val="auto"/>
                      <w:sz w:val="18"/>
                      <w:szCs w:val="18"/>
                      <w:highlight w:val="none"/>
                    </w:rPr>
                    <w:t>要求</w:t>
                  </w:r>
                </w:p>
              </w:tc>
              <w:tc>
                <w:tcPr>
                  <w:tcW w:w="1390" w:type="pct"/>
                  <w:tcBorders>
                    <w:tl2br w:val="nil"/>
                    <w:tr2bl w:val="nil"/>
                  </w:tcBorders>
                  <w:noWrap w:val="0"/>
                  <w:vAlign w:val="center"/>
                </w:tcPr>
                <w:p w14:paraId="0EB6087D">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color w:val="auto"/>
                      <w:sz w:val="18"/>
                      <w:szCs w:val="18"/>
                      <w:highlight w:val="none"/>
                    </w:rPr>
                    <w:t>本项目情况</w:t>
                  </w:r>
                </w:p>
              </w:tc>
              <w:tc>
                <w:tcPr>
                  <w:tcW w:w="626" w:type="pct"/>
                  <w:tcBorders>
                    <w:tl2br w:val="nil"/>
                    <w:tr2bl w:val="nil"/>
                  </w:tcBorders>
                  <w:noWrap w:val="0"/>
                  <w:vAlign w:val="center"/>
                </w:tcPr>
                <w:p w14:paraId="7C7705B6">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color w:val="auto"/>
                      <w:sz w:val="18"/>
                      <w:szCs w:val="18"/>
                      <w:highlight w:val="none"/>
                    </w:rPr>
                    <w:t>符合性</w:t>
                  </w:r>
                </w:p>
              </w:tc>
            </w:tr>
            <w:tr w14:paraId="180F7D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25BFD16B">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1、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390" w:type="pct"/>
                  <w:tcBorders>
                    <w:tl2br w:val="nil"/>
                    <w:tr2bl w:val="nil"/>
                  </w:tcBorders>
                  <w:noWrap w:val="0"/>
                  <w:vAlign w:val="center"/>
                </w:tcPr>
                <w:p w14:paraId="158D4125">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本项目不属于码头项目。</w:t>
                  </w:r>
                </w:p>
              </w:tc>
              <w:tc>
                <w:tcPr>
                  <w:tcW w:w="626" w:type="pct"/>
                  <w:tcBorders>
                    <w:tl2br w:val="nil"/>
                    <w:tr2bl w:val="nil"/>
                  </w:tcBorders>
                  <w:noWrap w:val="0"/>
                  <w:vAlign w:val="center"/>
                </w:tcPr>
                <w:p w14:paraId="036DCABB">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2CC221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5E54F5A9">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2、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建设任何生产设施，禁止在自然保护区的实验区内建设污染环境、破坏资源或者景观的生产设施。</w:t>
                  </w:r>
                </w:p>
              </w:tc>
              <w:tc>
                <w:tcPr>
                  <w:tcW w:w="1390" w:type="pct"/>
                  <w:tcBorders>
                    <w:tl2br w:val="nil"/>
                    <w:tr2bl w:val="nil"/>
                  </w:tcBorders>
                  <w:noWrap w:val="0"/>
                  <w:vAlign w:val="center"/>
                </w:tcPr>
                <w:p w14:paraId="1440D3A5">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本项目</w:t>
                  </w:r>
                  <w:r>
                    <w:rPr>
                      <w:rFonts w:hint="eastAsia" w:ascii="Times New Roman" w:hAnsi="Times New Roman" w:cs="Times New Roman"/>
                      <w:color w:val="auto"/>
                      <w:sz w:val="18"/>
                      <w:szCs w:val="18"/>
                      <w:highlight w:val="none"/>
                      <w:lang w:val="en-US" w:eastAsia="zh-CN"/>
                    </w:rPr>
                    <w:t>位于云南</w:t>
                  </w:r>
                  <w:r>
                    <w:rPr>
                      <w:rFonts w:hint="eastAsia" w:cs="Times New Roman"/>
                      <w:color w:val="auto"/>
                      <w:sz w:val="18"/>
                      <w:szCs w:val="18"/>
                      <w:highlight w:val="none"/>
                      <w:lang w:val="en-US" w:eastAsia="zh-CN"/>
                    </w:rPr>
                    <w:t>易门</w:t>
                  </w:r>
                  <w:r>
                    <w:rPr>
                      <w:rFonts w:hint="eastAsia" w:ascii="Times New Roman" w:hAnsi="Times New Roman" w:cs="Times New Roman"/>
                      <w:color w:val="auto"/>
                      <w:sz w:val="18"/>
                      <w:szCs w:val="18"/>
                      <w:highlight w:val="none"/>
                      <w:lang w:val="en-US" w:eastAsia="zh-CN"/>
                    </w:rPr>
                    <w:t>产业园区</w:t>
                  </w:r>
                  <w:r>
                    <w:rPr>
                      <w:rFonts w:hint="eastAsia" w:cs="Times New Roman"/>
                      <w:color w:val="auto"/>
                      <w:sz w:val="18"/>
                      <w:szCs w:val="18"/>
                      <w:highlight w:val="none"/>
                      <w:lang w:val="en-US" w:eastAsia="zh-CN"/>
                    </w:rPr>
                    <w:t>大椿树</w:t>
                  </w:r>
                  <w:r>
                    <w:rPr>
                      <w:rFonts w:hint="eastAsia" w:ascii="Times New Roman" w:hAnsi="Times New Roman" w:cs="Times New Roman"/>
                      <w:color w:val="auto"/>
                      <w:sz w:val="18"/>
                      <w:szCs w:val="18"/>
                      <w:highlight w:val="none"/>
                      <w:lang w:val="en-US" w:eastAsia="zh-CN"/>
                    </w:rPr>
                    <w:t>片区，</w:t>
                  </w:r>
                  <w:r>
                    <w:rPr>
                      <w:rFonts w:hint="default" w:ascii="Times New Roman" w:hAnsi="Times New Roman" w:eastAsia="宋体" w:cs="Times New Roman"/>
                      <w:color w:val="auto"/>
                      <w:sz w:val="18"/>
                      <w:szCs w:val="18"/>
                      <w:highlight w:val="none"/>
                      <w:lang w:val="en-US" w:eastAsia="zh-CN"/>
                    </w:rPr>
                    <w:t>不属于自然保护区、缓冲区及风景名胜区。</w:t>
                  </w:r>
                </w:p>
              </w:tc>
              <w:tc>
                <w:tcPr>
                  <w:tcW w:w="626" w:type="pct"/>
                  <w:tcBorders>
                    <w:tl2br w:val="nil"/>
                    <w:tr2bl w:val="nil"/>
                  </w:tcBorders>
                  <w:noWrap w:val="0"/>
                  <w:vAlign w:val="center"/>
                </w:tcPr>
                <w:p w14:paraId="249E2E5C">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5A15D0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33CA63FD">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3、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390" w:type="pct"/>
                  <w:tcBorders>
                    <w:tl2br w:val="nil"/>
                    <w:tr2bl w:val="nil"/>
                  </w:tcBorders>
                  <w:noWrap w:val="0"/>
                  <w:vAlign w:val="center"/>
                </w:tcPr>
                <w:p w14:paraId="6B433428">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本项目评价范围内不涉及风景名胜区。</w:t>
                  </w:r>
                </w:p>
              </w:tc>
              <w:tc>
                <w:tcPr>
                  <w:tcW w:w="626" w:type="pct"/>
                  <w:tcBorders>
                    <w:tl2br w:val="nil"/>
                    <w:tr2bl w:val="nil"/>
                  </w:tcBorders>
                  <w:noWrap w:val="0"/>
                  <w:vAlign w:val="center"/>
                </w:tcPr>
                <w:p w14:paraId="0622A80C">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7F4F7D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068AA4B0">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4、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390" w:type="pct"/>
                  <w:tcBorders>
                    <w:tl2br w:val="nil"/>
                    <w:tr2bl w:val="nil"/>
                  </w:tcBorders>
                  <w:noWrap w:val="0"/>
                  <w:vAlign w:val="center"/>
                </w:tcPr>
                <w:p w14:paraId="40E31C94">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本项目不涉及饮用水水源一级保护区、饮用水水源二级保护区</w:t>
                  </w:r>
                  <w:r>
                    <w:rPr>
                      <w:rFonts w:hint="default" w:ascii="Times New Roman" w:hAnsi="Times New Roman" w:eastAsia="宋体" w:cs="Times New Roman"/>
                      <w:bCs/>
                      <w:color w:val="auto"/>
                      <w:sz w:val="18"/>
                      <w:szCs w:val="18"/>
                      <w:highlight w:val="none"/>
                    </w:rPr>
                    <w:t>。</w:t>
                  </w:r>
                </w:p>
              </w:tc>
              <w:tc>
                <w:tcPr>
                  <w:tcW w:w="626" w:type="pct"/>
                  <w:tcBorders>
                    <w:tl2br w:val="nil"/>
                    <w:tr2bl w:val="nil"/>
                  </w:tcBorders>
                  <w:noWrap w:val="0"/>
                  <w:vAlign w:val="center"/>
                </w:tcPr>
                <w:p w14:paraId="5B189A41">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5809F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33D5BAEC">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5、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390" w:type="pct"/>
                  <w:tcBorders>
                    <w:tl2br w:val="nil"/>
                    <w:tr2bl w:val="nil"/>
                  </w:tcBorders>
                  <w:noWrap w:val="0"/>
                  <w:vAlign w:val="center"/>
                </w:tcPr>
                <w:p w14:paraId="28AC220A">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本项目位于</w:t>
                  </w:r>
                  <w:r>
                    <w:rPr>
                      <w:rFonts w:hint="eastAsia" w:ascii="Times New Roman" w:hAnsi="Times New Roman" w:cs="Times New Roman"/>
                      <w:bCs/>
                      <w:color w:val="auto"/>
                      <w:sz w:val="18"/>
                      <w:szCs w:val="18"/>
                      <w:highlight w:val="none"/>
                      <w:lang w:val="en-US" w:eastAsia="zh-CN"/>
                    </w:rPr>
                    <w:t>云南</w:t>
                  </w:r>
                  <w:r>
                    <w:rPr>
                      <w:rFonts w:hint="eastAsia" w:cs="Times New Roman"/>
                      <w:bCs/>
                      <w:color w:val="auto"/>
                      <w:sz w:val="18"/>
                      <w:szCs w:val="18"/>
                      <w:highlight w:val="none"/>
                      <w:lang w:val="en-US" w:eastAsia="zh-CN"/>
                    </w:rPr>
                    <w:t>易门</w:t>
                  </w:r>
                  <w:r>
                    <w:rPr>
                      <w:rFonts w:hint="eastAsia" w:ascii="Times New Roman" w:hAnsi="Times New Roman" w:cs="Times New Roman"/>
                      <w:bCs/>
                      <w:color w:val="auto"/>
                      <w:sz w:val="18"/>
                      <w:szCs w:val="18"/>
                      <w:highlight w:val="none"/>
                      <w:lang w:val="en-US" w:eastAsia="zh-CN"/>
                    </w:rPr>
                    <w:t>产业园区</w:t>
                  </w:r>
                  <w:r>
                    <w:rPr>
                      <w:rFonts w:hint="eastAsia" w:cs="Times New Roman"/>
                      <w:bCs/>
                      <w:color w:val="auto"/>
                      <w:sz w:val="18"/>
                      <w:szCs w:val="18"/>
                      <w:highlight w:val="none"/>
                      <w:lang w:val="en-US" w:eastAsia="zh-CN"/>
                    </w:rPr>
                    <w:t>大椿树</w:t>
                  </w:r>
                  <w:r>
                    <w:rPr>
                      <w:rFonts w:hint="eastAsia" w:ascii="Times New Roman" w:hAnsi="Times New Roman" w:cs="Times New Roman"/>
                      <w:bCs/>
                      <w:color w:val="auto"/>
                      <w:sz w:val="18"/>
                      <w:szCs w:val="18"/>
                      <w:highlight w:val="none"/>
                      <w:lang w:val="en-US" w:eastAsia="zh-CN"/>
                    </w:rPr>
                    <w:t>片区</w:t>
                  </w:r>
                  <w:r>
                    <w:rPr>
                      <w:rFonts w:hint="default" w:ascii="Times New Roman" w:hAnsi="Times New Roman" w:eastAsia="宋体" w:cs="Times New Roman"/>
                      <w:bCs/>
                      <w:color w:val="auto"/>
                      <w:sz w:val="18"/>
                      <w:szCs w:val="18"/>
                      <w:highlight w:val="none"/>
                      <w:lang w:val="en-US" w:eastAsia="zh-CN"/>
                    </w:rPr>
                    <w:t>，不涉及水产种质资源保护区、不涉及占用国家湿地公园土地。</w:t>
                  </w:r>
                </w:p>
              </w:tc>
              <w:tc>
                <w:tcPr>
                  <w:tcW w:w="626" w:type="pct"/>
                  <w:tcBorders>
                    <w:tl2br w:val="nil"/>
                    <w:tr2bl w:val="nil"/>
                  </w:tcBorders>
                  <w:noWrap w:val="0"/>
                  <w:vAlign w:val="center"/>
                </w:tcPr>
                <w:p w14:paraId="7F7D7ED3">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4E5FC1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5ACE6B42">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6、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390" w:type="pct"/>
                  <w:tcBorders>
                    <w:tl2br w:val="nil"/>
                    <w:tr2bl w:val="nil"/>
                  </w:tcBorders>
                  <w:noWrap w:val="0"/>
                  <w:vAlign w:val="center"/>
                </w:tcPr>
                <w:p w14:paraId="7E1E76D4">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rPr>
                    <w:t>本项目</w:t>
                  </w:r>
                  <w:r>
                    <w:rPr>
                      <w:rFonts w:hint="default" w:ascii="Times New Roman" w:hAnsi="Times New Roman" w:eastAsia="宋体" w:cs="Times New Roman"/>
                      <w:bCs/>
                      <w:color w:val="auto"/>
                      <w:sz w:val="18"/>
                      <w:szCs w:val="18"/>
                      <w:highlight w:val="none"/>
                      <w:lang w:val="en-US" w:eastAsia="zh-CN"/>
                    </w:rPr>
                    <w:t>不涉及</w:t>
                  </w:r>
                  <w:r>
                    <w:rPr>
                      <w:rFonts w:hint="default" w:ascii="Times New Roman" w:hAnsi="Times New Roman" w:eastAsia="宋体" w:cs="Times New Roman"/>
                      <w:bCs/>
                      <w:color w:val="auto"/>
                      <w:sz w:val="18"/>
                      <w:szCs w:val="18"/>
                      <w:highlight w:val="none"/>
                      <w:lang w:eastAsia="zh-CN"/>
                    </w:rPr>
                    <w:t>。</w:t>
                  </w:r>
                </w:p>
              </w:tc>
              <w:tc>
                <w:tcPr>
                  <w:tcW w:w="626" w:type="pct"/>
                  <w:tcBorders>
                    <w:tl2br w:val="nil"/>
                    <w:tr2bl w:val="nil"/>
                  </w:tcBorders>
                  <w:noWrap w:val="0"/>
                  <w:vAlign w:val="center"/>
                </w:tcPr>
                <w:p w14:paraId="3E0CDAC1">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70439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6D3C4645">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7、禁止在金沙江干流、长江一级支流建设除党中央、国务院、国家投资主管部门、省级有关部门批复同意以外的过江基础设施项目；禁止未经许可在金沙江干流、长江一级支流、九大高原湖泊流域新设、改设或扩大排污口</w:t>
                  </w:r>
                  <w:r>
                    <w:rPr>
                      <w:rFonts w:hint="default" w:ascii="Times New Roman" w:hAnsi="Times New Roman" w:eastAsia="宋体" w:cs="Times New Roman"/>
                      <w:bCs/>
                      <w:color w:val="auto"/>
                      <w:sz w:val="18"/>
                      <w:szCs w:val="18"/>
                      <w:highlight w:val="none"/>
                    </w:rPr>
                    <w:t>。</w:t>
                  </w:r>
                </w:p>
              </w:tc>
              <w:tc>
                <w:tcPr>
                  <w:tcW w:w="1390" w:type="pct"/>
                  <w:tcBorders>
                    <w:tl2br w:val="nil"/>
                    <w:tr2bl w:val="nil"/>
                  </w:tcBorders>
                  <w:noWrap w:val="0"/>
                  <w:vAlign w:val="center"/>
                </w:tcPr>
                <w:p w14:paraId="05A78829">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val="en-US" w:eastAsia="zh-CN"/>
                    </w:rPr>
                    <w:t>本项目不位于金沙江干流、长江一级支流范围，不在金沙江干流、长江一级支流、九大高原湖泊流域新设、改设或扩大排污口。</w:t>
                  </w:r>
                </w:p>
              </w:tc>
              <w:tc>
                <w:tcPr>
                  <w:tcW w:w="626" w:type="pct"/>
                  <w:tcBorders>
                    <w:tl2br w:val="nil"/>
                    <w:tr2bl w:val="nil"/>
                  </w:tcBorders>
                  <w:noWrap w:val="0"/>
                  <w:vAlign w:val="center"/>
                </w:tcPr>
                <w:p w14:paraId="23C50C29">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6C05C3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2983" w:type="pct"/>
                  <w:tcBorders>
                    <w:tl2br w:val="nil"/>
                    <w:tr2bl w:val="nil"/>
                  </w:tcBorders>
                  <w:noWrap w:val="0"/>
                  <w:vAlign w:val="center"/>
                </w:tcPr>
                <w:p w14:paraId="32456352">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8、禁止在金沙江干流、长江一级支流、水生生物保护区和长江流域禁捕水域开展天然渔业资源生产性捕捞。</w:t>
                  </w:r>
                </w:p>
              </w:tc>
              <w:tc>
                <w:tcPr>
                  <w:tcW w:w="1390" w:type="pct"/>
                  <w:tcBorders>
                    <w:tl2br w:val="nil"/>
                    <w:tr2bl w:val="nil"/>
                  </w:tcBorders>
                  <w:noWrap w:val="0"/>
                  <w:vAlign w:val="center"/>
                </w:tcPr>
                <w:p w14:paraId="06F56D68">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val="en-US" w:eastAsia="zh-CN"/>
                    </w:rPr>
                    <w:t>本项目不位于金沙江干流、长江一级支流范围，不涉及天然渔业资源生产性捕捞。</w:t>
                  </w:r>
                </w:p>
              </w:tc>
              <w:tc>
                <w:tcPr>
                  <w:tcW w:w="626" w:type="pct"/>
                  <w:tcBorders>
                    <w:tl2br w:val="nil"/>
                    <w:tr2bl w:val="nil"/>
                  </w:tcBorders>
                  <w:noWrap w:val="0"/>
                  <w:vAlign w:val="center"/>
                </w:tcPr>
                <w:p w14:paraId="6BCD16A8">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0F1AD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3B67369E">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390" w:type="pct"/>
                  <w:tcBorders>
                    <w:tl2br w:val="nil"/>
                    <w:tr2bl w:val="nil"/>
                  </w:tcBorders>
                  <w:noWrap w:val="0"/>
                  <w:vAlign w:val="center"/>
                </w:tcPr>
                <w:p w14:paraId="66AFC33F">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本项目不属于尾矿库、冶炼渣库和磷石膏库项目。</w:t>
                  </w:r>
                </w:p>
              </w:tc>
              <w:tc>
                <w:tcPr>
                  <w:tcW w:w="626" w:type="pct"/>
                  <w:tcBorders>
                    <w:tl2br w:val="nil"/>
                    <w:tr2bl w:val="nil"/>
                  </w:tcBorders>
                  <w:noWrap w:val="0"/>
                  <w:vAlign w:val="center"/>
                </w:tcPr>
                <w:p w14:paraId="3A100565">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642089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0013130A">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10、禁止在合规园区外新建、扩建钢铁、石化、化工、焦化、建材、有色、制浆造纸行业中的高污染项目。</w:t>
                  </w:r>
                </w:p>
              </w:tc>
              <w:tc>
                <w:tcPr>
                  <w:tcW w:w="1390" w:type="pct"/>
                  <w:tcBorders>
                    <w:tl2br w:val="nil"/>
                    <w:tr2bl w:val="nil"/>
                  </w:tcBorders>
                  <w:noWrap w:val="0"/>
                  <w:vAlign w:val="center"/>
                </w:tcPr>
                <w:p w14:paraId="22BDF527">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项目位于云南</w:t>
                  </w:r>
                  <w:r>
                    <w:rPr>
                      <w:rFonts w:hint="eastAsia" w:cs="Times New Roman"/>
                      <w:bCs/>
                      <w:color w:val="auto"/>
                      <w:sz w:val="18"/>
                      <w:szCs w:val="18"/>
                      <w:highlight w:val="none"/>
                      <w:lang w:val="en-US" w:eastAsia="zh-CN"/>
                    </w:rPr>
                    <w:t>易门</w:t>
                  </w:r>
                  <w:r>
                    <w:rPr>
                      <w:rFonts w:hint="eastAsia" w:ascii="Times New Roman" w:hAnsi="Times New Roman" w:cs="Times New Roman"/>
                      <w:bCs/>
                      <w:color w:val="auto"/>
                      <w:sz w:val="18"/>
                      <w:szCs w:val="18"/>
                      <w:highlight w:val="none"/>
                      <w:lang w:val="en-US" w:eastAsia="zh-CN"/>
                    </w:rPr>
                    <w:t>海产业园区</w:t>
                  </w:r>
                  <w:r>
                    <w:rPr>
                      <w:rFonts w:hint="eastAsia" w:cs="Times New Roman"/>
                      <w:bCs/>
                      <w:color w:val="auto"/>
                      <w:sz w:val="18"/>
                      <w:szCs w:val="18"/>
                      <w:highlight w:val="none"/>
                      <w:lang w:val="en-US" w:eastAsia="zh-CN"/>
                    </w:rPr>
                    <w:t>大椿树</w:t>
                  </w:r>
                  <w:r>
                    <w:rPr>
                      <w:rFonts w:hint="eastAsia" w:ascii="Times New Roman" w:hAnsi="Times New Roman" w:cs="Times New Roman"/>
                      <w:bCs/>
                      <w:color w:val="auto"/>
                      <w:sz w:val="18"/>
                      <w:szCs w:val="18"/>
                      <w:highlight w:val="none"/>
                      <w:lang w:val="en-US" w:eastAsia="zh-CN"/>
                    </w:rPr>
                    <w:t>片区，属于合规工业园区。</w:t>
                  </w:r>
                </w:p>
              </w:tc>
              <w:tc>
                <w:tcPr>
                  <w:tcW w:w="626" w:type="pct"/>
                  <w:tcBorders>
                    <w:tl2br w:val="nil"/>
                    <w:tr2bl w:val="nil"/>
                  </w:tcBorders>
                  <w:noWrap w:val="0"/>
                  <w:vAlign w:val="center"/>
                </w:tcPr>
                <w:p w14:paraId="22330316">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3D7F44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50BD1F16">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11、禁止新建、扩建不符合国家石化、现代煤化工等产业布局规划的项目。禁止列入《云南省城镇人口密集区危险化学品生产企业搬迁改造名单》的搬迁改造企业在原址新建、扩建危险化学品生产项目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18"/>
                      <w:szCs w:val="18"/>
                      <w:highlight w:val="none"/>
                    </w:rPr>
                    <w:t>。</w:t>
                  </w:r>
                </w:p>
              </w:tc>
              <w:tc>
                <w:tcPr>
                  <w:tcW w:w="1390" w:type="pct"/>
                  <w:tcBorders>
                    <w:tl2br w:val="nil"/>
                    <w:tr2bl w:val="nil"/>
                  </w:tcBorders>
                  <w:noWrap w:val="0"/>
                  <w:vAlign w:val="center"/>
                </w:tcPr>
                <w:p w14:paraId="3543F24D">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color w:val="auto"/>
                      <w:sz w:val="18"/>
                      <w:szCs w:val="18"/>
                      <w:highlight w:val="none"/>
                    </w:rPr>
                    <w:t>本项目为</w:t>
                  </w:r>
                  <w:r>
                    <w:rPr>
                      <w:rFonts w:hint="eastAsia" w:cs="Times New Roman"/>
                      <w:color w:val="auto"/>
                      <w:sz w:val="18"/>
                      <w:szCs w:val="18"/>
                      <w:highlight w:val="none"/>
                      <w:lang w:val="en-US" w:eastAsia="zh-CN"/>
                    </w:rPr>
                    <w:t>易门铜业渣选工艺提效升级改造项目</w:t>
                  </w:r>
                  <w:r>
                    <w:rPr>
                      <w:rFonts w:hint="default" w:ascii="Times New Roman" w:hAnsi="Times New Roman" w:eastAsia="宋体" w:cs="Times New Roman"/>
                      <w:color w:val="auto"/>
                      <w:kern w:val="2"/>
                      <w:sz w:val="18"/>
                      <w:szCs w:val="18"/>
                      <w:highlight w:val="none"/>
                      <w:lang w:val="en-US" w:eastAsia="zh-CN" w:bidi="ar-SA"/>
                    </w:rPr>
                    <w:t>，不属于石化、现代煤化工等项目</w:t>
                  </w:r>
                  <w:r>
                    <w:rPr>
                      <w:rFonts w:hint="eastAsia" w:ascii="Times New Roman" w:hAnsi="Times New Roman"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同时不属于危险化学品生产企业。</w:t>
                  </w:r>
                </w:p>
              </w:tc>
              <w:tc>
                <w:tcPr>
                  <w:tcW w:w="626" w:type="pct"/>
                  <w:tcBorders>
                    <w:tl2br w:val="nil"/>
                    <w:tr2bl w:val="nil"/>
                  </w:tcBorders>
                  <w:noWrap w:val="0"/>
                  <w:vAlign w:val="center"/>
                </w:tcPr>
                <w:p w14:paraId="3B6E5B16">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r w14:paraId="2CD2E1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3" w:type="pct"/>
                  <w:tcBorders>
                    <w:tl2br w:val="nil"/>
                    <w:tr2bl w:val="nil"/>
                  </w:tcBorders>
                  <w:noWrap w:val="0"/>
                  <w:vAlign w:val="center"/>
                </w:tcPr>
                <w:p w14:paraId="0733F9BB">
                  <w:pPr>
                    <w:widowControl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12、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r>
                    <w:rPr>
                      <w:rFonts w:hint="default" w:ascii="Times New Roman" w:hAnsi="Times New Roman" w:eastAsia="宋体" w:cs="Times New Roman"/>
                      <w:color w:val="auto"/>
                      <w:sz w:val="18"/>
                      <w:szCs w:val="18"/>
                      <w:highlight w:val="none"/>
                    </w:rPr>
                    <w:t>。</w:t>
                  </w:r>
                </w:p>
              </w:tc>
              <w:tc>
                <w:tcPr>
                  <w:tcW w:w="1390" w:type="pct"/>
                  <w:tcBorders>
                    <w:tl2br w:val="nil"/>
                    <w:tr2bl w:val="nil"/>
                  </w:tcBorders>
                  <w:noWrap w:val="0"/>
                  <w:vAlign w:val="center"/>
                </w:tcPr>
                <w:p w14:paraId="56A8EDF1">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本项目</w:t>
                  </w:r>
                  <w:r>
                    <w:rPr>
                      <w:rFonts w:hint="default" w:ascii="Times New Roman" w:hAnsi="Times New Roman" w:eastAsia="宋体" w:cs="Times New Roman"/>
                      <w:bCs/>
                      <w:color w:val="auto"/>
                      <w:sz w:val="18"/>
                      <w:szCs w:val="18"/>
                      <w:highlight w:val="none"/>
                      <w:lang w:val="en-US" w:eastAsia="zh-CN"/>
                    </w:rPr>
                    <w:t>不涉及</w:t>
                  </w:r>
                  <w:r>
                    <w:rPr>
                      <w:rFonts w:hint="default" w:ascii="Times New Roman" w:hAnsi="Times New Roman" w:eastAsia="宋体" w:cs="Times New Roman"/>
                      <w:color w:val="auto"/>
                      <w:sz w:val="18"/>
                      <w:szCs w:val="18"/>
                      <w:highlight w:val="none"/>
                    </w:rPr>
                    <w:t>。</w:t>
                  </w:r>
                </w:p>
              </w:tc>
              <w:tc>
                <w:tcPr>
                  <w:tcW w:w="626" w:type="pct"/>
                  <w:tcBorders>
                    <w:tl2br w:val="nil"/>
                    <w:tr2bl w:val="nil"/>
                  </w:tcBorders>
                  <w:noWrap w:val="0"/>
                  <w:vAlign w:val="center"/>
                </w:tcPr>
                <w:p w14:paraId="67C089FF">
                  <w:pPr>
                    <w:pStyle w:val="36"/>
                    <w:widowControl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符合</w:t>
                  </w:r>
                </w:p>
              </w:tc>
            </w:tr>
          </w:tbl>
          <w:p w14:paraId="352255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综上所述，本项目建设与《云南省长江经济带发展负面清单指南实施细则（试行）》（云发改基础〔2022〕894号）相符。</w:t>
            </w:r>
          </w:p>
          <w:p w14:paraId="36A4584C">
            <w:pPr>
              <w:pStyle w:val="37"/>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5、</w:t>
            </w:r>
            <w:r>
              <w:rPr>
                <w:rFonts w:hint="eastAsia" w:ascii="Times New Roman" w:hAnsi="Times New Roman" w:eastAsia="宋体" w:cs="Times New Roman"/>
                <w:b/>
                <w:bCs/>
                <w:color w:val="auto"/>
                <w:lang w:val="en-US" w:eastAsia="zh-CN"/>
              </w:rPr>
              <w:t>与《云南省空气质量持续改善行动实施方案》符合性分析</w:t>
            </w:r>
          </w:p>
          <w:p w14:paraId="5F356CF2">
            <w:pPr>
              <w:pStyle w:val="37"/>
              <w:bidi w:val="0"/>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为全面贯彻落实《国务院关于印发〈空气质量持续改善行动计划〉的通知》（国发〔2023〕24号）精神，持续深入打好蓝天保卫战，结合我省实际，2024年4月23日云南省人民政府发布了《关于印发《云南省空气质量持续改善行动实施方案》的通知》（云政发</w:t>
            </w:r>
            <w:r>
              <w:rPr>
                <w:rFonts w:hint="default" w:ascii="Times New Roman" w:hAnsi="Times New Roman" w:eastAsia="宋体" w:cs="Times New Roman"/>
                <w:b w:val="0"/>
                <w:bCs w:val="0"/>
                <w:color w:val="auto"/>
                <w:kern w:val="2"/>
                <w:sz w:val="24"/>
                <w:szCs w:val="24"/>
                <w:lang w:val="en-US" w:eastAsia="zh-CN" w:bidi="ar-SA"/>
              </w:rPr>
              <w:t>〔2024〕14号</w:t>
            </w:r>
            <w:r>
              <w:rPr>
                <w:rFonts w:hint="default" w:ascii="Times New Roman" w:hAnsi="Times New Roman" w:eastAsia="宋体" w:cs="Times New Roman"/>
                <w:b w:val="0"/>
                <w:bCs w:val="0"/>
                <w:color w:val="auto"/>
                <w:lang w:val="en-US" w:eastAsia="zh-CN"/>
              </w:rPr>
              <w:t>），项目与其符合性分析详见下表</w:t>
            </w:r>
            <w:r>
              <w:rPr>
                <w:rFonts w:hint="eastAsia" w:cs="Times New Roman"/>
                <w:b w:val="0"/>
                <w:bCs w:val="0"/>
                <w:color w:val="auto"/>
                <w:lang w:val="en-US" w:eastAsia="zh-CN"/>
              </w:rPr>
              <w:t>：</w:t>
            </w:r>
          </w:p>
          <w:p w14:paraId="53AE747F">
            <w:pPr>
              <w:pStyle w:val="3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4"/>
                <w:lang w:val="en-US" w:eastAsia="zh-CN" w:bidi="ar-SA"/>
              </w:rPr>
            </w:pPr>
            <w:r>
              <w:rPr>
                <w:rFonts w:hint="eastAsia" w:ascii="黑体" w:hAnsi="黑体" w:eastAsia="黑体" w:cs="黑体"/>
                <w:b w:val="0"/>
                <w:bCs w:val="0"/>
                <w:color w:val="auto"/>
                <w:kern w:val="2"/>
                <w:sz w:val="21"/>
                <w:szCs w:val="24"/>
                <w:lang w:val="en-US" w:eastAsia="zh-CN" w:bidi="ar-SA"/>
              </w:rPr>
              <w:t>表1-8   项目与《云南省空气质量持续改善行动实施方案》相符性对照表</w:t>
            </w:r>
          </w:p>
          <w:tbl>
            <w:tblPr>
              <w:tblStyle w:val="22"/>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1"/>
              <w:gridCol w:w="3525"/>
              <w:gridCol w:w="2139"/>
              <w:gridCol w:w="730"/>
            </w:tblGrid>
            <w:tr w14:paraId="01C781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noWrap w:val="0"/>
                  <w:vAlign w:val="center"/>
                </w:tcPr>
                <w:p w14:paraId="2E9AA7E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章节</w:t>
                  </w:r>
                </w:p>
              </w:tc>
              <w:tc>
                <w:tcPr>
                  <w:tcW w:w="2511" w:type="pct"/>
                  <w:tcBorders>
                    <w:tl2br w:val="nil"/>
                    <w:tr2bl w:val="nil"/>
                  </w:tcBorders>
                  <w:noWrap w:val="0"/>
                  <w:vAlign w:val="center"/>
                </w:tcPr>
                <w:p w14:paraId="4987E8A1">
                  <w:pPr>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要求</w:t>
                  </w:r>
                </w:p>
              </w:tc>
              <w:tc>
                <w:tcPr>
                  <w:tcW w:w="1524" w:type="pct"/>
                  <w:tcBorders>
                    <w:tl2br w:val="nil"/>
                    <w:tr2bl w:val="nil"/>
                  </w:tcBorders>
                  <w:noWrap w:val="0"/>
                  <w:vAlign w:val="center"/>
                </w:tcPr>
                <w:p w14:paraId="2FB2EAA2">
                  <w:pPr>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项目</w:t>
                  </w:r>
                  <w:r>
                    <w:rPr>
                      <w:rFonts w:hint="default" w:ascii="Times New Roman" w:hAnsi="Times New Roman" w:eastAsia="宋体" w:cs="Times New Roman"/>
                      <w:color w:val="auto"/>
                      <w:sz w:val="18"/>
                      <w:szCs w:val="18"/>
                      <w:lang w:val="en-US" w:eastAsia="zh-CN"/>
                    </w:rPr>
                    <w:t>建设</w:t>
                  </w:r>
                  <w:r>
                    <w:rPr>
                      <w:rFonts w:hint="default" w:ascii="Times New Roman" w:hAnsi="Times New Roman" w:eastAsia="宋体" w:cs="Times New Roman"/>
                      <w:color w:val="auto"/>
                      <w:sz w:val="18"/>
                      <w:szCs w:val="18"/>
                    </w:rPr>
                    <w:t>情况</w:t>
                  </w:r>
                </w:p>
              </w:tc>
              <w:tc>
                <w:tcPr>
                  <w:tcW w:w="520" w:type="pct"/>
                  <w:tcBorders>
                    <w:tl2br w:val="nil"/>
                    <w:tr2bl w:val="nil"/>
                  </w:tcBorders>
                  <w:noWrap w:val="0"/>
                  <w:vAlign w:val="center"/>
                </w:tcPr>
                <w:p w14:paraId="5C0CBE39">
                  <w:pPr>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符合性</w:t>
                  </w:r>
                </w:p>
              </w:tc>
            </w:tr>
            <w:tr w14:paraId="123C34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noWrap w:val="0"/>
                  <w:vAlign w:val="center"/>
                </w:tcPr>
                <w:p w14:paraId="4FCEA93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zh-CN" w:eastAsia="zh-CN" w:bidi="ar-SA"/>
                    </w:rPr>
                    <w:t>优化产业结构</w:t>
                  </w:r>
                </w:p>
              </w:tc>
              <w:tc>
                <w:tcPr>
                  <w:tcW w:w="2511" w:type="pct"/>
                  <w:tcBorders>
                    <w:tl2br w:val="nil"/>
                    <w:tr2bl w:val="nil"/>
                  </w:tcBorders>
                  <w:noWrap w:val="0"/>
                  <w:vAlign w:val="center"/>
                </w:tcPr>
                <w:p w14:paraId="587F9E1A">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w:t>
                  </w:r>
                  <w:r>
                    <w:rPr>
                      <w:rFonts w:hint="default" w:ascii="Times New Roman" w:hAnsi="Times New Roman" w:eastAsia="宋体" w:cs="Times New Roman"/>
                      <w:color w:val="auto"/>
                      <w:kern w:val="2"/>
                      <w:sz w:val="18"/>
                      <w:szCs w:val="18"/>
                      <w:lang w:val="zh-CN" w:eastAsia="zh-CN" w:bidi="ar-SA"/>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p w14:paraId="30B7BE6B">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zh-CN" w:eastAsia="zh-CN" w:bidi="ar-SA"/>
                    </w:rPr>
                    <w:t>推动落后产能退出。推动能耗、环保、质量、安全、技术达不到标准和生产不合格产品或淘汰类产能依法依规关停退出。不予审批限制类新建项目，按照国家要求对属于限制类的现有生产能力进行升级改造。</w:t>
                  </w:r>
                </w:p>
                <w:p w14:paraId="7B926EAB">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3、</w:t>
                  </w:r>
                  <w:r>
                    <w:rPr>
                      <w:rFonts w:hint="default" w:ascii="Times New Roman" w:hAnsi="Times New Roman" w:eastAsia="宋体" w:cs="Times New Roman"/>
                      <w:color w:val="auto"/>
                      <w:kern w:val="2"/>
                      <w:sz w:val="18"/>
                      <w:szCs w:val="18"/>
                      <w:lang w:val="zh-CN" w:eastAsia="zh-CN" w:bidi="ar-SA"/>
                    </w:rPr>
                    <w:t>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p w14:paraId="6DCE2265">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w:t>
                  </w:r>
                  <w:r>
                    <w:rPr>
                      <w:rFonts w:hint="default" w:ascii="Times New Roman" w:hAnsi="Times New Roman" w:eastAsia="宋体" w:cs="Times New Roman"/>
                      <w:color w:val="auto"/>
                      <w:kern w:val="2"/>
                      <w:sz w:val="18"/>
                      <w:szCs w:val="18"/>
                      <w:lang w:val="zh-CN" w:eastAsia="zh-CN" w:bidi="ar-SA"/>
                    </w:rPr>
                    <w:t>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p>
              </w:tc>
              <w:tc>
                <w:tcPr>
                  <w:tcW w:w="1524" w:type="pct"/>
                  <w:tcBorders>
                    <w:tl2br w:val="nil"/>
                    <w:tr2bl w:val="nil"/>
                  </w:tcBorders>
                  <w:shd w:val="clear" w:color="auto" w:fill="auto"/>
                  <w:noWrap w:val="0"/>
                  <w:vAlign w:val="top"/>
                </w:tcPr>
                <w:p w14:paraId="51B89A6D">
                  <w:pPr>
                    <w:pStyle w:val="3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en-US" w:eastAsia="zh-CN" w:bidi="ar-SA"/>
                    </w:rPr>
                    <w:t>1、</w:t>
                  </w:r>
                  <w:r>
                    <w:rPr>
                      <w:rFonts w:hint="default" w:ascii="Times New Roman" w:hAnsi="Times New Roman" w:eastAsia="宋体" w:cs="Times New Roman"/>
                      <w:color w:val="auto"/>
                      <w:sz w:val="18"/>
                      <w:szCs w:val="18"/>
                      <w:highlight w:val="none"/>
                    </w:rPr>
                    <w:t>本项目为</w:t>
                  </w:r>
                  <w:r>
                    <w:rPr>
                      <w:rFonts w:hint="eastAsia" w:cs="Times New Roman"/>
                      <w:color w:val="auto"/>
                      <w:sz w:val="18"/>
                      <w:szCs w:val="18"/>
                      <w:highlight w:val="none"/>
                      <w:lang w:val="en-US" w:eastAsia="zh-CN"/>
                    </w:rPr>
                    <w:t>易门铜业渣选工艺提效升级改造项目</w:t>
                  </w:r>
                  <w:r>
                    <w:rPr>
                      <w:rFonts w:hint="eastAsia" w:ascii="Times New Roman" w:hAnsi="Times New Roman" w:eastAsia="宋体" w:cs="Times New Roman"/>
                      <w:color w:val="auto"/>
                      <w:kern w:val="2"/>
                      <w:sz w:val="18"/>
                      <w:szCs w:val="18"/>
                      <w:lang w:val="en-US" w:eastAsia="zh-CN" w:bidi="ar-SA"/>
                    </w:rPr>
                    <w:t>，不属于两高项目。项目建设符合</w:t>
                  </w:r>
                  <w:r>
                    <w:rPr>
                      <w:rFonts w:hint="eastAsia" w:ascii="Times New Roman" w:hAnsi="Times New Roman" w:eastAsia="宋体" w:cs="Times New Roman"/>
                      <w:color w:val="auto"/>
                      <w:kern w:val="2"/>
                      <w:sz w:val="18"/>
                      <w:szCs w:val="18"/>
                      <w:lang w:val="zh-CN" w:eastAsia="zh-CN" w:bidi="ar-SA"/>
                    </w:rPr>
                    <w:t>产业规划、产业政策、生态环境分区管控方案、规划环评</w:t>
                  </w:r>
                  <w:r>
                    <w:rPr>
                      <w:rFonts w:hint="eastAsia" w:ascii="Times New Roman" w:hAnsi="Times New Roman" w:eastAsia="宋体" w:cs="Times New Roman"/>
                      <w:color w:val="auto"/>
                      <w:kern w:val="2"/>
                      <w:sz w:val="18"/>
                      <w:szCs w:val="18"/>
                      <w:lang w:val="en-US" w:eastAsia="zh-CN" w:bidi="ar-SA"/>
                    </w:rPr>
                    <w:t>等相关要求。</w:t>
                  </w:r>
                  <w:r>
                    <w:rPr>
                      <w:rFonts w:hint="eastAsia" w:ascii="Times New Roman" w:hAnsi="Times New Roman" w:eastAsia="宋体" w:cs="Times New Roman"/>
                      <w:color w:val="auto"/>
                      <w:kern w:val="2"/>
                      <w:sz w:val="18"/>
                      <w:szCs w:val="18"/>
                      <w:highlight w:val="none"/>
                      <w:lang w:val="en-US" w:eastAsia="zh-CN" w:bidi="ar-SA"/>
                    </w:rPr>
                    <w:t>项目不涉及</w:t>
                  </w:r>
                  <w:r>
                    <w:rPr>
                      <w:rFonts w:hint="eastAsia" w:ascii="Times New Roman" w:hAnsi="Times New Roman" w:eastAsia="宋体" w:cs="Times New Roman"/>
                      <w:color w:val="auto"/>
                      <w:kern w:val="2"/>
                      <w:sz w:val="18"/>
                      <w:szCs w:val="18"/>
                      <w:highlight w:val="none"/>
                      <w:lang w:val="zh-CN" w:eastAsia="zh-CN" w:bidi="ar-SA"/>
                    </w:rPr>
                    <w:t>钢铁产业转型升级</w:t>
                  </w:r>
                  <w:r>
                    <w:rPr>
                      <w:rFonts w:hint="eastAsia" w:ascii="Times New Roman" w:hAnsi="Times New Roman" w:eastAsia="宋体" w:cs="Times New Roman"/>
                      <w:color w:val="auto"/>
                      <w:kern w:val="2"/>
                      <w:sz w:val="18"/>
                      <w:szCs w:val="18"/>
                      <w:lang w:val="zh-CN" w:eastAsia="zh-CN" w:bidi="ar-SA"/>
                    </w:rPr>
                    <w:t>、独立焦化、烧结、球团和热轧企业及工序</w:t>
                  </w:r>
                  <w:r>
                    <w:rPr>
                      <w:rFonts w:hint="eastAsia" w:cs="Times New Roman"/>
                      <w:color w:val="auto"/>
                      <w:kern w:val="2"/>
                      <w:sz w:val="18"/>
                      <w:szCs w:val="18"/>
                      <w:lang w:val="zh-CN" w:eastAsia="zh-CN" w:bidi="ar-SA"/>
                    </w:rPr>
                    <w:t>；</w:t>
                  </w:r>
                </w:p>
                <w:p w14:paraId="6B01C372">
                  <w:pPr>
                    <w:pStyle w:val="3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zh-CN" w:eastAsia="zh-CN" w:bidi="ar-SA"/>
                    </w:rPr>
                    <w:t>本项目不生产落后产品，不使用淘汰类生产设备。</w:t>
                  </w:r>
                  <w:r>
                    <w:rPr>
                      <w:rFonts w:hint="eastAsia" w:cs="Times New Roman"/>
                      <w:color w:val="auto"/>
                      <w:kern w:val="2"/>
                      <w:sz w:val="18"/>
                      <w:szCs w:val="18"/>
                      <w:lang w:val="en-US" w:eastAsia="zh-CN" w:bidi="ar-SA"/>
                    </w:rPr>
                    <w:t>项</w:t>
                  </w:r>
                  <w:r>
                    <w:rPr>
                      <w:rFonts w:hint="eastAsia" w:ascii="Times New Roman" w:hAnsi="Times New Roman" w:eastAsia="宋体" w:cs="Times New Roman"/>
                      <w:color w:val="auto"/>
                      <w:kern w:val="2"/>
                      <w:sz w:val="18"/>
                      <w:szCs w:val="18"/>
                      <w:lang w:val="en-US" w:eastAsia="zh-CN" w:bidi="ar-SA"/>
                    </w:rPr>
                    <w:t>目属于</w:t>
                  </w:r>
                  <w:r>
                    <w:rPr>
                      <w:rFonts w:hint="default" w:ascii="Times New Roman" w:hAnsi="Times New Roman" w:eastAsia="宋体" w:cs="Times New Roman"/>
                      <w:color w:val="auto"/>
                      <w:kern w:val="2"/>
                      <w:sz w:val="18"/>
                      <w:szCs w:val="18"/>
                      <w:lang w:val="zh-CN" w:eastAsia="zh-CN" w:bidi="ar-SA"/>
                    </w:rPr>
                    <w:t>《产业结构调整指导目录》（</w:t>
                  </w:r>
                  <w:r>
                    <w:rPr>
                      <w:rFonts w:hint="eastAsia" w:ascii="Times New Roman" w:hAnsi="Times New Roman" w:eastAsia="宋体" w:cs="Times New Roman"/>
                      <w:color w:val="auto"/>
                      <w:kern w:val="2"/>
                      <w:sz w:val="18"/>
                      <w:szCs w:val="18"/>
                      <w:lang w:val="en-US" w:eastAsia="zh-CN" w:bidi="ar-SA"/>
                    </w:rPr>
                    <w:t>2024</w:t>
                  </w:r>
                  <w:r>
                    <w:rPr>
                      <w:rFonts w:hint="default" w:ascii="Times New Roman" w:hAnsi="Times New Roman" w:eastAsia="宋体" w:cs="Times New Roman"/>
                      <w:color w:val="auto"/>
                      <w:kern w:val="2"/>
                      <w:sz w:val="18"/>
                      <w:szCs w:val="18"/>
                      <w:lang w:val="zh-CN" w:eastAsia="zh-CN" w:bidi="ar-SA"/>
                    </w:rPr>
                    <w:t>年本）</w:t>
                  </w:r>
                  <w:r>
                    <w:rPr>
                      <w:rFonts w:hint="eastAsia" w:ascii="Times New Roman" w:hAnsi="Times New Roman" w:eastAsia="宋体" w:cs="Times New Roman"/>
                      <w:color w:val="auto"/>
                      <w:kern w:val="2"/>
                      <w:sz w:val="18"/>
                      <w:szCs w:val="18"/>
                      <w:lang w:val="en-US" w:eastAsia="zh-CN" w:bidi="ar-SA"/>
                    </w:rPr>
                    <w:t>第一类鼓励类中：</w:t>
                  </w:r>
                  <w:r>
                    <w:rPr>
                      <w:rFonts w:hint="eastAsia" w:cs="Times New Roman"/>
                      <w:color w:val="auto"/>
                      <w:kern w:val="2"/>
                      <w:sz w:val="18"/>
                      <w:szCs w:val="18"/>
                      <w:lang w:val="en-US" w:eastAsia="zh-CN" w:bidi="ar-SA"/>
                    </w:rPr>
                    <w:t>“</w:t>
                  </w:r>
                  <w:r>
                    <w:rPr>
                      <w:rFonts w:hint="eastAsia" w:ascii="Times New Roman" w:hAnsi="Times New Roman" w:eastAsia="宋体" w:cs="Times New Roman"/>
                      <w:color w:val="auto"/>
                      <w:kern w:val="2"/>
                      <w:sz w:val="18"/>
                      <w:szCs w:val="18"/>
                      <w:lang w:val="en-US" w:eastAsia="zh-CN" w:bidi="ar-SA"/>
                    </w:rPr>
                    <w:t>四十二、环境保护与资源节约综合利用中</w:t>
                  </w:r>
                  <w:r>
                    <w:rPr>
                      <w:rFonts w:hint="default" w:ascii="Times New Roman" w:hAnsi="Times New Roman" w:eastAsia="宋体" w:cs="Times New Roman"/>
                      <w:color w:val="auto"/>
                      <w:kern w:val="2"/>
                      <w:sz w:val="18"/>
                      <w:szCs w:val="18"/>
                      <w:lang w:val="zh-CN" w:eastAsia="zh-CN" w:bidi="ar-SA"/>
                    </w:rPr>
                    <w:t>8．废弃物循环利用</w:t>
                  </w:r>
                  <w:r>
                    <w:rPr>
                      <w:rFonts w:hint="eastAsia" w:ascii="Times New Roman" w:hAnsi="Times New Roman" w:eastAsia="宋体" w:cs="Times New Roman"/>
                      <w:color w:val="auto"/>
                      <w:kern w:val="2"/>
                      <w:sz w:val="18"/>
                      <w:szCs w:val="18"/>
                      <w:lang w:val="zh-CN" w:eastAsia="zh-CN" w:bidi="ar-SA"/>
                    </w:rPr>
                    <w:t>，</w:t>
                  </w:r>
                  <w:r>
                    <w:rPr>
                      <w:rFonts w:hint="eastAsia" w:ascii="Times New Roman" w:hAnsi="Times New Roman" w:eastAsia="宋体" w:cs="Times New Roman"/>
                      <w:color w:val="auto"/>
                      <w:kern w:val="2"/>
                      <w:sz w:val="18"/>
                      <w:szCs w:val="18"/>
                      <w:lang w:val="en-US" w:eastAsia="zh-CN" w:bidi="ar-SA"/>
                    </w:rPr>
                    <w:t>废有色金属综合利用”项目，生产过程中未使用国家明令禁止淘汰类和限制类工艺和设备。</w:t>
                  </w:r>
                  <w:r>
                    <w:rPr>
                      <w:rFonts w:hint="default" w:ascii="Times New Roman" w:hAnsi="Times New Roman" w:eastAsia="宋体" w:cs="Times New Roman"/>
                      <w:color w:val="auto"/>
                      <w:kern w:val="2"/>
                      <w:sz w:val="18"/>
                      <w:szCs w:val="18"/>
                      <w:lang w:val="zh-CN" w:eastAsia="zh-CN" w:bidi="ar-SA"/>
                    </w:rPr>
                    <w:t>根据《产业发展与转移指导目录（2018年本）》</w:t>
                  </w:r>
                  <w:r>
                    <w:rPr>
                      <w:rFonts w:hint="eastAsia" w:ascii="Times New Roman" w:hAnsi="Times New Roman" w:eastAsia="宋体" w:cs="Times New Roman"/>
                      <w:color w:val="auto"/>
                      <w:kern w:val="2"/>
                      <w:sz w:val="18"/>
                      <w:szCs w:val="18"/>
                      <w:lang w:val="zh-CN" w:eastAsia="zh-CN" w:bidi="ar-SA"/>
                    </w:rPr>
                    <w:t>，</w:t>
                  </w:r>
                  <w:r>
                    <w:rPr>
                      <w:rFonts w:hint="default" w:ascii="Times New Roman" w:hAnsi="Times New Roman" w:eastAsia="宋体" w:cs="Times New Roman"/>
                      <w:color w:val="auto"/>
                      <w:kern w:val="2"/>
                      <w:sz w:val="18"/>
                      <w:szCs w:val="18"/>
                      <w:lang w:val="zh-CN" w:eastAsia="zh-CN" w:bidi="ar-SA"/>
                    </w:rPr>
                    <w:t>本项目不属于云南引导不再承接的产业</w:t>
                  </w:r>
                  <w:r>
                    <w:rPr>
                      <w:rFonts w:hint="eastAsia" w:ascii="Times New Roman" w:hAnsi="Times New Roman" w:eastAsia="宋体" w:cs="Times New Roman"/>
                      <w:color w:val="auto"/>
                      <w:kern w:val="2"/>
                      <w:sz w:val="18"/>
                      <w:szCs w:val="18"/>
                      <w:lang w:val="zh-CN" w:eastAsia="zh-CN" w:bidi="ar-SA"/>
                    </w:rPr>
                    <w:t>；</w:t>
                  </w:r>
                </w:p>
                <w:p w14:paraId="51E96E25">
                  <w:pPr>
                    <w:pStyle w:val="3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en-US" w:eastAsia="zh-CN" w:bidi="ar-SA"/>
                    </w:rPr>
                    <w:t>3、项目不涉及</w:t>
                  </w:r>
                  <w:r>
                    <w:rPr>
                      <w:rFonts w:hint="eastAsia" w:ascii="Times New Roman" w:hAnsi="Times New Roman" w:eastAsia="宋体" w:cs="Times New Roman"/>
                      <w:color w:val="auto"/>
                      <w:kern w:val="2"/>
                      <w:sz w:val="18"/>
                      <w:szCs w:val="18"/>
                      <w:lang w:val="zh-CN" w:eastAsia="zh-CN" w:bidi="ar-SA"/>
                    </w:rPr>
                    <w:t>含VOCs原辅材料和产品；</w:t>
                  </w:r>
                  <w:r>
                    <w:rPr>
                      <w:rFonts w:hint="eastAsia" w:ascii="Times New Roman" w:hAnsi="Times New Roman" w:eastAsia="宋体" w:cs="Times New Roman"/>
                      <w:color w:val="auto"/>
                      <w:kern w:val="2"/>
                      <w:sz w:val="18"/>
                      <w:szCs w:val="18"/>
                      <w:lang w:val="en-US" w:eastAsia="zh-CN" w:bidi="ar-SA"/>
                    </w:rPr>
                    <w:t>不</w:t>
                  </w:r>
                  <w:r>
                    <w:rPr>
                      <w:rFonts w:hint="eastAsia" w:ascii="Times New Roman" w:hAnsi="Times New Roman" w:eastAsia="宋体" w:cs="Times New Roman"/>
                      <w:color w:val="auto"/>
                      <w:kern w:val="2"/>
                      <w:sz w:val="18"/>
                      <w:szCs w:val="18"/>
                      <w:lang w:val="zh-CN" w:eastAsia="zh-CN" w:bidi="ar-SA"/>
                    </w:rPr>
                    <w:t>生产和使用高VOCs含量涂料、油墨、胶粘剂、清洗剂等；</w:t>
                  </w:r>
                </w:p>
                <w:p w14:paraId="362BA037">
                  <w:pPr>
                    <w:pStyle w:val="3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4、项目不涉及。</w:t>
                  </w:r>
                </w:p>
              </w:tc>
              <w:tc>
                <w:tcPr>
                  <w:tcW w:w="520" w:type="pct"/>
                  <w:tcBorders>
                    <w:tl2br w:val="nil"/>
                    <w:tr2bl w:val="nil"/>
                  </w:tcBorders>
                  <w:noWrap w:val="0"/>
                  <w:vAlign w:val="center"/>
                </w:tcPr>
                <w:p w14:paraId="6121C81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744BBB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noWrap w:val="0"/>
                  <w:vAlign w:val="center"/>
                </w:tcPr>
                <w:p w14:paraId="3CB96C0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优化能源结构</w:t>
                  </w:r>
                </w:p>
              </w:tc>
              <w:tc>
                <w:tcPr>
                  <w:tcW w:w="2511" w:type="pct"/>
                  <w:tcBorders>
                    <w:tl2br w:val="nil"/>
                    <w:tr2bl w:val="nil"/>
                  </w:tcBorders>
                  <w:noWrap w:val="0"/>
                  <w:vAlign w:val="center"/>
                </w:tcPr>
                <w:p w14:paraId="0125BB2E">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w:t>
                  </w:r>
                  <w:r>
                    <w:rPr>
                      <w:rFonts w:hint="default" w:ascii="Times New Roman" w:hAnsi="Times New Roman" w:eastAsia="宋体" w:cs="Times New Roman"/>
                      <w:color w:val="auto"/>
                      <w:kern w:val="2"/>
                      <w:sz w:val="18"/>
                      <w:szCs w:val="18"/>
                      <w:lang w:val="zh-CN" w:eastAsia="zh-CN" w:bidi="ar-SA"/>
                    </w:rPr>
                    <w:t>严格合理控制煤炭消费增长。有序推进煤炭消费减量替代。支持烟叶烘烤等农特产品加工燃煤设施实施清洁能源改造。对支撑电力稳定供应、电网安全运行、清洁能源大规模并网消纳的煤电项目及其用煤量应予以合理保障。</w:t>
                  </w:r>
                </w:p>
                <w:p w14:paraId="374D6DB6">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zh-CN" w:eastAsia="zh-CN" w:bidi="ar-SA"/>
                    </w:rPr>
                    <w:t>开展燃煤锅炉关停整合。县级及以上城市建成区原则上不再新建35蒸吨/小时及以下燃煤锅炉。依托电厂、大型工业企业开展远距离供热示范，淘汰管网覆盖范围内的燃煤锅炉和散煤。到2025年，PM2.5未达标城市基本淘汰10蒸吨/小时及以下燃煤锅炉。</w:t>
                  </w:r>
                </w:p>
                <w:p w14:paraId="06A6F217">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3、</w:t>
                  </w:r>
                  <w:r>
                    <w:rPr>
                      <w:rFonts w:hint="default" w:ascii="Times New Roman" w:hAnsi="Times New Roman" w:eastAsia="宋体" w:cs="Times New Roman"/>
                      <w:color w:val="auto"/>
                      <w:kern w:val="2"/>
                      <w:sz w:val="18"/>
                      <w:szCs w:val="18"/>
                      <w:lang w:val="zh-CN" w:eastAsia="zh-CN" w:bidi="ar-SA"/>
                    </w:rPr>
                    <w:t>推动工业炉窑清洁能源替代。有序推进以电代煤，积极稳妥推进以气代煤。对以煤、石油焦、渣油、重油等为燃料的工业炉窑，加快使用工业余热、电能、天然气等清洁能源进行替代。</w:t>
                  </w:r>
                </w:p>
              </w:tc>
              <w:tc>
                <w:tcPr>
                  <w:tcW w:w="1524" w:type="pct"/>
                  <w:tcBorders>
                    <w:tl2br w:val="nil"/>
                    <w:tr2bl w:val="nil"/>
                  </w:tcBorders>
                  <w:noWrap w:val="0"/>
                  <w:vAlign w:val="center"/>
                </w:tcPr>
                <w:p w14:paraId="52FA782D">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项目运营期使用清洁能源电能</w:t>
                  </w:r>
                  <w:r>
                    <w:rPr>
                      <w:rFonts w:hint="eastAsia" w:ascii="Times New Roman" w:hAnsi="Times New Roman" w:eastAsia="宋体" w:cs="Times New Roman"/>
                      <w:color w:val="auto"/>
                      <w:kern w:val="2"/>
                      <w:sz w:val="18"/>
                      <w:szCs w:val="18"/>
                      <w:lang w:val="en-US" w:eastAsia="zh-CN" w:bidi="ar-SA"/>
                    </w:rPr>
                    <w:t>，不使用煤炭；</w:t>
                  </w:r>
                </w:p>
                <w:p w14:paraId="73D682DD">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en-US" w:eastAsia="zh-CN" w:bidi="ar-SA"/>
                    </w:rPr>
                    <w:t>2、项目不涉及</w:t>
                  </w:r>
                  <w:r>
                    <w:rPr>
                      <w:rFonts w:hint="eastAsia" w:ascii="Times New Roman" w:hAnsi="Times New Roman" w:eastAsia="宋体" w:cs="Times New Roman"/>
                      <w:color w:val="auto"/>
                      <w:kern w:val="2"/>
                      <w:sz w:val="18"/>
                      <w:szCs w:val="18"/>
                      <w:lang w:val="zh-CN" w:eastAsia="zh-CN" w:bidi="ar-SA"/>
                    </w:rPr>
                    <w:t>燃煤锅炉；</w:t>
                  </w:r>
                </w:p>
                <w:p w14:paraId="70D99A8E">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3、项目不涉及</w:t>
                  </w:r>
                  <w:r>
                    <w:rPr>
                      <w:rFonts w:hint="eastAsia" w:ascii="Times New Roman" w:hAnsi="Times New Roman" w:eastAsia="宋体" w:cs="Times New Roman"/>
                      <w:color w:val="auto"/>
                      <w:kern w:val="2"/>
                      <w:sz w:val="18"/>
                      <w:szCs w:val="18"/>
                      <w:lang w:val="zh-CN" w:eastAsia="zh-CN" w:bidi="ar-SA"/>
                    </w:rPr>
                    <w:t>煤、石油焦、渣油、重油等为燃料的工业炉窑。</w:t>
                  </w:r>
                </w:p>
              </w:tc>
              <w:tc>
                <w:tcPr>
                  <w:tcW w:w="520" w:type="pct"/>
                  <w:tcBorders>
                    <w:tl2br w:val="nil"/>
                    <w:tr2bl w:val="nil"/>
                  </w:tcBorders>
                  <w:noWrap w:val="0"/>
                  <w:vAlign w:val="center"/>
                </w:tcPr>
                <w:p w14:paraId="5E1D814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1192F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noWrap w:val="0"/>
                  <w:vAlign w:val="center"/>
                </w:tcPr>
                <w:p w14:paraId="570C9D11">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强化多污染物减排</w:t>
                  </w:r>
                </w:p>
              </w:tc>
              <w:tc>
                <w:tcPr>
                  <w:tcW w:w="2511" w:type="pct"/>
                  <w:tcBorders>
                    <w:tl2br w:val="nil"/>
                    <w:tr2bl w:val="nil"/>
                  </w:tcBorders>
                  <w:noWrap w:val="0"/>
                  <w:vAlign w:val="center"/>
                </w:tcPr>
                <w:p w14:paraId="6C8CDD55">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1、</w:t>
                  </w:r>
                  <w:r>
                    <w:rPr>
                      <w:rFonts w:hint="default" w:ascii="Times New Roman" w:hAnsi="Times New Roman" w:eastAsia="宋体" w:cs="Times New Roman"/>
                      <w:color w:val="auto"/>
                      <w:kern w:val="2"/>
                      <w:sz w:val="18"/>
                      <w:szCs w:val="18"/>
                      <w:lang w:val="zh-CN" w:eastAsia="zh-CN" w:bidi="ar-SA"/>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p w14:paraId="2B1A4A57">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2、</w:t>
                  </w:r>
                  <w:r>
                    <w:rPr>
                      <w:rFonts w:hint="default" w:ascii="Times New Roman" w:hAnsi="Times New Roman" w:eastAsia="宋体" w:cs="Times New Roman"/>
                      <w:color w:val="auto"/>
                      <w:kern w:val="2"/>
                      <w:sz w:val="18"/>
                      <w:szCs w:val="18"/>
                      <w:lang w:val="zh-CN" w:eastAsia="zh-CN" w:bidi="ar-SA"/>
                    </w:rPr>
                    <w:t>推进重点行业污染深度治理。高质量推进钢铁、水泥、焦化等重点行业及燃煤锅炉超低排放改造。到2025年，全省80%以上的钢铁产能完成超低排放改造，力争50%以上的水泥熟料产能、合规焦化产能完成超低排放改造。推进玻璃、石灰、矿棉、有色等行业深度治理。强化治污设施运行维护，减少非正常工况排放。重点涉气企业逐步取消烟气和含VOCs废气旁路。</w:t>
                  </w:r>
                </w:p>
                <w:p w14:paraId="22A14E9F">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kern w:val="2"/>
                      <w:sz w:val="18"/>
                      <w:szCs w:val="18"/>
                      <w:lang w:val="en-US" w:eastAsia="zh-CN" w:bidi="ar-SA"/>
                    </w:rPr>
                    <w:t>3、</w:t>
                  </w:r>
                  <w:r>
                    <w:rPr>
                      <w:rFonts w:hint="default" w:ascii="Times New Roman" w:hAnsi="Times New Roman" w:eastAsia="宋体" w:cs="Times New Roman"/>
                      <w:color w:val="auto"/>
                      <w:kern w:val="2"/>
                      <w:sz w:val="18"/>
                      <w:szCs w:val="18"/>
                      <w:lang w:val="zh-CN" w:eastAsia="zh-CN" w:bidi="ar-SA"/>
                    </w:rPr>
                    <w:t>深入治理餐饮油烟和恶臭异味。严格居民楼附近餐饮服务单位布局管理。拟开设餐饮服务单位的建筑应设计建设专用烟道。加强对恶臭异味扰民问题的排查整治，投诉集中的工业园区、重点企业要安装运行在线监测系统。因地制宜解决人民群众反映集中的露天烧烤、油烟及恶臭异味扰民问题。</w:t>
                  </w:r>
                </w:p>
                <w:p w14:paraId="466647E3">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w:t>
                  </w:r>
                  <w:r>
                    <w:rPr>
                      <w:rFonts w:hint="default" w:ascii="Times New Roman" w:hAnsi="Times New Roman" w:eastAsia="宋体" w:cs="Times New Roman"/>
                      <w:color w:val="auto"/>
                      <w:kern w:val="2"/>
                      <w:sz w:val="18"/>
                      <w:szCs w:val="18"/>
                      <w:lang w:val="zh-CN" w:eastAsia="zh-CN" w:bidi="ar-SA"/>
                    </w:rPr>
                    <w:t>推进大气氨污染防控。推广低蛋白日粮技术，在适宜地区推广氮肥机械深施。开展畜禽养殖标准化示范创建，鼓励生猪、鸡等圈舍及粪污输送、存储、处理设施封闭管理。加强氮肥、纯碱等行业大气氨排放治理，强化工业源烟气氨逃逸防控。</w:t>
                  </w:r>
                </w:p>
              </w:tc>
              <w:tc>
                <w:tcPr>
                  <w:tcW w:w="1524" w:type="pct"/>
                  <w:tcBorders>
                    <w:tl2br w:val="nil"/>
                    <w:tr2bl w:val="nil"/>
                  </w:tcBorders>
                  <w:noWrap w:val="0"/>
                  <w:vAlign w:val="center"/>
                </w:tcPr>
                <w:p w14:paraId="62A45104">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en-US" w:eastAsia="zh-CN" w:bidi="ar-SA"/>
                    </w:rPr>
                    <w:t>1、项目运营期废气污染为颗粒物，不涉及</w:t>
                  </w:r>
                  <w:r>
                    <w:rPr>
                      <w:rFonts w:hint="eastAsia" w:ascii="Times New Roman" w:hAnsi="Times New Roman" w:eastAsia="宋体" w:cs="Times New Roman"/>
                      <w:color w:val="auto"/>
                      <w:kern w:val="2"/>
                      <w:sz w:val="18"/>
                      <w:szCs w:val="18"/>
                      <w:lang w:val="zh-CN" w:eastAsia="zh-CN" w:bidi="ar-SA"/>
                    </w:rPr>
                    <w:t>含VOCs有机</w:t>
                  </w:r>
                  <w:r>
                    <w:rPr>
                      <w:rFonts w:hint="eastAsia" w:ascii="Times New Roman" w:hAnsi="Times New Roman" w:eastAsia="宋体" w:cs="Times New Roman"/>
                      <w:color w:val="auto"/>
                      <w:kern w:val="2"/>
                      <w:sz w:val="18"/>
                      <w:szCs w:val="18"/>
                      <w:lang w:val="en-US" w:eastAsia="zh-CN" w:bidi="ar-SA"/>
                    </w:rPr>
                    <w:t>废气、</w:t>
                  </w:r>
                  <w:r>
                    <w:rPr>
                      <w:rFonts w:hint="eastAsia" w:ascii="Times New Roman" w:hAnsi="Times New Roman" w:eastAsia="宋体" w:cs="Times New Roman"/>
                      <w:color w:val="auto"/>
                      <w:kern w:val="2"/>
                      <w:sz w:val="18"/>
                      <w:szCs w:val="18"/>
                      <w:lang w:val="zh-CN" w:eastAsia="zh-CN" w:bidi="ar-SA"/>
                    </w:rPr>
                    <w:t>废水。</w:t>
                  </w:r>
                </w:p>
                <w:p w14:paraId="6FC76ADD">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val="en-US" w:eastAsia="zh-CN" w:bidi="ar-SA"/>
                    </w:rPr>
                    <w:t>2、项目不涉及</w:t>
                  </w:r>
                  <w:r>
                    <w:rPr>
                      <w:rFonts w:hint="eastAsia" w:ascii="Times New Roman" w:hAnsi="Times New Roman" w:eastAsia="宋体" w:cs="Times New Roman"/>
                      <w:color w:val="auto"/>
                      <w:kern w:val="2"/>
                      <w:sz w:val="18"/>
                      <w:szCs w:val="18"/>
                      <w:lang w:val="zh-CN" w:eastAsia="zh-CN" w:bidi="ar-SA"/>
                    </w:rPr>
                    <w:t>燃煤锅炉；</w:t>
                  </w:r>
                  <w:r>
                    <w:rPr>
                      <w:rFonts w:hint="eastAsia" w:ascii="Times New Roman" w:hAnsi="Times New Roman" w:eastAsia="宋体" w:cs="Times New Roman"/>
                      <w:color w:val="auto"/>
                      <w:kern w:val="2"/>
                      <w:sz w:val="18"/>
                      <w:szCs w:val="18"/>
                      <w:lang w:val="en-US" w:eastAsia="zh-CN" w:bidi="ar-SA"/>
                    </w:rPr>
                    <w:t>不涉及</w:t>
                  </w:r>
                  <w:r>
                    <w:rPr>
                      <w:rFonts w:hint="eastAsia" w:ascii="Times New Roman" w:hAnsi="Times New Roman" w:eastAsia="宋体" w:cs="Times New Roman"/>
                      <w:color w:val="auto"/>
                      <w:kern w:val="2"/>
                      <w:sz w:val="18"/>
                      <w:szCs w:val="18"/>
                      <w:lang w:val="zh-CN" w:eastAsia="zh-CN" w:bidi="ar-SA"/>
                    </w:rPr>
                    <w:t>超低排放改造。</w:t>
                  </w:r>
                </w:p>
                <w:p w14:paraId="54D88747">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3</w:t>
                  </w:r>
                  <w:r>
                    <w:rPr>
                      <w:rFonts w:hint="eastAsia" w:ascii="Times New Roman" w:hAnsi="Times New Roman" w:eastAsia="宋体" w:cs="Times New Roman"/>
                      <w:color w:val="auto"/>
                      <w:kern w:val="2"/>
                      <w:sz w:val="18"/>
                      <w:szCs w:val="18"/>
                      <w:lang w:val="en-US" w:eastAsia="zh-CN" w:bidi="ar-SA"/>
                    </w:rPr>
                    <w:t>、本项目运营期不使用</w:t>
                  </w:r>
                  <w:r>
                    <w:rPr>
                      <w:rFonts w:hint="eastAsia" w:ascii="Times New Roman" w:hAnsi="Times New Roman" w:cs="Times New Roman"/>
                      <w:color w:val="auto"/>
                      <w:kern w:val="2"/>
                      <w:sz w:val="18"/>
                      <w:szCs w:val="18"/>
                      <w:lang w:val="en-US" w:eastAsia="zh-CN" w:bidi="ar-SA"/>
                    </w:rPr>
                    <w:t>氮肥</w:t>
                  </w:r>
                  <w:r>
                    <w:rPr>
                      <w:rFonts w:hint="eastAsia" w:ascii="Times New Roman" w:hAnsi="Times New Roman" w:eastAsia="宋体" w:cs="Times New Roman"/>
                      <w:color w:val="auto"/>
                      <w:kern w:val="2"/>
                      <w:sz w:val="18"/>
                      <w:szCs w:val="18"/>
                      <w:lang w:val="en-US" w:eastAsia="zh-CN" w:bidi="ar-SA"/>
                    </w:rPr>
                    <w:t>，不涉及</w:t>
                  </w:r>
                  <w:r>
                    <w:rPr>
                      <w:rFonts w:hint="eastAsia" w:ascii="Times New Roman" w:hAnsi="Times New Roman" w:eastAsia="宋体" w:cs="Times New Roman"/>
                      <w:color w:val="auto"/>
                      <w:kern w:val="2"/>
                      <w:sz w:val="18"/>
                      <w:szCs w:val="18"/>
                      <w:lang w:val="zh-CN" w:eastAsia="zh-CN" w:bidi="ar-SA"/>
                    </w:rPr>
                    <w:t>畜禽养殖、氮肥、纯碱等行业。</w:t>
                  </w:r>
                </w:p>
              </w:tc>
              <w:tc>
                <w:tcPr>
                  <w:tcW w:w="520" w:type="pct"/>
                  <w:tcBorders>
                    <w:tl2br w:val="nil"/>
                    <w:tr2bl w:val="nil"/>
                  </w:tcBorders>
                  <w:noWrap w:val="0"/>
                  <w:vAlign w:val="center"/>
                </w:tcPr>
                <w:p w14:paraId="1694A7C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bl>
          <w:p w14:paraId="4AB35D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lang w:val="en-US" w:eastAsia="zh-CN"/>
              </w:rPr>
              <w:t>由上表可知</w:t>
            </w:r>
            <w:r>
              <w:rPr>
                <w:color w:val="auto"/>
                <w:sz w:val="24"/>
                <w:szCs w:val="24"/>
              </w:rPr>
              <w:t>，项目</w:t>
            </w:r>
            <w:r>
              <w:rPr>
                <w:rFonts w:hint="eastAsia"/>
                <w:color w:val="auto"/>
                <w:sz w:val="24"/>
                <w:szCs w:val="24"/>
                <w:lang w:val="en-US" w:eastAsia="zh-CN"/>
              </w:rPr>
              <w:t>建设</w:t>
            </w:r>
            <w:r>
              <w:rPr>
                <w:color w:val="auto"/>
                <w:sz w:val="24"/>
                <w:szCs w:val="24"/>
              </w:rPr>
              <w:t>符合</w:t>
            </w:r>
            <w:r>
              <w:rPr>
                <w:rFonts w:hint="eastAsia" w:ascii="Times New Roman" w:hAnsi="Times New Roman" w:eastAsia="宋体" w:cs="Times New Roman"/>
                <w:b w:val="0"/>
                <w:bCs w:val="0"/>
                <w:color w:val="auto"/>
                <w:sz w:val="24"/>
                <w:szCs w:val="24"/>
                <w:lang w:val="en-US" w:eastAsia="zh-CN"/>
              </w:rPr>
              <w:t>《云南省空气质量持续改善行动实施方案》相关</w:t>
            </w:r>
            <w:r>
              <w:rPr>
                <w:color w:val="auto"/>
                <w:sz w:val="24"/>
                <w:szCs w:val="24"/>
              </w:rPr>
              <w:t>要求。</w:t>
            </w:r>
          </w:p>
          <w:p w14:paraId="3333ACCD">
            <w:pPr>
              <w:pStyle w:val="8"/>
              <w:keepNext w:val="0"/>
              <w:keepLines w:val="0"/>
              <w:pageBreakBefore w:val="0"/>
              <w:widowControl w:val="0"/>
              <w:kinsoku/>
              <w:wordWrap/>
              <w:overflowPunct/>
              <w:topLinePunct/>
              <w:autoSpaceDE/>
              <w:autoSpaceDN/>
              <w:bidi w:val="0"/>
              <w:adjustRightInd w:val="0"/>
              <w:snapToGrid w:val="0"/>
              <w:spacing w:after="0" w:line="360" w:lineRule="auto"/>
              <w:ind w:left="0" w:leftChars="0" w:firstLine="482"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eastAsia" w:cs="Times New Roman"/>
                <w:b/>
                <w:bCs/>
                <w:color w:val="auto"/>
                <w:kern w:val="2"/>
                <w:sz w:val="24"/>
                <w:szCs w:val="24"/>
                <w:lang w:val="en-US" w:eastAsia="zh-CN" w:bidi="ar-SA"/>
              </w:rPr>
              <w:t>6</w:t>
            </w:r>
            <w:r>
              <w:rPr>
                <w:rFonts w:hint="eastAsia" w:ascii="Times New Roman" w:hAnsi="Times New Roman" w:eastAsia="宋体" w:cs="Times New Roman"/>
                <w:b/>
                <w:bCs/>
                <w:color w:val="auto"/>
                <w:kern w:val="2"/>
                <w:sz w:val="24"/>
                <w:szCs w:val="24"/>
                <w:lang w:val="en-US" w:eastAsia="zh-CN" w:bidi="ar-SA"/>
              </w:rPr>
              <w:t>、与</w:t>
            </w:r>
            <w:r>
              <w:rPr>
                <w:rFonts w:hint="default" w:ascii="Times New Roman" w:hAnsi="Times New Roman" w:eastAsia="宋体" w:cs="Times New Roman"/>
                <w:b/>
                <w:bCs/>
                <w:color w:val="auto"/>
                <w:kern w:val="2"/>
                <w:sz w:val="24"/>
                <w:szCs w:val="24"/>
                <w:lang w:val="en-US" w:eastAsia="zh-CN" w:bidi="ar-SA"/>
              </w:rPr>
              <w:t>《云南省</w:t>
            </w:r>
            <w:r>
              <w:rPr>
                <w:rFonts w:hint="eastAsia" w:cs="Times New Roman"/>
                <w:b/>
                <w:bCs/>
                <w:color w:val="auto"/>
                <w:kern w:val="2"/>
                <w:sz w:val="24"/>
                <w:szCs w:val="24"/>
                <w:lang w:val="en-US" w:eastAsia="zh-CN" w:bidi="ar-SA"/>
              </w:rPr>
              <w:t>“十四五”</w:t>
            </w:r>
            <w:r>
              <w:rPr>
                <w:rFonts w:hint="default" w:ascii="Times New Roman" w:hAnsi="Times New Roman" w:eastAsia="宋体" w:cs="Times New Roman"/>
                <w:b/>
                <w:bCs/>
                <w:color w:val="auto"/>
                <w:kern w:val="2"/>
                <w:sz w:val="24"/>
                <w:szCs w:val="24"/>
                <w:lang w:val="en-US" w:eastAsia="zh-CN" w:bidi="ar-SA"/>
              </w:rPr>
              <w:t>生态建设与环境保护规划》</w:t>
            </w:r>
            <w:r>
              <w:rPr>
                <w:rFonts w:hint="eastAsia" w:ascii="Times New Roman" w:hAnsi="Times New Roman" w:eastAsia="宋体" w:cs="Times New Roman"/>
                <w:b/>
                <w:bCs/>
                <w:color w:val="auto"/>
                <w:kern w:val="2"/>
                <w:sz w:val="24"/>
                <w:szCs w:val="24"/>
                <w:lang w:val="en-US" w:eastAsia="zh-CN" w:bidi="ar-SA"/>
              </w:rPr>
              <w:t>相符性分析</w:t>
            </w:r>
          </w:p>
          <w:p w14:paraId="4BA0D0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022年4月8日，云南省生态环境厅印发了《云南省“十四五”生态建设与环境保护规划》（云环发〔2022〕13号），项目与其符合性分析详见下表：</w:t>
            </w:r>
          </w:p>
          <w:p w14:paraId="2523D92B">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表1-</w:t>
            </w:r>
            <w:r>
              <w:rPr>
                <w:rFonts w:hint="eastAsia" w:ascii="黑体" w:hAnsi="黑体" w:eastAsia="黑体" w:cs="黑体"/>
                <w:b w:val="0"/>
                <w:bCs w:val="0"/>
                <w:color w:val="auto"/>
                <w:sz w:val="21"/>
                <w:szCs w:val="21"/>
                <w:lang w:val="en-US" w:eastAsia="zh-CN"/>
              </w:rPr>
              <w:t xml:space="preserve">9   </w:t>
            </w:r>
            <w:r>
              <w:rPr>
                <w:rFonts w:hint="eastAsia" w:ascii="黑体" w:hAnsi="黑体" w:eastAsia="黑体" w:cs="黑体"/>
                <w:b w:val="0"/>
                <w:bCs w:val="0"/>
                <w:color w:val="auto"/>
                <w:sz w:val="21"/>
                <w:szCs w:val="21"/>
              </w:rPr>
              <w:t>项目与</w:t>
            </w:r>
            <w:r>
              <w:rPr>
                <w:rFonts w:hint="eastAsia" w:ascii="黑体" w:hAnsi="黑体" w:eastAsia="黑体" w:cs="黑体"/>
                <w:b w:val="0"/>
                <w:bCs w:val="0"/>
                <w:color w:val="auto"/>
                <w:sz w:val="21"/>
                <w:szCs w:val="21"/>
                <w:lang w:val="en-US" w:eastAsia="zh-CN"/>
              </w:rPr>
              <w:t>《云南省“十四五”生态建设与环境保护规划》</w:t>
            </w:r>
            <w:r>
              <w:rPr>
                <w:rFonts w:hint="eastAsia" w:ascii="黑体" w:hAnsi="黑体" w:eastAsia="黑体" w:cs="黑体"/>
                <w:b w:val="0"/>
                <w:bCs w:val="0"/>
                <w:color w:val="auto"/>
                <w:sz w:val="21"/>
                <w:szCs w:val="21"/>
              </w:rPr>
              <w:t>相符性对照</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2584"/>
              <w:gridCol w:w="3250"/>
              <w:gridCol w:w="569"/>
            </w:tblGrid>
            <w:tr w14:paraId="7288DD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36" w:type="pct"/>
                  <w:tcBorders>
                    <w:tl2br w:val="nil"/>
                    <w:tr2bl w:val="nil"/>
                  </w:tcBorders>
                  <w:noWrap w:val="0"/>
                  <w:vAlign w:val="center"/>
                </w:tcPr>
                <w:p w14:paraId="10610C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章节</w:t>
                  </w:r>
                </w:p>
              </w:tc>
              <w:tc>
                <w:tcPr>
                  <w:tcW w:w="1841" w:type="pct"/>
                  <w:tcBorders>
                    <w:tl2br w:val="nil"/>
                    <w:tr2bl w:val="nil"/>
                  </w:tcBorders>
                  <w:noWrap w:val="0"/>
                  <w:vAlign w:val="center"/>
                </w:tcPr>
                <w:p w14:paraId="2D5077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要求</w:t>
                  </w:r>
                </w:p>
              </w:tc>
              <w:tc>
                <w:tcPr>
                  <w:tcW w:w="2316" w:type="pct"/>
                  <w:tcBorders>
                    <w:tl2br w:val="nil"/>
                    <w:tr2bl w:val="nil"/>
                  </w:tcBorders>
                  <w:noWrap w:val="0"/>
                  <w:vAlign w:val="center"/>
                </w:tcPr>
                <w:p w14:paraId="611A15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w:t>
                  </w:r>
                  <w:r>
                    <w:rPr>
                      <w:rFonts w:hint="default" w:ascii="Times New Roman" w:hAnsi="Times New Roman" w:eastAsia="宋体" w:cs="Times New Roman"/>
                      <w:color w:val="auto"/>
                      <w:sz w:val="18"/>
                      <w:szCs w:val="18"/>
                      <w:lang w:val="en-US" w:eastAsia="zh-CN"/>
                    </w:rPr>
                    <w:t>建设</w:t>
                  </w:r>
                  <w:r>
                    <w:rPr>
                      <w:rFonts w:hint="default" w:ascii="Times New Roman" w:hAnsi="Times New Roman" w:eastAsia="宋体" w:cs="Times New Roman"/>
                      <w:color w:val="auto"/>
                      <w:sz w:val="18"/>
                      <w:szCs w:val="18"/>
                    </w:rPr>
                    <w:t>情况</w:t>
                  </w:r>
                </w:p>
              </w:tc>
              <w:tc>
                <w:tcPr>
                  <w:tcW w:w="406" w:type="pct"/>
                  <w:tcBorders>
                    <w:tl2br w:val="nil"/>
                    <w:tr2bl w:val="nil"/>
                  </w:tcBorders>
                  <w:noWrap w:val="0"/>
                  <w:vAlign w:val="center"/>
                </w:tcPr>
                <w:p w14:paraId="18B47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5D563B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tcBorders>
                    <w:tl2br w:val="nil"/>
                    <w:tr2bl w:val="nil"/>
                  </w:tcBorders>
                  <w:noWrap w:val="0"/>
                  <w:vAlign w:val="center"/>
                </w:tcPr>
                <w:p w14:paraId="53E78F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优化生态环境空间管控</w:t>
                  </w:r>
                </w:p>
              </w:tc>
              <w:tc>
                <w:tcPr>
                  <w:tcW w:w="1841" w:type="pct"/>
                  <w:tcBorders>
                    <w:tl2br w:val="nil"/>
                    <w:tr2bl w:val="nil"/>
                  </w:tcBorders>
                  <w:noWrap w:val="0"/>
                  <w:vAlign w:val="center"/>
                </w:tcPr>
                <w:p w14:paraId="666D3F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以国土空间规划为基础，</w:t>
                  </w:r>
                  <w:r>
                    <w:rPr>
                      <w:rFonts w:hint="default" w:ascii="Times New Roman" w:hAnsi="Times New Roman" w:eastAsia="宋体" w:cs="Times New Roman"/>
                      <w:color w:val="auto"/>
                      <w:sz w:val="18"/>
                      <w:szCs w:val="18"/>
                      <w:lang w:val="zh-CN"/>
                    </w:rPr>
                    <w:t>严格落实生态保护红线、永久基本农田保护红线和城镇开发边界，减少对自然生态空间的占用。加快推进“三线一单”落实落地</w:t>
                  </w:r>
                  <w:r>
                    <w:rPr>
                      <w:rFonts w:hint="default" w:ascii="Times New Roman" w:hAnsi="Times New Roman" w:eastAsia="宋体" w:cs="Times New Roman"/>
                      <w:color w:val="auto"/>
                      <w:sz w:val="18"/>
                      <w:szCs w:val="18"/>
                    </w:rPr>
                    <w:t>，把</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三线一单</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作为区域资源开发、产业布局和结构调整、城镇建设、重大项目选址的重要依据，确保发展不超载、底线不突破。</w:t>
                  </w:r>
                </w:p>
              </w:tc>
              <w:tc>
                <w:tcPr>
                  <w:tcW w:w="2316" w:type="pct"/>
                  <w:tcBorders>
                    <w:tl2br w:val="nil"/>
                    <w:tr2bl w:val="nil"/>
                  </w:tcBorders>
                  <w:noWrap w:val="0"/>
                  <w:vAlign w:val="center"/>
                </w:tcPr>
                <w:p w14:paraId="70C4AB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zh-CN"/>
                    </w:rPr>
                    <w:t>本项目位于</w:t>
                  </w:r>
                  <w:r>
                    <w:rPr>
                      <w:rFonts w:hint="eastAsia" w:ascii="Times New Roman" w:hAnsi="Times New Roman" w:cs="Times New Roman"/>
                      <w:color w:val="auto"/>
                      <w:sz w:val="18"/>
                      <w:szCs w:val="18"/>
                      <w:lang w:val="en-US" w:eastAsia="zh-CN"/>
                    </w:rPr>
                    <w:t>云南</w:t>
                  </w:r>
                  <w:r>
                    <w:rPr>
                      <w:rFonts w:hint="eastAsia" w:cs="Times New Roman"/>
                      <w:color w:val="auto"/>
                      <w:sz w:val="18"/>
                      <w:szCs w:val="18"/>
                      <w:lang w:val="en-US" w:eastAsia="zh-CN"/>
                    </w:rPr>
                    <w:t>易门</w:t>
                  </w:r>
                  <w:r>
                    <w:rPr>
                      <w:rFonts w:hint="eastAsia" w:ascii="Times New Roman" w:hAnsi="Times New Roman" w:cs="Times New Roman"/>
                      <w:color w:val="auto"/>
                      <w:sz w:val="18"/>
                      <w:szCs w:val="18"/>
                      <w:lang w:val="en-US" w:eastAsia="zh-CN"/>
                    </w:rPr>
                    <w:t>产业园区</w:t>
                  </w:r>
                  <w:r>
                    <w:rPr>
                      <w:rFonts w:hint="eastAsia" w:cs="Times New Roman"/>
                      <w:color w:val="auto"/>
                      <w:sz w:val="18"/>
                      <w:szCs w:val="18"/>
                      <w:lang w:val="en-US" w:eastAsia="zh-CN"/>
                    </w:rPr>
                    <w:t>大椿树</w:t>
                  </w:r>
                  <w:r>
                    <w:rPr>
                      <w:rFonts w:hint="eastAsia" w:ascii="Times New Roman" w:hAnsi="Times New Roman" w:cs="Times New Roman"/>
                      <w:color w:val="auto"/>
                      <w:sz w:val="18"/>
                      <w:szCs w:val="18"/>
                      <w:lang w:val="en-US" w:eastAsia="zh-CN"/>
                    </w:rPr>
                    <w:t>片区</w:t>
                  </w:r>
                  <w:r>
                    <w:rPr>
                      <w:rFonts w:hint="default" w:ascii="Times New Roman" w:hAnsi="Times New Roman" w:eastAsia="宋体" w:cs="Times New Roman"/>
                      <w:color w:val="auto"/>
                      <w:sz w:val="18"/>
                      <w:szCs w:val="18"/>
                      <w:lang w:val="zh-CN"/>
                    </w:rPr>
                    <w:t>，不属于杞麓湖径流区，用地为</w:t>
                  </w:r>
                  <w:r>
                    <w:rPr>
                      <w:rFonts w:hint="default" w:ascii="Times New Roman" w:hAnsi="Times New Roman" w:eastAsia="宋体" w:cs="Times New Roman"/>
                      <w:color w:val="auto"/>
                      <w:sz w:val="18"/>
                      <w:szCs w:val="18"/>
                      <w:lang w:val="zh-CN" w:eastAsia="zh-CN"/>
                    </w:rPr>
                    <w:t>三类</w:t>
                  </w:r>
                  <w:r>
                    <w:rPr>
                      <w:rFonts w:hint="default" w:ascii="Times New Roman" w:hAnsi="Times New Roman" w:eastAsia="宋体" w:cs="Times New Roman"/>
                      <w:color w:val="auto"/>
                      <w:sz w:val="18"/>
                      <w:szCs w:val="18"/>
                      <w:lang w:val="zh-CN"/>
                    </w:rPr>
                    <w:t>工业用地</w:t>
                  </w:r>
                  <w:r>
                    <w:rPr>
                      <w:rFonts w:hint="default" w:ascii="Times New Roman" w:hAnsi="Times New Roman" w:eastAsia="宋体" w:cs="Times New Roman"/>
                      <w:color w:val="auto"/>
                      <w:sz w:val="18"/>
                      <w:szCs w:val="18"/>
                      <w:lang w:val="zh-CN" w:eastAsia="zh-CN"/>
                    </w:rPr>
                    <w:t>。</w:t>
                  </w:r>
                  <w:r>
                    <w:rPr>
                      <w:rFonts w:hint="default" w:ascii="Times New Roman" w:hAnsi="Times New Roman" w:eastAsia="宋体" w:cs="Times New Roman"/>
                      <w:color w:val="auto"/>
                      <w:sz w:val="18"/>
                      <w:szCs w:val="18"/>
                      <w:lang w:val="zh-CN"/>
                    </w:rPr>
                    <w:t>本项目</w:t>
                  </w:r>
                  <w:r>
                    <w:rPr>
                      <w:rFonts w:hint="default" w:ascii="Times New Roman" w:hAnsi="Times New Roman" w:eastAsia="宋体" w:cs="Times New Roman"/>
                      <w:color w:val="auto"/>
                      <w:sz w:val="18"/>
                      <w:szCs w:val="18"/>
                      <w:lang w:val="en-US" w:eastAsia="zh-CN"/>
                    </w:rPr>
                    <w:t>在既有厂区范围内，不新增占地，项目用地为已规划的工业用地</w:t>
                  </w:r>
                  <w:r>
                    <w:rPr>
                      <w:rFonts w:hint="default" w:ascii="Times New Roman" w:hAnsi="Times New Roman" w:eastAsia="宋体" w:cs="Times New Roman"/>
                      <w:color w:val="auto"/>
                      <w:sz w:val="18"/>
                      <w:szCs w:val="18"/>
                      <w:lang w:val="zh-CN"/>
                    </w:rPr>
                    <w:t>，不涉及占用</w:t>
                  </w:r>
                  <w:r>
                    <w:rPr>
                      <w:rFonts w:hint="eastAsia" w:cs="Times New Roman"/>
                      <w:color w:val="auto"/>
                      <w:sz w:val="18"/>
                      <w:szCs w:val="18"/>
                      <w:lang w:val="en-US" w:eastAsia="zh-CN"/>
                    </w:rPr>
                    <w:t>易门县</w:t>
                  </w:r>
                  <w:r>
                    <w:rPr>
                      <w:rFonts w:hint="default" w:ascii="Times New Roman" w:hAnsi="Times New Roman" w:eastAsia="宋体" w:cs="Times New Roman"/>
                      <w:color w:val="auto"/>
                      <w:sz w:val="18"/>
                      <w:szCs w:val="18"/>
                      <w:lang w:val="zh-CN"/>
                    </w:rPr>
                    <w:t>生态红线，符合</w:t>
                  </w:r>
                  <w:r>
                    <w:rPr>
                      <w:rFonts w:hint="default" w:ascii="Times New Roman" w:hAnsi="Times New Roman" w:eastAsia="宋体" w:cs="Times New Roman"/>
                      <w:color w:val="auto"/>
                      <w:sz w:val="18"/>
                      <w:szCs w:val="18"/>
                      <w:lang w:val="en-US" w:eastAsia="zh-CN"/>
                    </w:rPr>
                    <w:t>云南省和玉溪市</w:t>
                  </w:r>
                  <w:r>
                    <w:rPr>
                      <w:rFonts w:hint="eastAsia" w:ascii="Times New Roman" w:hAnsi="Times New Roman" w:cs="Times New Roman"/>
                      <w:color w:val="auto"/>
                      <w:sz w:val="18"/>
                      <w:szCs w:val="18"/>
                      <w:lang w:val="en-US" w:eastAsia="zh-CN"/>
                    </w:rPr>
                    <w:t>“三线一单”</w:t>
                  </w:r>
                  <w:r>
                    <w:rPr>
                      <w:rFonts w:hint="default" w:ascii="Times New Roman" w:hAnsi="Times New Roman" w:eastAsia="宋体" w:cs="Times New Roman"/>
                      <w:color w:val="auto"/>
                      <w:sz w:val="18"/>
                      <w:szCs w:val="18"/>
                      <w:lang w:val="zh-CN"/>
                    </w:rPr>
                    <w:t>要求。</w:t>
                  </w:r>
                </w:p>
              </w:tc>
              <w:tc>
                <w:tcPr>
                  <w:tcW w:w="406" w:type="pct"/>
                  <w:tcBorders>
                    <w:tl2br w:val="nil"/>
                    <w:tr2bl w:val="nil"/>
                  </w:tcBorders>
                  <w:noWrap w:val="0"/>
                  <w:vAlign w:val="center"/>
                </w:tcPr>
                <w:p w14:paraId="01CEA0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6B2C3A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restart"/>
                  <w:tcBorders>
                    <w:tl2br w:val="nil"/>
                    <w:tr2bl w:val="nil"/>
                  </w:tcBorders>
                  <w:noWrap w:val="0"/>
                  <w:vAlign w:val="center"/>
                </w:tcPr>
                <w:p w14:paraId="15749B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优化产业结构</w:t>
                  </w:r>
                </w:p>
              </w:tc>
              <w:tc>
                <w:tcPr>
                  <w:tcW w:w="1841" w:type="pct"/>
                  <w:tcBorders>
                    <w:tl2br w:val="nil"/>
                    <w:tr2bl w:val="nil"/>
                  </w:tcBorders>
                  <w:noWrap w:val="0"/>
                  <w:vAlign w:val="center"/>
                </w:tcPr>
                <w:p w14:paraId="7D2B1C4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推动重点行业加快实施限制类产能装备的升级改造，有序开展超低排放改造。促进各类开发区整合提升，依法依规推动工业企业入园入区发展，提高各类开发区聚集水平，深入推进各类开发区循环化改造。</w:t>
                  </w:r>
                </w:p>
              </w:tc>
              <w:tc>
                <w:tcPr>
                  <w:tcW w:w="2316" w:type="pct"/>
                  <w:tcBorders>
                    <w:tl2br w:val="nil"/>
                    <w:tr2bl w:val="nil"/>
                  </w:tcBorders>
                  <w:noWrap w:val="0"/>
                  <w:vAlign w:val="center"/>
                </w:tcPr>
                <w:p w14:paraId="28C024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zh-CN"/>
                    </w:rPr>
                    <w:t>本项目不生产《产业结构调整指导目录（20</w:t>
                  </w:r>
                  <w:r>
                    <w:rPr>
                      <w:rFonts w:hint="default" w:ascii="Times New Roman" w:hAnsi="Times New Roman" w:eastAsia="宋体" w:cs="Times New Roman"/>
                      <w:color w:val="auto"/>
                      <w:sz w:val="18"/>
                      <w:szCs w:val="18"/>
                      <w:lang w:val="en-US" w:eastAsia="zh-CN"/>
                    </w:rPr>
                    <w:t>24</w:t>
                  </w:r>
                  <w:r>
                    <w:rPr>
                      <w:rFonts w:hint="default" w:ascii="Times New Roman" w:hAnsi="Times New Roman" w:eastAsia="宋体" w:cs="Times New Roman"/>
                      <w:color w:val="auto"/>
                      <w:sz w:val="18"/>
                      <w:szCs w:val="18"/>
                      <w:lang w:val="zh-CN"/>
                    </w:rPr>
                    <w:t>年本）》的落后产品，不使用淘汰类生产设备</w:t>
                  </w:r>
                  <w:r>
                    <w:rPr>
                      <w:rFonts w:hint="default" w:ascii="Times New Roman" w:hAnsi="Times New Roman" w:eastAsia="宋体" w:cs="Times New Roman"/>
                      <w:color w:val="auto"/>
                      <w:sz w:val="18"/>
                      <w:szCs w:val="18"/>
                      <w:lang w:val="zh-CN" w:eastAsia="zh-CN"/>
                    </w:rPr>
                    <w:t>，</w:t>
                  </w:r>
                  <w:r>
                    <w:rPr>
                      <w:rFonts w:hint="default" w:ascii="Times New Roman" w:hAnsi="Times New Roman" w:eastAsia="宋体" w:cs="Times New Roman"/>
                      <w:color w:val="auto"/>
                      <w:sz w:val="18"/>
                      <w:szCs w:val="18"/>
                      <w:lang w:val="zh-CN"/>
                    </w:rPr>
                    <w:t>根据《产业发展与转移指导目录（2018年本）》</w:t>
                  </w:r>
                  <w:r>
                    <w:rPr>
                      <w:rFonts w:hint="default" w:ascii="Times New Roman" w:hAnsi="Times New Roman" w:eastAsia="宋体" w:cs="Times New Roman"/>
                      <w:color w:val="auto"/>
                      <w:sz w:val="18"/>
                      <w:szCs w:val="18"/>
                      <w:lang w:val="zh-CN" w:eastAsia="zh-CN"/>
                    </w:rPr>
                    <w:t>，</w:t>
                  </w:r>
                  <w:r>
                    <w:rPr>
                      <w:rFonts w:hint="default" w:ascii="Times New Roman" w:hAnsi="Times New Roman" w:eastAsia="宋体" w:cs="Times New Roman"/>
                      <w:color w:val="auto"/>
                      <w:sz w:val="18"/>
                      <w:szCs w:val="18"/>
                      <w:lang w:val="zh-CN"/>
                    </w:rPr>
                    <w:t>本项目不属于云南引导不再承接的产业。项目位于</w:t>
                  </w:r>
                  <w:r>
                    <w:rPr>
                      <w:rFonts w:hint="eastAsia" w:ascii="Times New Roman" w:hAnsi="Times New Roman" w:eastAsia="宋体" w:cs="Times New Roman"/>
                      <w:color w:val="auto"/>
                      <w:sz w:val="18"/>
                      <w:szCs w:val="18"/>
                      <w:lang w:val="en-US" w:eastAsia="zh-CN"/>
                    </w:rPr>
                    <w:t>云南易门产业园区大椿树片区</w:t>
                  </w:r>
                  <w:r>
                    <w:rPr>
                      <w:rFonts w:hint="default" w:ascii="Times New Roman" w:hAnsi="Times New Roman" w:eastAsia="宋体" w:cs="Times New Roman"/>
                      <w:color w:val="auto"/>
                      <w:sz w:val="18"/>
                      <w:szCs w:val="18"/>
                      <w:lang w:val="zh-CN"/>
                    </w:rPr>
                    <w:t>，</w:t>
                  </w:r>
                  <w:r>
                    <w:rPr>
                      <w:rFonts w:hint="default" w:ascii="Times New Roman" w:hAnsi="Times New Roman" w:eastAsia="宋体" w:cs="Times New Roman"/>
                      <w:color w:val="auto"/>
                      <w:sz w:val="18"/>
                      <w:szCs w:val="18"/>
                      <w:lang w:val="en-US" w:eastAsia="zh-CN"/>
                    </w:rPr>
                    <w:t>易门铜业有限公司主要从事铜矿有色金属冶炼，本项目为公司配套</w:t>
                  </w:r>
                  <w:r>
                    <w:rPr>
                      <w:rFonts w:hint="eastAsia" w:cs="Times New Roman"/>
                      <w:color w:val="auto"/>
                      <w:sz w:val="18"/>
                      <w:szCs w:val="18"/>
                      <w:lang w:val="en-US" w:eastAsia="zh-CN"/>
                    </w:rPr>
                    <w:t>工程</w:t>
                  </w:r>
                  <w:r>
                    <w:rPr>
                      <w:rFonts w:hint="default" w:ascii="Times New Roman" w:hAnsi="Times New Roman" w:eastAsia="宋体" w:cs="Times New Roman"/>
                      <w:color w:val="auto"/>
                      <w:sz w:val="18"/>
                      <w:szCs w:val="18"/>
                      <w:lang w:val="en-US" w:eastAsia="zh-CN"/>
                    </w:rPr>
                    <w:t>，符合大椿树片区重点有色金属产业（以稀贵金属和铜产业为重点）的产业定位及发展方向</w:t>
                  </w:r>
                  <w:r>
                    <w:rPr>
                      <w:rFonts w:hint="eastAsia" w:ascii="Times New Roman" w:hAnsi="Times New Roman" w:eastAsia="宋体" w:cs="Times New Roman"/>
                      <w:color w:val="auto"/>
                      <w:sz w:val="18"/>
                      <w:szCs w:val="18"/>
                      <w:lang w:val="en-US" w:eastAsia="zh-CN"/>
                    </w:rPr>
                    <w:t>。</w:t>
                  </w:r>
                </w:p>
              </w:tc>
              <w:tc>
                <w:tcPr>
                  <w:tcW w:w="406" w:type="pct"/>
                  <w:tcBorders>
                    <w:tl2br w:val="nil"/>
                    <w:tr2bl w:val="nil"/>
                  </w:tcBorders>
                  <w:noWrap w:val="0"/>
                  <w:vAlign w:val="center"/>
                </w:tcPr>
                <w:p w14:paraId="3C904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8752D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tcBorders>
                    <w:tl2br w:val="nil"/>
                    <w:tr2bl w:val="nil"/>
                  </w:tcBorders>
                  <w:noWrap w:val="0"/>
                  <w:vAlign w:val="center"/>
                </w:tcPr>
                <w:p w14:paraId="3E5733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841" w:type="pct"/>
                  <w:tcBorders>
                    <w:tl2br w:val="nil"/>
                    <w:tr2bl w:val="nil"/>
                  </w:tcBorders>
                  <w:noWrap w:val="0"/>
                  <w:vAlign w:val="center"/>
                </w:tcPr>
                <w:p w14:paraId="5CF386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推动落后低效和过剩产能淘汰。认真落实产业政策，严格环境影响评价，坚决遏制高耗能高排放项目盲目发展，加快淘汰落后产能，推动产业结构优化升级。严格执行质量、环保、能耗、安全等法规标准，加大钢铁、水泥熟料、烧结砖瓦、电解铝、电解锰等行业落后产能淘汰和过剩产能压减力度。</w:t>
                  </w:r>
                </w:p>
              </w:tc>
              <w:tc>
                <w:tcPr>
                  <w:tcW w:w="2316" w:type="pct"/>
                  <w:tcBorders>
                    <w:tl2br w:val="nil"/>
                    <w:tr2bl w:val="nil"/>
                  </w:tcBorders>
                  <w:noWrap w:val="0"/>
                  <w:vAlign w:val="center"/>
                </w:tcPr>
                <w:p w14:paraId="3F8C77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highlight w:val="none"/>
                    </w:rPr>
                    <w:t>本项目为</w:t>
                  </w:r>
                  <w:r>
                    <w:rPr>
                      <w:rFonts w:hint="eastAsia" w:cs="Times New Roman"/>
                      <w:color w:val="auto"/>
                      <w:sz w:val="18"/>
                      <w:szCs w:val="18"/>
                      <w:highlight w:val="none"/>
                      <w:lang w:val="en-US" w:eastAsia="zh-CN"/>
                    </w:rPr>
                    <w:t>易门铜业渣选工艺提效升级改造项目</w:t>
                  </w:r>
                  <w:r>
                    <w:rPr>
                      <w:rFonts w:hint="default" w:ascii="Times New Roman" w:hAnsi="Times New Roman" w:eastAsia="宋体" w:cs="Times New Roman"/>
                      <w:color w:val="auto"/>
                      <w:sz w:val="18"/>
                      <w:szCs w:val="18"/>
                      <w:lang w:val="zh-CN"/>
                    </w:rPr>
                    <w:t>，符合《产业结构调整指导目录（20</w:t>
                  </w:r>
                  <w:r>
                    <w:rPr>
                      <w:rFonts w:hint="default" w:ascii="Times New Roman" w:hAnsi="Times New Roman" w:eastAsia="宋体" w:cs="Times New Roman"/>
                      <w:color w:val="auto"/>
                      <w:sz w:val="18"/>
                      <w:szCs w:val="18"/>
                      <w:lang w:val="en-US" w:eastAsia="zh-CN"/>
                    </w:rPr>
                    <w:t>24</w:t>
                  </w:r>
                  <w:r>
                    <w:rPr>
                      <w:rFonts w:hint="default" w:ascii="Times New Roman" w:hAnsi="Times New Roman" w:eastAsia="宋体" w:cs="Times New Roman"/>
                      <w:color w:val="auto"/>
                      <w:sz w:val="18"/>
                      <w:szCs w:val="18"/>
                      <w:lang w:val="zh-CN"/>
                    </w:rPr>
                    <w:t>年本）》</w:t>
                  </w:r>
                  <w:r>
                    <w:rPr>
                      <w:rFonts w:hint="default" w:ascii="Times New Roman" w:hAnsi="Times New Roman" w:eastAsia="宋体" w:cs="Times New Roman"/>
                      <w:color w:val="auto"/>
                      <w:sz w:val="18"/>
                      <w:szCs w:val="18"/>
                      <w:lang w:val="en-US" w:eastAsia="zh-CN"/>
                    </w:rPr>
                    <w:t>和</w:t>
                  </w:r>
                  <w:r>
                    <w:rPr>
                      <w:rFonts w:hint="default" w:ascii="Times New Roman" w:hAnsi="Times New Roman" w:eastAsia="宋体" w:cs="Times New Roman"/>
                      <w:color w:val="auto"/>
                      <w:sz w:val="18"/>
                      <w:szCs w:val="18"/>
                      <w:lang w:val="zh-CN"/>
                    </w:rPr>
                    <w:t>《产业发展与转移指导目录（2018年本）》</w:t>
                  </w:r>
                  <w:r>
                    <w:rPr>
                      <w:rFonts w:hint="default" w:ascii="Times New Roman" w:hAnsi="Times New Roman" w:eastAsia="宋体" w:cs="Times New Roman"/>
                      <w:color w:val="auto"/>
                      <w:sz w:val="18"/>
                      <w:szCs w:val="18"/>
                      <w:lang w:val="zh-CN" w:eastAsia="zh-CN"/>
                    </w:rPr>
                    <w:t>，</w:t>
                  </w:r>
                  <w:r>
                    <w:rPr>
                      <w:rFonts w:hint="default" w:ascii="Times New Roman" w:hAnsi="Times New Roman" w:eastAsia="宋体" w:cs="Times New Roman"/>
                      <w:color w:val="auto"/>
                      <w:sz w:val="18"/>
                      <w:szCs w:val="18"/>
                      <w:lang w:val="en-US" w:eastAsia="zh-CN"/>
                    </w:rPr>
                    <w:t>不属于</w:t>
                  </w:r>
                  <w:r>
                    <w:rPr>
                      <w:rFonts w:hint="default" w:ascii="Times New Roman" w:hAnsi="Times New Roman" w:eastAsia="宋体" w:cs="Times New Roman"/>
                      <w:color w:val="auto"/>
                      <w:sz w:val="18"/>
                      <w:szCs w:val="18"/>
                      <w:lang w:val="zh-CN"/>
                    </w:rPr>
                    <w:t>淘汰和过剩产能。</w:t>
                  </w:r>
                </w:p>
              </w:tc>
              <w:tc>
                <w:tcPr>
                  <w:tcW w:w="406" w:type="pct"/>
                  <w:tcBorders>
                    <w:tl2br w:val="nil"/>
                    <w:tr2bl w:val="nil"/>
                  </w:tcBorders>
                  <w:noWrap w:val="0"/>
                  <w:vAlign w:val="center"/>
                </w:tcPr>
                <w:p w14:paraId="7EA82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ED2D3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tcBorders>
                    <w:tl2br w:val="nil"/>
                    <w:tr2bl w:val="nil"/>
                  </w:tcBorders>
                  <w:noWrap w:val="0"/>
                  <w:vAlign w:val="center"/>
                </w:tcPr>
                <w:p w14:paraId="4F4EDB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841" w:type="pct"/>
                  <w:tcBorders>
                    <w:tl2br w:val="nil"/>
                    <w:tr2bl w:val="nil"/>
                  </w:tcBorders>
                  <w:noWrap w:val="0"/>
                  <w:vAlign w:val="center"/>
                </w:tcPr>
                <w:p w14:paraId="316C6D8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提升行业资源能源利用效率，严格执行产品能效、水效、能耗限额、碳排放、污染物排放等标准。</w:t>
                  </w:r>
                </w:p>
              </w:tc>
              <w:tc>
                <w:tcPr>
                  <w:tcW w:w="2316" w:type="pct"/>
                  <w:tcBorders>
                    <w:tl2br w:val="nil"/>
                    <w:tr2bl w:val="nil"/>
                  </w:tcBorders>
                  <w:noWrap w:val="0"/>
                  <w:vAlign w:val="center"/>
                </w:tcPr>
                <w:p w14:paraId="6E7C9E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项目运营期</w:t>
                  </w:r>
                  <w:r>
                    <w:rPr>
                      <w:rFonts w:hint="eastAsia" w:cs="Times New Roman"/>
                      <w:color w:val="auto"/>
                      <w:sz w:val="18"/>
                      <w:szCs w:val="18"/>
                      <w:highlight w:val="none"/>
                      <w:lang w:val="en-US" w:eastAsia="zh-CN"/>
                    </w:rPr>
                    <w:t>投料和粗碎</w:t>
                  </w:r>
                  <w:r>
                    <w:rPr>
                      <w:rFonts w:hint="eastAsia" w:ascii="Times New Roman" w:hAnsi="Times New Roman" w:cs="Times New Roman"/>
                      <w:color w:val="auto"/>
                      <w:sz w:val="18"/>
                      <w:szCs w:val="18"/>
                      <w:highlight w:val="none"/>
                      <w:lang w:val="en-US" w:eastAsia="zh-CN"/>
                    </w:rPr>
                    <w:t>产生的</w:t>
                  </w:r>
                  <w:r>
                    <w:rPr>
                      <w:rFonts w:hint="eastAsia" w:cs="Times New Roman"/>
                      <w:color w:val="auto"/>
                      <w:sz w:val="18"/>
                      <w:szCs w:val="18"/>
                      <w:highlight w:val="none"/>
                      <w:lang w:val="en-US" w:eastAsia="zh-CN"/>
                    </w:rPr>
                    <w:t>粉尘</w:t>
                  </w:r>
                  <w:r>
                    <w:rPr>
                      <w:rFonts w:hint="eastAsia" w:ascii="Times New Roman" w:hAnsi="Times New Roman" w:cs="Times New Roman"/>
                      <w:color w:val="auto"/>
                      <w:sz w:val="18"/>
                      <w:szCs w:val="18"/>
                      <w:highlight w:val="none"/>
                      <w:lang w:val="en-US" w:eastAsia="zh-CN"/>
                    </w:rPr>
                    <w:t>经集气罩收集进入布袋除尘器处理达标后，通过一根</w:t>
                  </w:r>
                  <w:r>
                    <w:rPr>
                      <w:rFonts w:hint="eastAsia" w:cs="Times New Roman"/>
                      <w:color w:val="auto"/>
                      <w:sz w:val="18"/>
                      <w:szCs w:val="18"/>
                      <w:highlight w:val="none"/>
                      <w:lang w:val="en-US" w:eastAsia="zh-CN"/>
                    </w:rPr>
                    <w:t>17.5</w:t>
                  </w:r>
                  <w:r>
                    <w:rPr>
                      <w:rFonts w:hint="eastAsia" w:ascii="Times New Roman" w:hAnsi="Times New Roman" w:cs="Times New Roman"/>
                      <w:color w:val="auto"/>
                      <w:sz w:val="18"/>
                      <w:szCs w:val="18"/>
                      <w:highlight w:val="none"/>
                      <w:lang w:val="en-US" w:eastAsia="zh-CN"/>
                    </w:rPr>
                    <w:t>m</w:t>
                  </w:r>
                  <w:r>
                    <w:rPr>
                      <w:rFonts w:hint="eastAsia" w:cs="Times New Roman"/>
                      <w:color w:val="auto"/>
                      <w:sz w:val="18"/>
                      <w:szCs w:val="18"/>
                      <w:highlight w:val="none"/>
                      <w:lang w:val="en-US" w:eastAsia="zh-CN"/>
                    </w:rPr>
                    <w:t>高</w:t>
                  </w:r>
                  <w:r>
                    <w:rPr>
                      <w:rFonts w:hint="eastAsia" w:ascii="Times New Roman" w:hAnsi="Times New Roman" w:cs="Times New Roman"/>
                      <w:color w:val="auto"/>
                      <w:sz w:val="18"/>
                      <w:szCs w:val="18"/>
                      <w:highlight w:val="none"/>
                      <w:lang w:val="en-US" w:eastAsia="zh-CN"/>
                    </w:rPr>
                    <w:t>的排气筒排放</w:t>
                  </w:r>
                  <w:r>
                    <w:rPr>
                      <w:rFonts w:hint="eastAsia" w:cs="Times New Roman"/>
                      <w:color w:val="auto"/>
                      <w:sz w:val="18"/>
                      <w:szCs w:val="18"/>
                      <w:highlight w:val="none"/>
                      <w:lang w:val="en-US" w:eastAsia="zh-CN"/>
                    </w:rPr>
                    <w:t>；中碎和细碎工段产生的粉尘经集气罩收集进入布袋除尘器处理后，通过一根17.5高的排气筒排放；筛分工段产生的粉尘经集气罩收集后进入布袋除尘器处理后，通过1根23.5m高的排气筒排放；</w:t>
                  </w:r>
                  <w:r>
                    <w:rPr>
                      <w:rFonts w:hint="eastAsia" w:ascii="Times New Roman" w:hAnsi="Times New Roman" w:eastAsia="宋体" w:cs="Times New Roman"/>
                      <w:color w:val="auto"/>
                      <w:sz w:val="18"/>
                      <w:szCs w:val="18"/>
                      <w:lang w:val="en-US" w:eastAsia="zh-CN"/>
                    </w:rPr>
                    <w:t>生产废水循环使用，不外排</w:t>
                  </w:r>
                  <w:r>
                    <w:rPr>
                      <w:rFonts w:hint="eastAsia" w:cs="Times New Roman"/>
                      <w:color w:val="auto"/>
                      <w:sz w:val="18"/>
                      <w:szCs w:val="18"/>
                      <w:lang w:val="en-US" w:eastAsia="zh-CN"/>
                    </w:rPr>
                    <w:t>；</w:t>
                  </w:r>
                  <w:r>
                    <w:rPr>
                      <w:rFonts w:hint="eastAsia" w:cs="Times New Roman"/>
                      <w:color w:val="000000"/>
                      <w:kern w:val="0"/>
                      <w:sz w:val="18"/>
                      <w:szCs w:val="18"/>
                      <w:lang w:val="en-US" w:eastAsia="zh-CN" w:bidi="ar"/>
                    </w:rPr>
                    <w:t>车辆清洗废水收集沉淀后回用，不外排；</w:t>
                  </w:r>
                  <w:r>
                    <w:rPr>
                      <w:rFonts w:hint="eastAsia" w:ascii="Times New Roman" w:hAnsi="Times New Roman" w:eastAsia="宋体" w:cs="Times New Roman"/>
                      <w:color w:val="000000"/>
                      <w:kern w:val="0"/>
                      <w:sz w:val="18"/>
                      <w:szCs w:val="18"/>
                      <w:lang w:val="en-US" w:eastAsia="zh-CN" w:bidi="ar"/>
                    </w:rPr>
                    <w:t>生活污水收集后进入生活污水处理站（200m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/d），处理后回用于厂区绿化、道路洒水，不外排</w:t>
                  </w:r>
                  <w:r>
                    <w:rPr>
                      <w:rFonts w:hint="eastAsia" w:ascii="Times New Roman" w:hAnsi="Times New Roman" w:eastAsia="宋体" w:cs="Times New Roman"/>
                      <w:color w:val="auto"/>
                      <w:sz w:val="18"/>
                      <w:szCs w:val="18"/>
                      <w:lang w:val="en-US" w:eastAsia="zh-CN"/>
                    </w:rPr>
                    <w:t>，生产过程中使用清洁能源电能。</w:t>
                  </w:r>
                </w:p>
              </w:tc>
              <w:tc>
                <w:tcPr>
                  <w:tcW w:w="406" w:type="pct"/>
                  <w:tcBorders>
                    <w:tl2br w:val="nil"/>
                    <w:tr2bl w:val="nil"/>
                  </w:tcBorders>
                  <w:noWrap w:val="0"/>
                  <w:vAlign w:val="center"/>
                </w:tcPr>
                <w:p w14:paraId="30A27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61A2B8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tcBorders>
                    <w:tl2br w:val="nil"/>
                    <w:tr2bl w:val="nil"/>
                  </w:tcBorders>
                  <w:noWrap w:val="0"/>
                  <w:vAlign w:val="center"/>
                </w:tcPr>
                <w:p w14:paraId="628229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控制温室气体排放</w:t>
                  </w:r>
                </w:p>
              </w:tc>
              <w:tc>
                <w:tcPr>
                  <w:tcW w:w="1841" w:type="pct"/>
                  <w:tcBorders>
                    <w:tl2br w:val="nil"/>
                    <w:tr2bl w:val="nil"/>
                  </w:tcBorders>
                  <w:noWrap w:val="0"/>
                  <w:vAlign w:val="center"/>
                </w:tcPr>
                <w:p w14:paraId="4D1B37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控制工业行业二氧化碳排放。推动钢铁、水泥、石化、化工、有色等高耗能行业节能降耗，严格产能置换监管，提升系统电气化水平，强化先进低碳技术研发及应用，推进能效对标活动，提升能源利用效率。</w:t>
                  </w:r>
                </w:p>
              </w:tc>
              <w:tc>
                <w:tcPr>
                  <w:tcW w:w="2316" w:type="pct"/>
                  <w:tcBorders>
                    <w:tl2br w:val="nil"/>
                    <w:tr2bl w:val="nil"/>
                  </w:tcBorders>
                  <w:noWrap w:val="0"/>
                  <w:vAlign w:val="center"/>
                </w:tcPr>
                <w:p w14:paraId="1C6D81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highlight w:val="none"/>
                    </w:rPr>
                    <w:t>本项目为</w:t>
                  </w:r>
                  <w:r>
                    <w:rPr>
                      <w:rFonts w:hint="eastAsia" w:cs="Times New Roman"/>
                      <w:color w:val="auto"/>
                      <w:sz w:val="18"/>
                      <w:szCs w:val="18"/>
                      <w:highlight w:val="none"/>
                      <w:lang w:val="en-US" w:eastAsia="zh-CN"/>
                    </w:rPr>
                    <w:t>易门铜业渣选工艺提效升级改造项目</w:t>
                  </w:r>
                  <w:r>
                    <w:rPr>
                      <w:rFonts w:hint="default" w:ascii="Times New Roman" w:hAnsi="Times New Roman" w:eastAsia="宋体" w:cs="Times New Roman"/>
                      <w:color w:val="auto"/>
                      <w:sz w:val="18"/>
                      <w:szCs w:val="18"/>
                      <w:lang w:val="zh-CN"/>
                    </w:rPr>
                    <w:t>，</w:t>
                  </w:r>
                  <w:r>
                    <w:rPr>
                      <w:rFonts w:hint="default" w:ascii="Times New Roman" w:hAnsi="Times New Roman" w:eastAsia="宋体" w:cs="Times New Roman"/>
                      <w:color w:val="auto"/>
                      <w:sz w:val="18"/>
                      <w:szCs w:val="18"/>
                      <w:lang w:val="en-US" w:eastAsia="zh-CN"/>
                    </w:rPr>
                    <w:t>不属于</w:t>
                  </w:r>
                  <w:r>
                    <w:rPr>
                      <w:rFonts w:hint="default" w:ascii="Times New Roman" w:hAnsi="Times New Roman" w:eastAsia="宋体" w:cs="Times New Roman"/>
                      <w:color w:val="auto"/>
                      <w:sz w:val="18"/>
                      <w:szCs w:val="18"/>
                      <w:lang w:val="zh-CN"/>
                    </w:rPr>
                    <w:t>高耗能</w:t>
                  </w:r>
                  <w:r>
                    <w:rPr>
                      <w:rFonts w:hint="default" w:ascii="Times New Roman" w:hAnsi="Times New Roman" w:eastAsia="宋体" w:cs="Times New Roman"/>
                      <w:color w:val="auto"/>
                      <w:sz w:val="18"/>
                      <w:szCs w:val="18"/>
                      <w:lang w:val="en-US" w:eastAsia="zh-CN"/>
                    </w:rPr>
                    <w:t>项目，</w:t>
                  </w:r>
                  <w:r>
                    <w:rPr>
                      <w:rFonts w:hint="default" w:ascii="Times New Roman" w:hAnsi="Times New Roman" w:eastAsia="宋体" w:cs="Times New Roman"/>
                      <w:color w:val="auto"/>
                      <w:sz w:val="18"/>
                      <w:szCs w:val="18"/>
                      <w:lang w:val="zh-CN"/>
                    </w:rPr>
                    <w:t>项目使用电作为燃料，属于清洁能源</w:t>
                  </w:r>
                  <w:r>
                    <w:rPr>
                      <w:rFonts w:hint="default" w:ascii="Times New Roman" w:hAnsi="Times New Roman" w:eastAsia="宋体" w:cs="Times New Roman"/>
                      <w:color w:val="auto"/>
                      <w:sz w:val="18"/>
                      <w:szCs w:val="18"/>
                      <w:lang w:val="en-US" w:eastAsia="zh-CN"/>
                    </w:rPr>
                    <w:t>。</w:t>
                  </w:r>
                </w:p>
              </w:tc>
              <w:tc>
                <w:tcPr>
                  <w:tcW w:w="406" w:type="pct"/>
                  <w:tcBorders>
                    <w:tl2br w:val="nil"/>
                    <w:tr2bl w:val="nil"/>
                  </w:tcBorders>
                  <w:noWrap w:val="0"/>
                  <w:vAlign w:val="center"/>
                </w:tcPr>
                <w:p w14:paraId="18B1A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407E3D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6" w:type="pct"/>
                  <w:tcBorders>
                    <w:tl2br w:val="nil"/>
                    <w:tr2bl w:val="nil"/>
                  </w:tcBorders>
                  <w:noWrap w:val="0"/>
                  <w:vAlign w:val="center"/>
                </w:tcPr>
                <w:p w14:paraId="596F2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持续推进污染源治理</w:t>
                  </w:r>
                </w:p>
              </w:tc>
              <w:tc>
                <w:tcPr>
                  <w:tcW w:w="1841" w:type="pct"/>
                  <w:tcBorders>
                    <w:tl2br w:val="nil"/>
                    <w:tr2bl w:val="nil"/>
                  </w:tcBorders>
                  <w:noWrap w:val="0"/>
                  <w:vAlign w:val="center"/>
                </w:tcPr>
                <w:p w14:paraId="799C497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实施重点行业NO</w:t>
                  </w:r>
                  <w:r>
                    <w:rPr>
                      <w:rFonts w:hint="eastAsia" w:cs="Times New Roman"/>
                      <w:color w:val="auto"/>
                      <w:sz w:val="18"/>
                      <w:szCs w:val="18"/>
                      <w:lang w:val="en-US" w:eastAsia="zh-CN"/>
                    </w:rPr>
                    <w:t>x</w:t>
                  </w:r>
                  <w:r>
                    <w:rPr>
                      <w:rFonts w:hint="default" w:ascii="Times New Roman" w:hAnsi="Times New Roman" w:eastAsia="宋体" w:cs="Times New Roman"/>
                      <w:color w:val="auto"/>
                      <w:sz w:val="18"/>
                      <w:szCs w:val="18"/>
                      <w:lang w:val="zh-CN"/>
                    </w:rPr>
                    <w:t>等污染物深度治理。全面完成钢铁和燃煤发电企业超低排放改造。严格控制物料储存、输送及生产工艺过程无组织排放，全面提升无组织排放管控水平。</w:t>
                  </w:r>
                </w:p>
              </w:tc>
              <w:tc>
                <w:tcPr>
                  <w:tcW w:w="2316" w:type="pct"/>
                  <w:tcBorders>
                    <w:tl2br w:val="nil"/>
                    <w:tr2bl w:val="nil"/>
                  </w:tcBorders>
                  <w:noWrap w:val="0"/>
                  <w:vAlign w:val="center"/>
                </w:tcPr>
                <w:p w14:paraId="59ED2C8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铜冶炼渣堆场和缓冷场拆包区产生的无组织粉尘采用洒水降尘措施减少粉尘排放量；皮带输送原料过程中产生的粉尘，通过对皮带机走廊设置围挡，减少粉尘排放量；药剂废气加强通风，上料、破碎以及筛分工段产生的无组织粉尘通过厂房阻隔和喷雾降尘措施减少粉尘排放量；</w:t>
                  </w:r>
                  <w:r>
                    <w:rPr>
                      <w:rFonts w:hint="default" w:ascii="Times New Roman" w:hAnsi="Times New Roman" w:eastAsia="宋体" w:cs="Times New Roman"/>
                      <w:color w:val="auto"/>
                      <w:sz w:val="18"/>
                      <w:szCs w:val="18"/>
                      <w:lang w:val="zh-CN"/>
                    </w:rPr>
                    <w:t>项目区配套设置</w:t>
                  </w:r>
                  <w:r>
                    <w:rPr>
                      <w:rFonts w:hint="default" w:ascii="Times New Roman" w:hAnsi="Times New Roman" w:eastAsia="宋体" w:cs="Times New Roman"/>
                      <w:color w:val="auto"/>
                      <w:sz w:val="18"/>
                      <w:szCs w:val="18"/>
                      <w:lang w:val="en-US" w:eastAsia="zh-CN"/>
                    </w:rPr>
                    <w:t>车辆冲洗区及</w:t>
                  </w:r>
                  <w:r>
                    <w:rPr>
                      <w:rFonts w:hint="default" w:ascii="Times New Roman" w:hAnsi="Times New Roman" w:eastAsia="宋体" w:cs="Times New Roman"/>
                      <w:color w:val="auto"/>
                      <w:sz w:val="18"/>
                      <w:szCs w:val="18"/>
                      <w:lang w:val="zh-CN"/>
                    </w:rPr>
                    <w:t>一个洗车废水沉淀池，车辆运输扬尘可通过</w:t>
                  </w:r>
                  <w:r>
                    <w:rPr>
                      <w:rFonts w:hint="default" w:ascii="Times New Roman" w:hAnsi="Times New Roman" w:eastAsia="宋体" w:cs="Times New Roman"/>
                      <w:color w:val="auto"/>
                      <w:sz w:val="18"/>
                      <w:szCs w:val="18"/>
                      <w:lang w:val="en-US" w:eastAsia="zh-CN"/>
                    </w:rPr>
                    <w:t>厂区道路硬化、</w:t>
                  </w:r>
                  <w:r>
                    <w:rPr>
                      <w:rFonts w:hint="default" w:ascii="Times New Roman" w:hAnsi="Times New Roman" w:eastAsia="宋体" w:cs="Times New Roman"/>
                      <w:color w:val="auto"/>
                      <w:sz w:val="18"/>
                      <w:szCs w:val="18"/>
                      <w:lang w:val="zh-CN"/>
                    </w:rPr>
                    <w:t>加强路面养护及运输道路洒水控尘、对出场车辆轮胎进行清洗及做好运输车辆车厢采用篷布措施</w:t>
                  </w:r>
                  <w:r>
                    <w:rPr>
                      <w:rFonts w:hint="default" w:ascii="Times New Roman" w:hAnsi="Times New Roman" w:eastAsia="宋体" w:cs="Times New Roman"/>
                      <w:color w:val="auto"/>
                      <w:sz w:val="18"/>
                      <w:szCs w:val="18"/>
                      <w:lang w:val="zh-CN" w:eastAsia="zh-CN"/>
                    </w:rPr>
                    <w:t>来得到控制</w:t>
                  </w:r>
                  <w:r>
                    <w:rPr>
                      <w:rFonts w:hint="eastAsia" w:ascii="Times New Roman" w:hAnsi="Times New Roman" w:eastAsia="宋体" w:cs="Times New Roman"/>
                      <w:color w:val="auto"/>
                      <w:sz w:val="18"/>
                      <w:szCs w:val="18"/>
                      <w:lang w:val="en-US" w:eastAsia="zh-CN"/>
                    </w:rPr>
                    <w:t>运输车辆扬尘；</w:t>
                  </w:r>
                  <w:r>
                    <w:rPr>
                      <w:rFonts w:hint="default" w:ascii="Times New Roman" w:hAnsi="Times New Roman" w:eastAsia="宋体" w:cs="Times New Roman"/>
                      <w:color w:val="auto"/>
                      <w:sz w:val="18"/>
                      <w:szCs w:val="18"/>
                      <w:lang w:val="en-US" w:eastAsia="zh-CN"/>
                    </w:rPr>
                    <w:t>机械及运输车辆燃油废气通过合理安排机械使用时间、车辆限速限载等措施减少施工机械废气和运输废气的产生</w:t>
                  </w:r>
                  <w:r>
                    <w:rPr>
                      <w:rFonts w:hint="eastAsia" w:ascii="Times New Roman" w:hAnsi="Times New Roman" w:eastAsia="宋体" w:cs="Times New Roman"/>
                      <w:color w:val="auto"/>
                      <w:sz w:val="18"/>
                      <w:szCs w:val="18"/>
                      <w:lang w:val="en-US" w:eastAsia="zh-CN"/>
                    </w:rPr>
                    <w:t>。</w:t>
                  </w:r>
                </w:p>
              </w:tc>
              <w:tc>
                <w:tcPr>
                  <w:tcW w:w="406" w:type="pct"/>
                  <w:tcBorders>
                    <w:tl2br w:val="nil"/>
                    <w:tr2bl w:val="nil"/>
                  </w:tcBorders>
                  <w:noWrap w:val="0"/>
                  <w:vAlign w:val="center"/>
                </w:tcPr>
                <w:p w14:paraId="36649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6DFA8E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tcBorders>
                    <w:tl2br w:val="nil"/>
                    <w:tr2bl w:val="nil"/>
                  </w:tcBorders>
                  <w:noWrap w:val="0"/>
                  <w:vAlign w:val="center"/>
                </w:tcPr>
                <w:p w14:paraId="7C94F0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推进土壤安全利用</w:t>
                  </w:r>
                </w:p>
              </w:tc>
              <w:tc>
                <w:tcPr>
                  <w:tcW w:w="1841" w:type="pct"/>
                  <w:tcBorders>
                    <w:tl2br w:val="nil"/>
                    <w:tr2bl w:val="nil"/>
                  </w:tcBorders>
                  <w:noWrap w:val="0"/>
                  <w:vAlign w:val="center"/>
                </w:tcPr>
                <w:p w14:paraId="7146C5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lang w:val="zh-CN"/>
                    </w:rPr>
                    <w:t>以重点行业企业用地土壤污染状况调查确定的潜在高风险地块为重点，建立全省建设用地优先管控名录，开展进一步土壤污染状况调查和风险评估。</w:t>
                  </w:r>
                </w:p>
              </w:tc>
              <w:tc>
                <w:tcPr>
                  <w:tcW w:w="2316" w:type="pct"/>
                  <w:tcBorders>
                    <w:tl2br w:val="nil"/>
                    <w:tr2bl w:val="nil"/>
                  </w:tcBorders>
                  <w:noWrap w:val="0"/>
                  <w:vAlign w:val="center"/>
                </w:tcPr>
                <w:p w14:paraId="1E6E77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本项目位于</w:t>
                  </w:r>
                  <w:r>
                    <w:rPr>
                      <w:rFonts w:hint="eastAsia" w:cs="Times New Roman"/>
                      <w:color w:val="auto"/>
                      <w:sz w:val="18"/>
                      <w:szCs w:val="18"/>
                      <w:lang w:val="en-US" w:eastAsia="zh-CN"/>
                    </w:rPr>
                    <w:t>云南易门</w:t>
                  </w:r>
                  <w:r>
                    <w:rPr>
                      <w:rFonts w:hint="eastAsia" w:ascii="Times New Roman" w:hAnsi="Times New Roman" w:cs="Times New Roman"/>
                      <w:color w:val="auto"/>
                      <w:sz w:val="18"/>
                      <w:szCs w:val="18"/>
                      <w:lang w:val="en-US" w:eastAsia="zh-CN"/>
                    </w:rPr>
                    <w:t>产业园区</w:t>
                  </w:r>
                  <w:r>
                    <w:rPr>
                      <w:rFonts w:hint="eastAsia" w:cs="Times New Roman"/>
                      <w:color w:val="auto"/>
                      <w:sz w:val="18"/>
                      <w:szCs w:val="18"/>
                      <w:lang w:val="en-US" w:eastAsia="zh-CN"/>
                    </w:rPr>
                    <w:t>大椿树</w:t>
                  </w:r>
                  <w:r>
                    <w:rPr>
                      <w:rFonts w:hint="eastAsia" w:ascii="Times New Roman" w:hAnsi="Times New Roman" w:cs="Times New Roman"/>
                      <w:color w:val="auto"/>
                      <w:sz w:val="18"/>
                      <w:szCs w:val="18"/>
                      <w:lang w:val="en-US" w:eastAsia="zh-CN"/>
                    </w:rPr>
                    <w:t>片区</w:t>
                  </w:r>
                  <w:r>
                    <w:rPr>
                      <w:rFonts w:hint="eastAsia" w:cs="Times New Roman"/>
                      <w:color w:val="auto"/>
                      <w:sz w:val="18"/>
                      <w:szCs w:val="18"/>
                      <w:lang w:val="en-US" w:eastAsia="zh-CN"/>
                    </w:rPr>
                    <w:t>易门铜业有限公司厂区</w:t>
                  </w:r>
                  <w:r>
                    <w:rPr>
                      <w:rFonts w:hint="eastAsia" w:ascii="Times New Roman" w:hAnsi="Times New Roman" w:cs="Times New Roman"/>
                      <w:color w:val="auto"/>
                      <w:sz w:val="18"/>
                      <w:szCs w:val="18"/>
                      <w:lang w:val="en-US" w:eastAsia="zh-CN"/>
                    </w:rPr>
                    <w:t>内，</w:t>
                  </w:r>
                  <w:r>
                    <w:rPr>
                      <w:rFonts w:hint="eastAsia" w:cs="Times New Roman"/>
                      <w:color w:val="auto"/>
                      <w:sz w:val="18"/>
                      <w:szCs w:val="18"/>
                      <w:lang w:val="en-US" w:eastAsia="zh-CN"/>
                    </w:rPr>
                    <w:t>易门铜业有限公司</w:t>
                  </w:r>
                  <w:r>
                    <w:rPr>
                      <w:rFonts w:hint="default" w:ascii="Times New Roman" w:hAnsi="Times New Roman" w:eastAsia="宋体" w:cs="Times New Roman"/>
                      <w:color w:val="auto"/>
                      <w:sz w:val="18"/>
                      <w:szCs w:val="18"/>
                      <w:lang w:val="en-US" w:eastAsia="zh-CN"/>
                    </w:rPr>
                    <w:t>已开展了</w:t>
                  </w:r>
                  <w:r>
                    <w:rPr>
                      <w:rFonts w:hint="default" w:ascii="Times New Roman" w:hAnsi="Times New Roman" w:eastAsia="宋体" w:cs="Times New Roman"/>
                      <w:color w:val="auto"/>
                      <w:sz w:val="18"/>
                      <w:szCs w:val="18"/>
                      <w:lang w:val="zh-CN"/>
                    </w:rPr>
                    <w:t>土壤污染状况调查和风险评估，</w:t>
                  </w:r>
                  <w:r>
                    <w:rPr>
                      <w:rFonts w:hint="default" w:ascii="Times New Roman" w:hAnsi="Times New Roman" w:eastAsia="宋体" w:cs="Times New Roman"/>
                      <w:color w:val="auto"/>
                      <w:sz w:val="18"/>
                      <w:szCs w:val="18"/>
                      <w:lang w:val="en-US" w:eastAsia="zh-CN"/>
                    </w:rPr>
                    <w:t>并已备案。</w:t>
                  </w:r>
                </w:p>
              </w:tc>
              <w:tc>
                <w:tcPr>
                  <w:tcW w:w="406" w:type="pct"/>
                  <w:tcBorders>
                    <w:tl2br w:val="nil"/>
                    <w:tr2bl w:val="nil"/>
                  </w:tcBorders>
                  <w:noWrap w:val="0"/>
                  <w:vAlign w:val="center"/>
                </w:tcPr>
                <w:p w14:paraId="26461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bl>
          <w:p w14:paraId="3403E052">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rPr>
            </w:pPr>
            <w:r>
              <w:rPr>
                <w:rFonts w:hint="eastAsia"/>
                <w:color w:val="auto"/>
                <w:lang w:val="en-US" w:eastAsia="zh-CN"/>
              </w:rPr>
              <w:t>由上表可知</w:t>
            </w:r>
            <w:r>
              <w:rPr>
                <w:color w:val="auto"/>
              </w:rPr>
              <w:t>，项目</w:t>
            </w:r>
            <w:r>
              <w:rPr>
                <w:rFonts w:hint="eastAsia"/>
                <w:color w:val="auto"/>
                <w:lang w:val="en-US" w:eastAsia="zh-CN"/>
              </w:rPr>
              <w:t>建设</w:t>
            </w:r>
            <w:r>
              <w:rPr>
                <w:color w:val="auto"/>
              </w:rPr>
              <w:t>符合</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云南省“十四五”生态建设与环境保护规划</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（云环发</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2022</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13号）</w:t>
            </w:r>
            <w:r>
              <w:rPr>
                <w:color w:val="auto"/>
              </w:rPr>
              <w:t>要求。</w:t>
            </w:r>
          </w:p>
          <w:p w14:paraId="216E3C22">
            <w:pPr>
              <w:pStyle w:val="5"/>
              <w:keepNext w:val="0"/>
              <w:keepLines w:val="0"/>
              <w:pageBreakBefore w:val="0"/>
              <w:widowControl w:val="0"/>
              <w:suppressLineNumbers w:val="0"/>
              <w:kinsoku/>
              <w:wordWrap/>
              <w:overflowPunct/>
              <w:topLinePunct w:val="0"/>
              <w:autoSpaceDE/>
              <w:autoSpaceDN/>
              <w:bidi w:val="0"/>
              <w:adjustRightInd/>
              <w:snapToGrid/>
              <w:spacing w:before="0" w:line="360" w:lineRule="auto"/>
              <w:ind w:left="0" w:right="0" w:firstLine="482" w:firstLineChars="200"/>
              <w:jc w:val="both"/>
              <w:textAlignment w:val="auto"/>
              <w:rPr>
                <w:rFonts w:hint="eastAsia" w:ascii="Times New Roman" w:hAnsi="Times New Roman" w:eastAsia="宋体" w:cs="Times New Roman"/>
                <w:color w:val="auto"/>
                <w:sz w:val="24"/>
                <w:szCs w:val="22"/>
                <w:highlight w:val="none"/>
                <w:lang w:val="en-US" w:eastAsia="zh-CN"/>
              </w:rPr>
            </w:pPr>
            <w:r>
              <w:rPr>
                <w:rFonts w:hint="eastAsia" w:cs="Times New Roman"/>
                <w:color w:val="auto"/>
                <w:sz w:val="24"/>
                <w:szCs w:val="22"/>
                <w:highlight w:val="none"/>
                <w:lang w:val="en-US" w:eastAsia="zh-CN"/>
              </w:rPr>
              <w:t>7、</w:t>
            </w:r>
            <w:r>
              <w:rPr>
                <w:rFonts w:hint="eastAsia" w:ascii="Times New Roman" w:hAnsi="Times New Roman" w:eastAsia="宋体" w:cs="Times New Roman"/>
                <w:color w:val="auto"/>
                <w:sz w:val="24"/>
                <w:szCs w:val="22"/>
                <w:highlight w:val="none"/>
                <w:lang w:val="en-US" w:eastAsia="zh-CN"/>
              </w:rPr>
              <w:t>与《</w:t>
            </w:r>
            <w:r>
              <w:rPr>
                <w:rFonts w:hint="default" w:ascii="Times New Roman" w:hAnsi="Times New Roman" w:eastAsia="宋体" w:cs="Times New Roman"/>
                <w:color w:val="auto"/>
                <w:sz w:val="24"/>
                <w:szCs w:val="22"/>
                <w:highlight w:val="none"/>
                <w:lang w:val="en-US" w:eastAsia="zh-CN"/>
              </w:rPr>
              <w:t>玉溪市</w:t>
            </w:r>
            <w:r>
              <w:rPr>
                <w:rFonts w:hint="eastAsia" w:cs="Times New Roman"/>
                <w:color w:val="auto"/>
                <w:sz w:val="24"/>
                <w:szCs w:val="22"/>
                <w:highlight w:val="none"/>
                <w:lang w:val="en-US" w:eastAsia="zh-CN"/>
              </w:rPr>
              <w:t>“十四五”</w:t>
            </w:r>
            <w:r>
              <w:rPr>
                <w:rFonts w:hint="default" w:ascii="Times New Roman" w:hAnsi="Times New Roman" w:eastAsia="宋体" w:cs="Times New Roman"/>
                <w:color w:val="auto"/>
                <w:sz w:val="24"/>
                <w:szCs w:val="22"/>
                <w:highlight w:val="none"/>
                <w:lang w:val="en-US" w:eastAsia="zh-CN"/>
              </w:rPr>
              <w:t>生态建设和环境保护规划》（2021-2025年）</w:t>
            </w:r>
            <w:r>
              <w:rPr>
                <w:rFonts w:hint="eastAsia" w:ascii="Times New Roman" w:hAnsi="Times New Roman" w:eastAsia="宋体" w:cs="Times New Roman"/>
                <w:color w:val="auto"/>
                <w:sz w:val="24"/>
                <w:szCs w:val="22"/>
                <w:highlight w:val="none"/>
                <w:lang w:val="en-US" w:eastAsia="zh-CN"/>
              </w:rPr>
              <w:t>符合性分析</w:t>
            </w:r>
          </w:p>
          <w:p w14:paraId="112D4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本项目与《玉溪市“十四五”生态建设和环境保护规划》（2021-2025年）符合性分析详见下表。</w:t>
            </w:r>
          </w:p>
          <w:p w14:paraId="572F8578">
            <w:pPr>
              <w:pStyle w:val="2"/>
              <w:keepNext w:val="0"/>
              <w:keepLines w:val="0"/>
              <w:pageBreakBefore w:val="0"/>
              <w:widowControl w:val="0"/>
              <w:suppressLineNumbers w:val="0"/>
              <w:wordWrap/>
              <w:topLinePunct w:val="0"/>
              <w:bidi w:val="0"/>
              <w:adjustRightInd/>
              <w:spacing w:before="0" w:beforeAutospacing="0" w:after="0" w:afterAutospacing="0" w:line="360" w:lineRule="auto"/>
              <w:textAlignment w:val="auto"/>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 xml:space="preserve">10  </w:t>
            </w:r>
            <w:r>
              <w:rPr>
                <w:rFonts w:hint="eastAsia" w:ascii="黑体" w:hAnsi="黑体" w:eastAsia="黑体" w:cs="黑体"/>
                <w:b w:val="0"/>
                <w:bCs w:val="0"/>
                <w:color w:val="auto"/>
                <w:sz w:val="21"/>
                <w:szCs w:val="21"/>
                <w:highlight w:val="none"/>
              </w:rPr>
              <w:t>项目与</w:t>
            </w:r>
            <w:r>
              <w:rPr>
                <w:rFonts w:hint="eastAsia" w:ascii="黑体" w:hAnsi="黑体" w:eastAsia="黑体" w:cs="黑体"/>
                <w:b w:val="0"/>
                <w:bCs w:val="0"/>
                <w:color w:val="auto"/>
                <w:sz w:val="21"/>
                <w:szCs w:val="21"/>
                <w:highlight w:val="none"/>
                <w:lang w:val="en-US" w:eastAsia="zh-CN"/>
              </w:rPr>
              <w:t>《玉溪市“十四五”生态建设和环境保护规划》</w:t>
            </w:r>
            <w:r>
              <w:rPr>
                <w:rFonts w:hint="eastAsia" w:ascii="黑体" w:hAnsi="黑体" w:eastAsia="黑体" w:cs="黑体"/>
                <w:b w:val="0"/>
                <w:bCs w:val="0"/>
                <w:color w:val="auto"/>
                <w:sz w:val="21"/>
                <w:szCs w:val="21"/>
                <w:highlight w:val="none"/>
              </w:rPr>
              <w:t>相符性分析</w:t>
            </w:r>
          </w:p>
          <w:tbl>
            <w:tblPr>
              <w:tblStyle w:val="21"/>
              <w:tblW w:w="4995"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37"/>
              <w:gridCol w:w="3894"/>
              <w:gridCol w:w="1820"/>
              <w:gridCol w:w="457"/>
            </w:tblGrid>
            <w:tr w14:paraId="763DCAB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7" w:type="pct"/>
                  <w:noWrap w:val="0"/>
                  <w:vAlign w:val="center"/>
                </w:tcPr>
                <w:p w14:paraId="3BD849DE">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序号</w:t>
                  </w:r>
                </w:p>
              </w:tc>
              <w:tc>
                <w:tcPr>
                  <w:tcW w:w="2778" w:type="pct"/>
                  <w:noWrap w:val="0"/>
                  <w:vAlign w:val="center"/>
                </w:tcPr>
                <w:p w14:paraId="4ABA57B5">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文件要求（摘录）</w:t>
                  </w:r>
                </w:p>
              </w:tc>
              <w:tc>
                <w:tcPr>
                  <w:tcW w:w="1298" w:type="pct"/>
                  <w:noWrap w:val="0"/>
                  <w:vAlign w:val="center"/>
                </w:tcPr>
                <w:p w14:paraId="4258E44E">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项目情况</w:t>
                  </w:r>
                </w:p>
              </w:tc>
              <w:tc>
                <w:tcPr>
                  <w:tcW w:w="326" w:type="pct"/>
                  <w:noWrap w:val="0"/>
                  <w:vAlign w:val="center"/>
                </w:tcPr>
                <w:p w14:paraId="5097A039">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cs="Times New Roman"/>
                      <w:b w:val="0"/>
                      <w:bCs w:val="0"/>
                      <w:color w:val="auto"/>
                      <w:sz w:val="18"/>
                      <w:szCs w:val="18"/>
                      <w:highlight w:val="none"/>
                      <w:lang w:val="en-US" w:eastAsia="zh-CN"/>
                    </w:rPr>
                    <w:t>符合性</w:t>
                  </w:r>
                </w:p>
              </w:tc>
            </w:tr>
            <w:tr w14:paraId="4A0CF7A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597" w:type="pct"/>
                  <w:vMerge w:val="restart"/>
                  <w:noWrap w:val="0"/>
                  <w:vAlign w:val="center"/>
                </w:tcPr>
                <w:p w14:paraId="4DDB64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第五章</w:t>
                  </w:r>
                </w:p>
              </w:tc>
              <w:tc>
                <w:tcPr>
                  <w:tcW w:w="4402" w:type="pct"/>
                  <w:gridSpan w:val="3"/>
                  <w:tcBorders>
                    <w:bottom w:val="single" w:color="auto" w:sz="4" w:space="0"/>
                  </w:tcBorders>
                  <w:noWrap w:val="0"/>
                  <w:vAlign w:val="center"/>
                </w:tcPr>
                <w:p w14:paraId="12331F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eastAsia="宋体" w:cs="Times New Roman"/>
                      <w:color w:val="000000"/>
                      <w:kern w:val="0"/>
                      <w:sz w:val="18"/>
                      <w:szCs w:val="18"/>
                      <w:vertAlign w:val="baseline"/>
                      <w:lang w:val="en-US" w:eastAsia="zh-CN" w:bidi="ar"/>
                    </w:rPr>
                    <w:t>坚持创新引领，推动绿色低碳发展</w:t>
                  </w:r>
                </w:p>
              </w:tc>
            </w:tr>
            <w:tr w14:paraId="1277BC1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5" w:hRule="atLeast"/>
                <w:jc w:val="center"/>
              </w:trPr>
              <w:tc>
                <w:tcPr>
                  <w:tcW w:w="597" w:type="pct"/>
                  <w:vMerge w:val="continue"/>
                  <w:noWrap w:val="0"/>
                  <w:vAlign w:val="center"/>
                </w:tcPr>
                <w:p w14:paraId="26C770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kern w:val="0"/>
                      <w:sz w:val="18"/>
                      <w:szCs w:val="18"/>
                      <w:vertAlign w:val="baseline"/>
                      <w:lang w:val="en-US" w:eastAsia="zh-CN" w:bidi="ar"/>
                    </w:rPr>
                  </w:pPr>
                </w:p>
              </w:tc>
              <w:tc>
                <w:tcPr>
                  <w:tcW w:w="2778" w:type="pct"/>
                  <w:tcBorders>
                    <w:bottom w:val="single" w:color="auto" w:sz="4" w:space="0"/>
                  </w:tcBorders>
                  <w:noWrap w:val="0"/>
                  <w:vAlign w:val="center"/>
                </w:tcPr>
                <w:p w14:paraId="012DF7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第一节 调整产业结构</w:t>
                  </w:r>
                </w:p>
                <w:p w14:paraId="47E7BF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一、加快构建现代化产业体系</w:t>
                  </w:r>
                </w:p>
                <w:p w14:paraId="4B0535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落实碳达峰、碳中和决策部署，严格实行能源消费强度和总量双控，加快节能降碳工艺革新，推进矿冶产业向开放型、创新型和绿色化、信息化、高端化发展。以产业兼并重组、淘汰落后产能和技术升级改造为抓手，推动矿山、冶炼、加工全链条发展，加快钢铁行业转型升级，建成现代化“绿色钢城”。优化发展化工产业，严格控制黄磷产能规模，鼓励发展黄磷深加工和磷酸精细加工为主的精细化工产业，延伸产业链，提高资源综合利用水平和环境综合治理能力。三、淘汰落后产能 认真落实产业政策，严格环境影响评价，坚决遏制高耗能高排放项目盲目发展，加快淘汰落后产能，推动产业结构优化升级。严格执行质量、环保、能耗、安全等法规标准，加大钢铁、水泥熟料等行业落后产能淘汰和过剩产能压减力度。推进建材行业绿色发展，鼓励行业产能整合，严格落实水泥行业产能置换政策，到2025年，全市现有日产2000吨以下的新型干法水泥生产线全部淘汰。淘汰磷化工生产工艺落后、污染严重、不具备安全生产条件的落后产能，提高磷化工产业聚集度。建设高浓度磷复肥生产基地，发展高浓度磷复肥。</w:t>
                  </w:r>
                </w:p>
              </w:tc>
              <w:tc>
                <w:tcPr>
                  <w:tcW w:w="1298" w:type="pct"/>
                  <w:tcBorders>
                    <w:bottom w:val="single" w:color="auto" w:sz="4" w:space="0"/>
                  </w:tcBorders>
                  <w:noWrap w:val="0"/>
                  <w:vAlign w:val="center"/>
                </w:tcPr>
                <w:p w14:paraId="03725519">
                  <w:pPr>
                    <w:pStyle w:val="2"/>
                    <w:keepNext w:val="0"/>
                    <w:keepLines w:val="0"/>
                    <w:pageBreakBefore w:val="0"/>
                    <w:widowControl w:val="0"/>
                    <w:suppressLineNumbers w:val="0"/>
                    <w:kinsoku/>
                    <w:wordWrap/>
                    <w:overflowPunct w:val="0"/>
                    <w:topLinePunct w:val="0"/>
                    <w:autoSpaceDE w:val="0"/>
                    <w:autoSpaceDN w:val="0"/>
                    <w:bidi w:val="0"/>
                    <w:adjustRightInd/>
                    <w:snapToGrid w:val="0"/>
                    <w:spacing w:before="63" w:beforeLines="20" w:beforeAutospacing="0" w:after="63" w:afterLines="20" w:afterAutospacing="0" w:line="240" w:lineRule="exact"/>
                    <w:ind w:left="0" w:leftChars="0" w:right="0" w:right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项目为铜冶炼渣资源综合利用项目，采取的措施能实现稳定达标排放。项目建设符合国家产业政策，项目运行后能达标排放，按环保相关要求进行管理。</w:t>
                  </w:r>
                </w:p>
              </w:tc>
              <w:tc>
                <w:tcPr>
                  <w:tcW w:w="326" w:type="pct"/>
                  <w:tcBorders>
                    <w:bottom w:val="single" w:color="auto" w:sz="4" w:space="0"/>
                  </w:tcBorders>
                  <w:noWrap w:val="0"/>
                  <w:vAlign w:val="center"/>
                </w:tcPr>
                <w:p w14:paraId="1D5FD9FF">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4F1EBB6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5" w:hRule="atLeast"/>
                <w:jc w:val="center"/>
              </w:trPr>
              <w:tc>
                <w:tcPr>
                  <w:tcW w:w="597" w:type="pct"/>
                  <w:vMerge w:val="continue"/>
                  <w:tcBorders>
                    <w:bottom w:val="single" w:color="auto" w:sz="4" w:space="0"/>
                  </w:tcBorders>
                  <w:noWrap w:val="0"/>
                  <w:vAlign w:val="center"/>
                </w:tcPr>
                <w:p w14:paraId="2413E4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kern w:val="0"/>
                      <w:sz w:val="18"/>
                      <w:szCs w:val="18"/>
                      <w:vertAlign w:val="baseline"/>
                      <w:lang w:val="en-US" w:eastAsia="zh-CN" w:bidi="ar"/>
                    </w:rPr>
                  </w:pPr>
                </w:p>
              </w:tc>
              <w:tc>
                <w:tcPr>
                  <w:tcW w:w="2778" w:type="pct"/>
                  <w:tcBorders>
                    <w:bottom w:val="single" w:color="auto" w:sz="4" w:space="0"/>
                  </w:tcBorders>
                  <w:noWrap w:val="0"/>
                  <w:vAlign w:val="center"/>
                </w:tcPr>
                <w:p w14:paraId="4B1D6C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第三节 加快推动绿色低碳发展</w:t>
                  </w:r>
                </w:p>
                <w:p w14:paraId="6827B1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一、推广绿色生产方式</w:t>
                  </w:r>
                </w:p>
                <w:p w14:paraId="320A13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加强绿色技术创新，加强重点行业领域绿色化改造，完成镍、磷化工、水泥等产业全流程清洁生产审核，对钢铁行业重点企业实施高温高压干熄焦、烧结烟气循环、转炉连铸系统优化等技术改造。对矿业行业重点企业实施新型富氧熔炼，电镍系统优化等技术改造。对水泥行业重点企业实施高固气比熟料煅烧、大推力多通道燃烧等技术改造。对造纸行业重点企业实施纸机高效成型、高效双盘磨浆机等技术改造。发展循环高效型、低碳清洁型产业。深度挖掘抚仙湖径流区乃至沿岸周边发展潜力，推动发展生态绿色产业，加强生态农产品供给，科学发展环湖文旅产业，开发滨湖度假旅游产品，实现生态产业化和产业生态化。推行农业清洁生产，实施化肥农药减量增效行动，到2025年，化肥、农药利用率分别提高到40%、42%以上，测土配方施肥技术覆盖率保持在90%以上。三、提高资源利用效率 实行能耗总量和强度“双控”，推进节能示范项目，实施钢铁、磷化工和建材三大主要耗能行业节能技改工程，优化工业能源消费结构。建立水资源刚性约束制度，落实水资源消耗总量和强度双控目标责任，实施全民节水行动，强化企业节水改造，对钢铁行业重点企业、造纸行业重点企业、食品加工企业实施工业节水改造及回收利用工程，提高重点行业工业用水重复率，建设节水型社会。</w:t>
                  </w:r>
                </w:p>
              </w:tc>
              <w:tc>
                <w:tcPr>
                  <w:tcW w:w="1298" w:type="pct"/>
                  <w:tcBorders>
                    <w:bottom w:val="single" w:color="auto" w:sz="4" w:space="0"/>
                  </w:tcBorders>
                  <w:noWrap w:val="0"/>
                  <w:vAlign w:val="center"/>
                </w:tcPr>
                <w:p w14:paraId="06D1B5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vertAlign w:val="baseline"/>
                      <w:lang w:val="en-US" w:eastAsia="zh-CN" w:bidi="ar"/>
                    </w:rPr>
                    <w:t>项目实施</w:t>
                  </w:r>
                  <w:r>
                    <w:rPr>
                      <w:rFonts w:hint="eastAsia" w:ascii="Times New Roman" w:hAnsi="Times New Roman" w:eastAsia="宋体" w:cs="Times New Roman"/>
                      <w:color w:val="000000"/>
                      <w:kern w:val="0"/>
                      <w:sz w:val="18"/>
                      <w:szCs w:val="18"/>
                      <w:vertAlign w:val="baseline"/>
                      <w:lang w:val="en-US" w:eastAsia="zh-CN" w:bidi="ar"/>
                    </w:rPr>
                    <w:t>“雨污分流”</w:t>
                  </w:r>
                  <w:r>
                    <w:rPr>
                      <w:rFonts w:hint="default" w:ascii="Times New Roman" w:hAnsi="Times New Roman" w:eastAsia="宋体" w:cs="Times New Roman"/>
                      <w:color w:val="000000"/>
                      <w:kern w:val="0"/>
                      <w:sz w:val="18"/>
                      <w:szCs w:val="18"/>
                      <w:vertAlign w:val="baseline"/>
                      <w:lang w:val="en-US" w:eastAsia="zh-CN" w:bidi="ar"/>
                    </w:rPr>
                    <w:t>，</w:t>
                  </w:r>
                  <w:r>
                    <w:rPr>
                      <w:rFonts w:hint="eastAsia" w:ascii="Times New Roman" w:hAnsi="Times New Roman" w:eastAsia="宋体" w:cs="Times New Roman"/>
                      <w:color w:val="000000"/>
                      <w:kern w:val="0"/>
                      <w:sz w:val="18"/>
                      <w:szCs w:val="18"/>
                      <w:vertAlign w:val="baseline"/>
                      <w:lang w:val="en-US" w:eastAsia="zh-CN" w:bidi="ar"/>
                    </w:rPr>
                    <w:t>生产废水循环使用，不外排</w:t>
                  </w:r>
                  <w:r>
                    <w:rPr>
                      <w:rFonts w:hint="default" w:ascii="Times New Roman" w:hAnsi="Times New Roman" w:eastAsia="宋体" w:cs="Times New Roman"/>
                      <w:color w:val="000000"/>
                      <w:kern w:val="0"/>
                      <w:sz w:val="18"/>
                      <w:szCs w:val="18"/>
                      <w:vertAlign w:val="baseline"/>
                      <w:lang w:val="en-US" w:eastAsia="zh-CN" w:bidi="ar"/>
                    </w:rPr>
                    <w:t>；</w:t>
                  </w:r>
                  <w:r>
                    <w:rPr>
                      <w:rFonts w:hint="eastAsia" w:cs="Times New Roman"/>
                      <w:color w:val="000000"/>
                      <w:kern w:val="0"/>
                      <w:sz w:val="18"/>
                      <w:szCs w:val="18"/>
                      <w:lang w:val="en-US" w:eastAsia="zh-CN" w:bidi="ar"/>
                    </w:rPr>
                    <w:t>车辆清洗废水收集沉淀后回用，不外排；</w:t>
                  </w:r>
                  <w:r>
                    <w:rPr>
                      <w:rFonts w:hint="default" w:ascii="Times New Roman" w:hAnsi="Times New Roman" w:eastAsia="宋体" w:cs="Times New Roman"/>
                      <w:color w:val="000000"/>
                      <w:kern w:val="0"/>
                      <w:sz w:val="18"/>
                      <w:szCs w:val="18"/>
                      <w:vertAlign w:val="baseline"/>
                      <w:lang w:val="en-US" w:eastAsia="zh-CN" w:bidi="ar"/>
                    </w:rPr>
                    <w:t>初期雨水依托全厂的初期雨水收集池，收集后作为厂区生产补充水，不外排；</w:t>
                  </w:r>
                  <w:r>
                    <w:rPr>
                      <w:rFonts w:hint="eastAsia" w:ascii="Times New Roman" w:hAnsi="Times New Roman" w:eastAsia="宋体" w:cs="Times New Roman"/>
                      <w:color w:val="000000"/>
                      <w:kern w:val="0"/>
                      <w:sz w:val="18"/>
                      <w:szCs w:val="18"/>
                      <w:lang w:val="en-US" w:eastAsia="zh-CN" w:bidi="ar"/>
                    </w:rPr>
                    <w:t>生活污水收集后进入生活污水处理站（200m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w:t>
                  </w:r>
                  <w:r>
                    <w:rPr>
                      <w:rFonts w:hint="eastAsia" w:ascii="Times New Roman" w:hAnsi="Times New Roman" w:eastAsia="宋体" w:cs="Times New Roman"/>
                      <w:color w:val="000000"/>
                      <w:kern w:val="0"/>
                      <w:sz w:val="18"/>
                      <w:szCs w:val="18"/>
                      <w:vertAlign w:val="baseline"/>
                      <w:lang w:val="en-US" w:eastAsia="zh-CN" w:bidi="ar"/>
                    </w:rPr>
                    <w:t>处理达到《城市污水再生利用 城市杂用水水质》（</w:t>
                  </w:r>
                  <w:r>
                    <w:rPr>
                      <w:rFonts w:hint="default" w:ascii="Times New Roman" w:hAnsi="Times New Roman" w:eastAsia="宋体" w:cs="Times New Roman"/>
                      <w:color w:val="000000"/>
                      <w:kern w:val="0"/>
                      <w:sz w:val="18"/>
                      <w:szCs w:val="18"/>
                      <w:vertAlign w:val="baseline"/>
                      <w:lang w:val="en-US" w:eastAsia="zh-CN" w:bidi="ar"/>
                    </w:rPr>
                    <w:t>GB/T18920-2020</w:t>
                  </w:r>
                  <w:r>
                    <w:rPr>
                      <w:rFonts w:hint="eastAsia" w:ascii="Times New Roman" w:hAnsi="Times New Roman" w:eastAsia="宋体" w:cs="Times New Roman"/>
                      <w:color w:val="000000"/>
                      <w:kern w:val="0"/>
                      <w:sz w:val="18"/>
                      <w:szCs w:val="18"/>
                      <w:vertAlign w:val="baseline"/>
                      <w:lang w:val="en-US" w:eastAsia="zh-CN" w:bidi="ar"/>
                    </w:rPr>
                    <w:t>）标准中的绿化和道路清扫水质标准后，回用于厂区绿化及道路洒水降尘。</w:t>
                  </w:r>
                </w:p>
              </w:tc>
              <w:tc>
                <w:tcPr>
                  <w:tcW w:w="326" w:type="pct"/>
                  <w:tcBorders>
                    <w:bottom w:val="single" w:color="auto" w:sz="4" w:space="0"/>
                  </w:tcBorders>
                  <w:noWrap w:val="0"/>
                  <w:vAlign w:val="center"/>
                </w:tcPr>
                <w:p w14:paraId="5FEC800E">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符合</w:t>
                  </w:r>
                </w:p>
              </w:tc>
            </w:tr>
            <w:tr w14:paraId="43649A9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597" w:type="pct"/>
                  <w:vMerge w:val="restart"/>
                  <w:tcBorders>
                    <w:top w:val="single" w:color="auto" w:sz="4" w:space="0"/>
                  </w:tcBorders>
                  <w:noWrap w:val="0"/>
                  <w:vAlign w:val="center"/>
                </w:tcPr>
                <w:p w14:paraId="44AAD4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第七章</w:t>
                  </w:r>
                </w:p>
              </w:tc>
              <w:tc>
                <w:tcPr>
                  <w:tcW w:w="4402" w:type="pct"/>
                  <w:gridSpan w:val="3"/>
                  <w:tcBorders>
                    <w:top w:val="single" w:color="auto" w:sz="4" w:space="0"/>
                    <w:bottom w:val="single" w:color="auto" w:sz="4" w:space="0"/>
                  </w:tcBorders>
                  <w:noWrap w:val="0"/>
                  <w:vAlign w:val="center"/>
                </w:tcPr>
                <w:p w14:paraId="78EACF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000000"/>
                      <w:kern w:val="0"/>
                      <w:sz w:val="18"/>
                      <w:szCs w:val="18"/>
                      <w:vertAlign w:val="baseline"/>
                      <w:lang w:val="en-US" w:eastAsia="zh-CN" w:bidi="ar"/>
                    </w:rPr>
                    <w:t>应对气候变化，控制温室气体排放</w:t>
                  </w:r>
                </w:p>
              </w:tc>
            </w:tr>
            <w:tr w14:paraId="110EA54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597" w:type="pct"/>
                  <w:vMerge w:val="continue"/>
                  <w:noWrap w:val="0"/>
                  <w:vAlign w:val="center"/>
                </w:tcPr>
                <w:p w14:paraId="75A71C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p>
              </w:tc>
              <w:tc>
                <w:tcPr>
                  <w:tcW w:w="2778" w:type="pct"/>
                  <w:tcBorders>
                    <w:top w:val="single" w:color="auto" w:sz="4" w:space="0"/>
                    <w:bottom w:val="single" w:color="auto" w:sz="4" w:space="0"/>
                  </w:tcBorders>
                  <w:noWrap w:val="0"/>
                  <w:vAlign w:val="center"/>
                </w:tcPr>
                <w:p w14:paraId="3EC8CE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二、加快工业节能</w:t>
                  </w:r>
                </w:p>
                <w:p w14:paraId="4641C3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加强重点行业领域绿色化改造，完成镍、磷化工、水泥等产业全流程清洁生产审核，发展循环高效型、低碳清洁型产业。扎实推进节能示范项目，切实抓好钢铁、磷化工和建材等三大主要耗能行业的节能技改工作。对钢铁行业重点企业实施高温高压干熄焦、烧结烟气循环、转炉连铸系统优化等技术改造。对矿业行业重点企业实施新型富氧熔炼，电镍系统优化等技术改造。对水泥行业重点企业实施高固气比熟料煅烧、大推力多通道燃烧等技术改造。对造纸行业重点企业实施纸机高效成型、高效双盘磨浆机等技术改造。</w:t>
                  </w:r>
                </w:p>
              </w:tc>
              <w:tc>
                <w:tcPr>
                  <w:tcW w:w="1298" w:type="pct"/>
                  <w:tcBorders>
                    <w:top w:val="single" w:color="auto" w:sz="4" w:space="0"/>
                    <w:bottom w:val="single" w:color="auto" w:sz="4" w:space="0"/>
                  </w:tcBorders>
                  <w:noWrap w:val="0"/>
                  <w:vAlign w:val="center"/>
                </w:tcPr>
                <w:p w14:paraId="1977A5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default" w:ascii="Times New Roman" w:hAnsi="Times New Roman" w:eastAsia="宋体" w:cs="Times New Roman"/>
                      <w:color w:val="000000"/>
                      <w:kern w:val="0"/>
                      <w:sz w:val="18"/>
                      <w:szCs w:val="18"/>
                      <w:vertAlign w:val="baseline"/>
                      <w:lang w:val="en-US" w:eastAsia="zh-CN" w:bidi="ar"/>
                    </w:rPr>
                    <w:t>项目为</w:t>
                  </w:r>
                  <w:r>
                    <w:rPr>
                      <w:rFonts w:hint="eastAsia" w:ascii="Times New Roman" w:hAnsi="Times New Roman" w:eastAsia="宋体" w:cs="Times New Roman"/>
                      <w:color w:val="000000"/>
                      <w:kern w:val="0"/>
                      <w:sz w:val="18"/>
                      <w:szCs w:val="18"/>
                      <w:vertAlign w:val="baseline"/>
                      <w:lang w:val="en-US" w:eastAsia="zh-CN" w:bidi="ar"/>
                    </w:rPr>
                    <w:t>铜冶炼渣资源综合利用项目</w:t>
                  </w:r>
                  <w:r>
                    <w:rPr>
                      <w:rFonts w:hint="default" w:ascii="Times New Roman" w:hAnsi="Times New Roman" w:eastAsia="宋体" w:cs="Times New Roman"/>
                      <w:color w:val="000000"/>
                      <w:kern w:val="0"/>
                      <w:sz w:val="18"/>
                      <w:szCs w:val="18"/>
                      <w:vertAlign w:val="baseline"/>
                      <w:lang w:val="en-US" w:eastAsia="zh-CN" w:bidi="ar"/>
                    </w:rPr>
                    <w:t>，不属于镍、磷化工、水泥等产业，无需进行清洁生产审核。项目</w:t>
                  </w:r>
                  <w:r>
                    <w:rPr>
                      <w:rFonts w:hint="eastAsia" w:ascii="Times New Roman" w:hAnsi="Times New Roman" w:eastAsia="宋体" w:cs="Times New Roman"/>
                      <w:color w:val="000000"/>
                      <w:kern w:val="0"/>
                      <w:sz w:val="18"/>
                      <w:szCs w:val="18"/>
                      <w:vertAlign w:val="baseline"/>
                      <w:lang w:val="en-US" w:eastAsia="zh-CN" w:bidi="ar"/>
                    </w:rPr>
                    <w:t>生产废水循环使用，不外排</w:t>
                  </w:r>
                  <w:r>
                    <w:rPr>
                      <w:rFonts w:hint="default" w:ascii="Times New Roman" w:hAnsi="Times New Roman" w:eastAsia="宋体" w:cs="Times New Roman"/>
                      <w:color w:val="000000"/>
                      <w:kern w:val="0"/>
                      <w:sz w:val="18"/>
                      <w:szCs w:val="18"/>
                      <w:vertAlign w:val="baseline"/>
                      <w:lang w:val="en-US" w:eastAsia="zh-CN" w:bidi="ar"/>
                    </w:rPr>
                    <w:t>；</w:t>
                  </w:r>
                  <w:r>
                    <w:rPr>
                      <w:rFonts w:hint="eastAsia" w:cs="Times New Roman"/>
                      <w:color w:val="000000"/>
                      <w:kern w:val="0"/>
                      <w:sz w:val="18"/>
                      <w:szCs w:val="18"/>
                      <w:lang w:val="en-US" w:eastAsia="zh-CN" w:bidi="ar"/>
                    </w:rPr>
                    <w:t>车辆清洗废水收集沉淀后回用，不外排；</w:t>
                  </w:r>
                  <w:r>
                    <w:rPr>
                      <w:rFonts w:hint="default" w:ascii="Times New Roman" w:hAnsi="Times New Roman" w:eastAsia="宋体" w:cs="Times New Roman"/>
                      <w:color w:val="000000"/>
                      <w:kern w:val="0"/>
                      <w:sz w:val="18"/>
                      <w:szCs w:val="18"/>
                      <w:vertAlign w:val="baseline"/>
                      <w:lang w:val="en-US" w:eastAsia="zh-CN" w:bidi="ar"/>
                    </w:rPr>
                    <w:t>初期雨水依托全厂的初期雨水收集池，收集后作为厂区生产补充水，不外排；</w:t>
                  </w:r>
                  <w:r>
                    <w:rPr>
                      <w:rFonts w:hint="eastAsia" w:ascii="Times New Roman" w:hAnsi="Times New Roman" w:eastAsia="宋体" w:cs="Times New Roman"/>
                      <w:color w:val="000000"/>
                      <w:kern w:val="0"/>
                      <w:sz w:val="18"/>
                      <w:szCs w:val="18"/>
                      <w:lang w:val="en-US" w:eastAsia="zh-CN" w:bidi="ar"/>
                    </w:rPr>
                    <w:t>生活污水收集后进入生活污水处理站（200m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w:t>
                  </w:r>
                  <w:r>
                    <w:rPr>
                      <w:rFonts w:hint="eastAsia" w:ascii="Times New Roman" w:hAnsi="Times New Roman" w:eastAsia="宋体" w:cs="Times New Roman"/>
                      <w:color w:val="000000"/>
                      <w:kern w:val="0"/>
                      <w:sz w:val="18"/>
                      <w:szCs w:val="18"/>
                      <w:vertAlign w:val="baseline"/>
                      <w:lang w:val="en-US" w:eastAsia="zh-CN" w:bidi="ar"/>
                    </w:rPr>
                    <w:t>处理达到《城市污水再生利用 城市杂用水水质》（</w:t>
                  </w:r>
                  <w:r>
                    <w:rPr>
                      <w:rFonts w:hint="default" w:ascii="Times New Roman" w:hAnsi="Times New Roman" w:eastAsia="宋体" w:cs="Times New Roman"/>
                      <w:color w:val="000000"/>
                      <w:kern w:val="0"/>
                      <w:sz w:val="18"/>
                      <w:szCs w:val="18"/>
                      <w:vertAlign w:val="baseline"/>
                      <w:lang w:val="en-US" w:eastAsia="zh-CN" w:bidi="ar"/>
                    </w:rPr>
                    <w:t>GB/T18920-2020</w:t>
                  </w:r>
                  <w:r>
                    <w:rPr>
                      <w:rFonts w:hint="eastAsia" w:ascii="Times New Roman" w:hAnsi="Times New Roman" w:eastAsia="宋体" w:cs="Times New Roman"/>
                      <w:color w:val="000000"/>
                      <w:kern w:val="0"/>
                      <w:sz w:val="18"/>
                      <w:szCs w:val="18"/>
                      <w:vertAlign w:val="baseline"/>
                      <w:lang w:val="en-US" w:eastAsia="zh-CN" w:bidi="ar"/>
                    </w:rPr>
                    <w:t>）标准中的绿化和道路清扫水质标准后，回用于厂区绿化及道路洒水降尘，不外排。</w:t>
                  </w:r>
                </w:p>
              </w:tc>
              <w:tc>
                <w:tcPr>
                  <w:tcW w:w="326" w:type="pct"/>
                  <w:tcBorders>
                    <w:top w:val="single" w:color="auto" w:sz="4" w:space="0"/>
                    <w:bottom w:val="single" w:color="auto" w:sz="4" w:space="0"/>
                  </w:tcBorders>
                  <w:noWrap w:val="0"/>
                  <w:vAlign w:val="center"/>
                </w:tcPr>
                <w:p w14:paraId="326CC1B3">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CB42F6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597" w:type="pct"/>
                  <w:noWrap w:val="0"/>
                  <w:vAlign w:val="center"/>
                </w:tcPr>
                <w:p w14:paraId="40696A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第八章</w:t>
                  </w:r>
                </w:p>
              </w:tc>
              <w:tc>
                <w:tcPr>
                  <w:tcW w:w="4402" w:type="pct"/>
                  <w:gridSpan w:val="3"/>
                  <w:tcBorders>
                    <w:top w:val="single" w:color="auto" w:sz="4" w:space="0"/>
                    <w:bottom w:val="single" w:color="auto" w:sz="4" w:space="0"/>
                  </w:tcBorders>
                  <w:noWrap w:val="0"/>
                  <w:vAlign w:val="center"/>
                </w:tcPr>
                <w:p w14:paraId="1DF6FF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eastAsia="宋体" w:cs="Times New Roman"/>
                      <w:color w:val="000000"/>
                      <w:kern w:val="0"/>
                      <w:sz w:val="18"/>
                      <w:szCs w:val="18"/>
                      <w:vertAlign w:val="baseline"/>
                      <w:lang w:val="en-US" w:eastAsia="zh-CN" w:bidi="ar"/>
                    </w:rPr>
                    <w:t>统筹协调，深入打好污染防治攻坚战</w:t>
                  </w:r>
                </w:p>
              </w:tc>
            </w:tr>
            <w:tr w14:paraId="18D9140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597" w:type="pct"/>
                  <w:noWrap w:val="0"/>
                  <w:vAlign w:val="center"/>
                </w:tcPr>
                <w:p w14:paraId="004975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控制污染排放</w:t>
                  </w:r>
                </w:p>
              </w:tc>
              <w:tc>
                <w:tcPr>
                  <w:tcW w:w="2778" w:type="pct"/>
                  <w:tcBorders>
                    <w:top w:val="single" w:color="auto" w:sz="4" w:space="0"/>
                    <w:bottom w:val="single" w:color="auto" w:sz="4" w:space="0"/>
                  </w:tcBorders>
                  <w:noWrap w:val="0"/>
                  <w:vAlign w:val="center"/>
                </w:tcPr>
                <w:p w14:paraId="1A61BE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（二）有序开展结构调整</w:t>
                  </w:r>
                </w:p>
                <w:p w14:paraId="28FC6D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调整优化产业结构，推进产业绿色发展。按照云南省环境管控单元生态环境准入清单要求，各县（市、区）必须严格执行生态环境准入清单的管控要求，明确禁止和限制发展的行业、生产工艺和产业目录。修订完善高耗能、高污染和资源型行业准入条件，制订更严格的产业准入门槛。加快城市建成区重污染企业搬迁改造或关闭退出，重点推动城市建成区及周边水泥、化工、钢铁等重污染企业搬迁改造或关闭退出。全面开展“散乱污”企业及集群综合整治行动，实行拉网式排查，建立管理台账，按照“先停后治”的原则，实施分类处置。建立覆盖固定污染源的企业排放许可制度。推动淘汰落后产能，淘汰落后生产工艺和设备，深入推进钢铁产业整合重组，提高钢铁产业综合实力。有色金属以铜、镍为重点，开发精深加工，延伸有色金属产业链。</w:t>
                  </w:r>
                </w:p>
                <w:p w14:paraId="7516F8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（三）加大重点行业整治</w:t>
                  </w:r>
                </w:p>
                <w:p w14:paraId="3E2D7C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持续推进钢铁行业超低排放改造工作，加强钢铁、水泥等重点行业脱硫、脱硝、除尘设施运行管理，确保治污设施正常运行，污染物达标排放。开展钢铁、建材、有色、焦化、铸造等重点行业及燃煤锅炉无组织排放排查，建立管理台账，对物料（含废渣）运输、装卸、储存、转移和工艺过程等无组织排放实施深度治理。</w:t>
                  </w:r>
                </w:p>
              </w:tc>
              <w:tc>
                <w:tcPr>
                  <w:tcW w:w="1298" w:type="pct"/>
                  <w:tcBorders>
                    <w:top w:val="single" w:color="auto" w:sz="4" w:space="0"/>
                    <w:bottom w:val="single" w:color="auto" w:sz="4" w:space="0"/>
                  </w:tcBorders>
                  <w:noWrap w:val="0"/>
                  <w:vAlign w:val="center"/>
                </w:tcPr>
                <w:p w14:paraId="6A71F3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项目位于云南易门产业园区大椿树片区，项目符合云南省及玉溪市生态环境分区管控相关要求。</w:t>
                  </w:r>
                </w:p>
              </w:tc>
              <w:tc>
                <w:tcPr>
                  <w:tcW w:w="326" w:type="pct"/>
                  <w:tcBorders>
                    <w:top w:val="single" w:color="auto" w:sz="4" w:space="0"/>
                    <w:bottom w:val="single" w:color="auto" w:sz="4" w:space="0"/>
                  </w:tcBorders>
                  <w:noWrap w:val="0"/>
                  <w:vAlign w:val="center"/>
                </w:tcPr>
                <w:p w14:paraId="6794EE35">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5B90EA8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46" w:hRule="atLeast"/>
                <w:jc w:val="center"/>
              </w:trPr>
              <w:tc>
                <w:tcPr>
                  <w:tcW w:w="597" w:type="pct"/>
                  <w:vMerge w:val="restart"/>
                  <w:noWrap w:val="0"/>
                  <w:vAlign w:val="center"/>
                </w:tcPr>
                <w:p w14:paraId="74A57F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降低能源消耗</w:t>
                  </w:r>
                </w:p>
              </w:tc>
              <w:tc>
                <w:tcPr>
                  <w:tcW w:w="2778" w:type="pct"/>
                  <w:vMerge w:val="restart"/>
                  <w:tcBorders>
                    <w:top w:val="single" w:color="auto" w:sz="4" w:space="0"/>
                  </w:tcBorders>
                  <w:noWrap w:val="0"/>
                  <w:vAlign w:val="center"/>
                </w:tcPr>
                <w:p w14:paraId="1ECC3D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加快调整能源结构，构建清洁低碳高效能源体系。削减煤炭消费量，推进煤炭清洁利用，加快推进煤炭消费减量替代，全面推进城乡“煤改气”“煤改电”工程建设。全面推行清洁生产，强化源头污染预防。按照省工业和信息化委公布的审核名单，有序推进化工、钢材、水泥、有色等重点行业自愿性清洁生产审核，按时、按质完成审核评估和验收工作。按照省生态环境厅公布的审核名单，有序推进化工、钢材、水泥、有色等重点行业强制性清洁生产审核，按时、按质完成审核评估和验收工作按照国家铜冶炼业、铜电解业和有色金属行业相关清洁生产标准。</w:t>
                  </w:r>
                </w:p>
              </w:tc>
              <w:tc>
                <w:tcPr>
                  <w:tcW w:w="1298" w:type="pct"/>
                  <w:vMerge w:val="restart"/>
                  <w:tcBorders>
                    <w:top w:val="single" w:color="auto" w:sz="4" w:space="0"/>
                  </w:tcBorders>
                  <w:noWrap w:val="0"/>
                  <w:vAlign w:val="center"/>
                </w:tcPr>
                <w:p w14:paraId="48C844DA">
                  <w:pPr>
                    <w:pStyle w:val="2"/>
                    <w:keepNext w:val="0"/>
                    <w:keepLines w:val="0"/>
                    <w:pageBreakBefore w:val="0"/>
                    <w:widowControl w:val="0"/>
                    <w:suppressLineNumbers w:val="0"/>
                    <w:kinsoku w:val="0"/>
                    <w:wordWrap/>
                    <w:overflowPunct w:val="0"/>
                    <w:topLinePunct w:val="0"/>
                    <w:autoSpaceDE w:val="0"/>
                    <w:autoSpaceDN w:val="0"/>
                    <w:bidi w:val="0"/>
                    <w:adjustRightInd/>
                    <w:snapToGrid w:val="0"/>
                    <w:spacing w:before="63" w:beforeLines="20" w:beforeAutospacing="0" w:after="63" w:afterLines="20" w:afterAutospacing="0" w:line="240" w:lineRule="exact"/>
                    <w:ind w:left="0" w:leftChars="0" w:right="0" w:right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项目为</w:t>
                  </w:r>
                  <w:r>
                    <w:rPr>
                      <w:rFonts w:hint="eastAsia" w:ascii="Times New Roman" w:hAnsi="Times New Roman" w:cs="Times New Roman"/>
                      <w:color w:val="000000"/>
                      <w:kern w:val="0"/>
                      <w:sz w:val="18"/>
                      <w:szCs w:val="18"/>
                      <w:vertAlign w:val="baseline"/>
                      <w:lang w:val="en-US" w:eastAsia="zh-CN" w:bidi="ar"/>
                    </w:rPr>
                    <w:t>铜冶炼渣资源综合利用项目</w:t>
                  </w:r>
                  <w:r>
                    <w:rPr>
                      <w:rFonts w:hint="eastAsia" w:ascii="Times New Roman" w:hAnsi="Times New Roman" w:eastAsia="宋体" w:cs="Times New Roman"/>
                      <w:color w:val="000000"/>
                      <w:kern w:val="0"/>
                      <w:sz w:val="18"/>
                      <w:szCs w:val="18"/>
                      <w:vertAlign w:val="baseline"/>
                      <w:lang w:val="en-US" w:eastAsia="zh-CN" w:bidi="ar"/>
                    </w:rPr>
                    <w:t>，不涉及煤炭的消费。</w:t>
                  </w:r>
                </w:p>
              </w:tc>
              <w:tc>
                <w:tcPr>
                  <w:tcW w:w="326" w:type="pct"/>
                  <w:tcBorders>
                    <w:top w:val="single" w:color="auto" w:sz="4" w:space="0"/>
                    <w:bottom w:val="single" w:color="auto" w:sz="4" w:space="0"/>
                  </w:tcBorders>
                  <w:noWrap w:val="0"/>
                  <w:vAlign w:val="center"/>
                </w:tcPr>
                <w:p w14:paraId="21227BEA">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r w14:paraId="0A2C0AF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91" w:hRule="atLeast"/>
                <w:jc w:val="center"/>
              </w:trPr>
              <w:tc>
                <w:tcPr>
                  <w:tcW w:w="597" w:type="pct"/>
                  <w:noWrap w:val="0"/>
                  <w:vAlign w:val="center"/>
                </w:tcPr>
                <w:p w14:paraId="4CC344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治理大气污染</w:t>
                  </w:r>
                </w:p>
              </w:tc>
              <w:tc>
                <w:tcPr>
                  <w:tcW w:w="2778" w:type="pct"/>
                  <w:tcBorders>
                    <w:top w:val="single" w:color="auto" w:sz="4" w:space="0"/>
                  </w:tcBorders>
                  <w:noWrap w:val="0"/>
                  <w:vAlign w:val="center"/>
                </w:tcPr>
                <w:p w14:paraId="6A305F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（一）加强城市扬尘治理 加强施工扬尘监管，积极推进绿色施工。加强建筑施工场地扬尘污染管控。建筑施工场地应做到“六个百分百”。城市建成区及周边地区的工程建设施工现场应全封闭设置围挡墙、施工围网、防风抑尘网，严禁敞开式作业，施工现场道路应进行地面硬化。渣土运输车辆进出施工工地要进行清洗，运输过程采取密闭措施，并按照指定路线运输。加强建筑施工场地运输车辆的管理。建筑施工场地必须设置“三池一设备”（车辆过水池、沉淀池、冲洗池及车辆清洗设备），建筑垃圾（含渣土）运输车辆驶离工地要进行清洗保洁；运输过程中采取密闭措施，杜绝“滴、漏、泼、洒”污染路面、违规乱排乱倒、车身不洁等情况；达不到外运条件的坚决不予外运，造成路面污染或违规行为较突出等情况的，一律停工整改。严惩施工扬尘污染违法违规行为。县级以上城市要加大城市建成区内洒水等防风抑尘作业力度，推行道路机械化清扫等低尘作业方式；大型煤堆、料堆实现封闭存储或建设防风抑尘设施。</w:t>
                  </w:r>
                </w:p>
              </w:tc>
              <w:tc>
                <w:tcPr>
                  <w:tcW w:w="1298" w:type="pct"/>
                  <w:tcBorders>
                    <w:top w:val="single" w:color="auto" w:sz="4" w:space="0"/>
                  </w:tcBorders>
                  <w:noWrap w:val="0"/>
                  <w:vAlign w:val="center"/>
                </w:tcPr>
                <w:p w14:paraId="23AF5D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18"/>
                      <w:szCs w:val="18"/>
                      <w:vertAlign w:val="baseline"/>
                      <w:lang w:val="en-US" w:eastAsia="zh-CN" w:bidi="ar"/>
                    </w:rPr>
                  </w:pPr>
                  <w:r>
                    <w:rPr>
                      <w:rFonts w:hint="eastAsia" w:ascii="Times New Roman" w:hAnsi="Times New Roman" w:eastAsia="宋体" w:cs="Times New Roman"/>
                      <w:color w:val="000000"/>
                      <w:kern w:val="0"/>
                      <w:sz w:val="18"/>
                      <w:szCs w:val="18"/>
                      <w:vertAlign w:val="baseline"/>
                      <w:lang w:val="en-US" w:eastAsia="zh-CN" w:bidi="ar"/>
                    </w:rPr>
                    <w:t>本环评要求后续项目施工时应严格按照“六个百分百”的要求进行。</w:t>
                  </w:r>
                </w:p>
              </w:tc>
              <w:tc>
                <w:tcPr>
                  <w:tcW w:w="326" w:type="pct"/>
                  <w:tcBorders>
                    <w:top w:val="single" w:color="auto" w:sz="4" w:space="0"/>
                  </w:tcBorders>
                  <w:noWrap w:val="0"/>
                  <w:vAlign w:val="center"/>
                </w:tcPr>
                <w:p w14:paraId="553B92AB">
                  <w:pPr>
                    <w:pStyle w:val="2"/>
                    <w:keepNext w:val="0"/>
                    <w:keepLines w:val="0"/>
                    <w:pageBreakBefore w:val="0"/>
                    <w:suppressLineNumbers w:val="0"/>
                    <w:wordWrap/>
                    <w:topLinePunct w:val="0"/>
                    <w:bidi w:val="0"/>
                    <w:adjustRightInd/>
                    <w:spacing w:before="63" w:beforeLines="20" w:beforeAutospacing="0" w:after="63" w:afterLines="20" w:afterAutospacing="0" w:line="24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符合</w:t>
                  </w:r>
                </w:p>
              </w:tc>
            </w:tr>
          </w:tbl>
          <w:p w14:paraId="37FF38BA">
            <w:pPr>
              <w:pStyle w:val="37"/>
              <w:keepNext w:val="0"/>
              <w:keepLines w:val="0"/>
              <w:pageBreakBefore w:val="0"/>
              <w:widowControl w:val="0"/>
              <w:kinsoku/>
              <w:wordWrap/>
              <w:overflowPunct/>
              <w:topLinePunct/>
              <w:autoSpaceDE/>
              <w:autoSpaceDN/>
              <w:bidi w:val="0"/>
              <w:adjustRightInd w:val="0"/>
              <w:snapToGrid w:val="0"/>
              <w:textAlignment w:val="auto"/>
              <w:rPr>
                <w:rFonts w:hint="eastAsia" w:cs="Times New Roman"/>
                <w:b/>
                <w:bCs/>
                <w:color w:val="auto"/>
                <w:lang w:val="en-US" w:eastAsia="zh-CN"/>
              </w:rPr>
            </w:pP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综上所述，本项目的建设符合《玉溪市“十四五”生态建设和环境保护规划》（2021-2025年）的相关要求。</w:t>
            </w:r>
          </w:p>
          <w:p w14:paraId="227EAE5C">
            <w:pPr>
              <w:pStyle w:val="37"/>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8</w:t>
            </w:r>
            <w:r>
              <w:rPr>
                <w:rFonts w:hint="eastAsia" w:ascii="Times New Roman" w:hAnsi="Times New Roman" w:eastAsia="宋体" w:cs="Times New Roman"/>
                <w:b/>
                <w:bCs/>
                <w:color w:val="auto"/>
                <w:lang w:val="en-US" w:eastAsia="zh-CN"/>
              </w:rPr>
              <w:t>、项目</w:t>
            </w:r>
            <w:r>
              <w:rPr>
                <w:rFonts w:hint="default" w:ascii="Times New Roman" w:hAnsi="Times New Roman" w:eastAsia="宋体" w:cs="Times New Roman"/>
                <w:b/>
                <w:bCs/>
                <w:color w:val="auto"/>
                <w:lang w:val="en-US" w:eastAsia="zh-CN"/>
              </w:rPr>
              <w:t>与《云南省生态功能区划》相符性分析</w:t>
            </w:r>
          </w:p>
          <w:p w14:paraId="5824504F">
            <w:pPr>
              <w:pStyle w:val="37"/>
              <w:keepNext w:val="0"/>
              <w:keepLines w:val="0"/>
              <w:pageBreakBefore w:val="0"/>
              <w:widowControl w:val="0"/>
              <w:kinsoku/>
              <w:wordWrap/>
              <w:overflowPunct/>
              <w:topLinePunct/>
              <w:autoSpaceDE/>
              <w:autoSpaceDN/>
              <w:bidi w:val="0"/>
              <w:adjustRightInd w:val="0"/>
              <w:snapToGrid w:val="0"/>
              <w:textAlignment w:val="auto"/>
              <w:rPr>
                <w:rFonts w:hint="default" w:ascii="Times New Roman" w:hAnsi="Times New Roman" w:eastAsia="宋体" w:cs="Times New Roman"/>
                <w:b w:val="0"/>
                <w:bCs w:val="0"/>
                <w:i w:val="0"/>
                <w:iCs w:val="0"/>
                <w:color w:val="auto"/>
                <w:kern w:val="2"/>
                <w:sz w:val="24"/>
                <w:szCs w:val="24"/>
                <w:highlight w:val="none"/>
                <w:u w:val="none"/>
                <w:lang w:val="en-US" w:eastAsia="zh-CN" w:bidi="ar-SA"/>
              </w:rPr>
            </w:pPr>
            <w:r>
              <w:rPr>
                <w:rFonts w:hint="eastAsia" w:ascii="Times New Roman" w:hAnsi="Times New Roman" w:eastAsia="宋体" w:cs="Times New Roman"/>
                <w:b w:val="0"/>
                <w:bCs w:val="0"/>
                <w:i w:val="0"/>
                <w:iCs w:val="0"/>
                <w:color w:val="auto"/>
                <w:kern w:val="2"/>
                <w:sz w:val="24"/>
                <w:szCs w:val="24"/>
                <w:highlight w:val="none"/>
                <w:u w:val="none"/>
                <w:lang w:val="en-US" w:eastAsia="zh-CN" w:bidi="ar-SA"/>
              </w:rPr>
              <w:t>《云南省生态功能区划》将生态功能类型中的65个三级生态功能区，按主导生态服务功能进行归类，分为7种类型区，即：农产品提供、林产品提供、生物多样性保护、土壤保持、水源涵养、农业与集镇以及城市群。</w:t>
            </w:r>
          </w:p>
          <w:p w14:paraId="44514695">
            <w:pPr>
              <w:pStyle w:val="37"/>
              <w:keepNext w:val="0"/>
              <w:keepLines w:val="0"/>
              <w:pageBreakBefore w:val="0"/>
              <w:widowControl w:val="0"/>
              <w:kinsoku/>
              <w:wordWrap/>
              <w:overflowPunct/>
              <w:topLinePunct/>
              <w:autoSpaceDE/>
              <w:autoSpaceDN/>
              <w:bidi w:val="0"/>
              <w:adjustRightInd w:val="0"/>
              <w:snapToGrid w:val="0"/>
              <w:textAlignment w:val="auto"/>
              <w:rPr>
                <w:rFonts w:hint="default" w:ascii="Times New Roman" w:hAnsi="Times New Roman" w:eastAsia="宋体" w:cs="Times New Roman"/>
                <w:b w:val="0"/>
                <w:bCs w:val="0"/>
                <w:i w:val="0"/>
                <w:iCs w:val="0"/>
                <w:color w:val="auto"/>
                <w:kern w:val="2"/>
                <w:sz w:val="24"/>
                <w:szCs w:val="24"/>
                <w:highlight w:val="none"/>
                <w:u w:val="none"/>
                <w:lang w:val="en-US" w:eastAsia="zh-CN" w:bidi="ar-SA"/>
              </w:rPr>
            </w:pPr>
            <w:r>
              <w:rPr>
                <w:rFonts w:hint="eastAsia" w:ascii="Times New Roman" w:hAnsi="Times New Roman" w:eastAsia="宋体" w:cs="Times New Roman"/>
                <w:b w:val="0"/>
                <w:bCs w:val="0"/>
                <w:i w:val="0"/>
                <w:iCs w:val="0"/>
                <w:color w:val="auto"/>
                <w:kern w:val="2"/>
                <w:sz w:val="24"/>
                <w:szCs w:val="24"/>
                <w:highlight w:val="none"/>
                <w:u w:val="none"/>
                <w:lang w:val="en-US" w:eastAsia="zh-CN" w:bidi="ar-SA"/>
              </w:rPr>
              <w:t>本项目位于易门工业园区大椿树片区易门铜业有限公司内，</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根据《云南省生态功能区划》，项目区生态功能区为</w:t>
            </w:r>
            <w:r>
              <w:rPr>
                <w:rFonts w:hint="eastAsia" w:ascii="Times New Roman" w:hAnsi="Times New Roman" w:eastAsia="宋体" w:cs="Times New Roman"/>
                <w:b w:val="0"/>
                <w:bCs w:val="0"/>
                <w:i w:val="0"/>
                <w:iCs w:val="0"/>
                <w:color w:val="auto"/>
                <w:kern w:val="2"/>
                <w:sz w:val="24"/>
                <w:szCs w:val="24"/>
                <w:highlight w:val="none"/>
                <w:u w:val="none"/>
                <w:lang w:val="en-US" w:eastAsia="zh-CN" w:bidi="ar-SA"/>
              </w:rPr>
              <w:t>Ⅲ1-5绿汁江河谷水土保持生态功能区</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；所在区域为</w:t>
            </w:r>
            <w:r>
              <w:rPr>
                <w:rFonts w:hint="eastAsia" w:ascii="Times New Roman" w:hAnsi="Times New Roman" w:eastAsia="宋体" w:cs="Times New Roman"/>
                <w:b w:val="0"/>
                <w:bCs w:val="0"/>
                <w:i w:val="0"/>
                <w:iCs w:val="0"/>
                <w:color w:val="auto"/>
                <w:kern w:val="2"/>
                <w:sz w:val="24"/>
                <w:szCs w:val="24"/>
                <w:highlight w:val="none"/>
                <w:u w:val="none"/>
                <w:lang w:val="en-US" w:eastAsia="zh-CN" w:bidi="ar-SA"/>
              </w:rPr>
              <w:t>易门</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w:t>
            </w:r>
            <w:r>
              <w:rPr>
                <w:rFonts w:hint="eastAsia" w:ascii="Times New Roman" w:hAnsi="Times New Roman" w:eastAsia="宋体" w:cs="Times New Roman"/>
                <w:b w:val="0"/>
                <w:bCs w:val="0"/>
                <w:i w:val="0"/>
                <w:iCs w:val="0"/>
                <w:color w:val="auto"/>
                <w:kern w:val="2"/>
                <w:sz w:val="24"/>
                <w:szCs w:val="24"/>
                <w:highlight w:val="none"/>
                <w:u w:val="none"/>
                <w:lang w:val="en-US" w:eastAsia="zh-CN" w:bidi="ar-SA"/>
              </w:rPr>
              <w:t>峨山</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w:t>
            </w:r>
            <w:r>
              <w:rPr>
                <w:rFonts w:hint="eastAsia" w:ascii="Times New Roman" w:hAnsi="Times New Roman" w:eastAsia="宋体" w:cs="Times New Roman"/>
                <w:b w:val="0"/>
                <w:bCs w:val="0"/>
                <w:i w:val="0"/>
                <w:iCs w:val="0"/>
                <w:color w:val="auto"/>
                <w:kern w:val="2"/>
                <w:sz w:val="24"/>
                <w:szCs w:val="24"/>
                <w:highlight w:val="none"/>
                <w:u w:val="none"/>
                <w:lang w:val="en-US" w:eastAsia="zh-CN" w:bidi="ar-SA"/>
              </w:rPr>
              <w:t>双柏、新平等县的河谷地带，面积5172.51平方公里；主要生态特征大部地区为中山河谷地貌。降雨量800-1000毫米，现存植被以云南松林为主，土壤以紫色土为主；主要生态环境问题为不合理的土地利用带来的水土流失严重；生态环境敏感性为土壤侵蚀高度敏感；主要生态系统服务功能为水土流失严重地区的综合整治；保护措施与发展方向为工程治理与生物治理相结合，改造水土流失严重地区的生态环境，加大封山育林的强度，调整土地利用方式，发展多种经营。</w:t>
            </w:r>
          </w:p>
          <w:p w14:paraId="0B5AA5E7">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废气采取措</w:t>
            </w:r>
            <w:r>
              <w:rPr>
                <w:rFonts w:hint="eastAsia" w:ascii="Times New Roman" w:hAnsi="Times New Roman" w:eastAsia="宋体" w:cs="Times New Roman"/>
                <w:color w:val="auto"/>
                <w:kern w:val="2"/>
                <w:sz w:val="24"/>
                <w:szCs w:val="24"/>
                <w:highlight w:val="none"/>
                <w:lang w:val="en-US" w:eastAsia="zh-CN" w:bidi="ar-SA"/>
              </w:rPr>
              <w:t>后</w:t>
            </w:r>
            <w:r>
              <w:rPr>
                <w:rFonts w:hint="default" w:ascii="Times New Roman" w:hAnsi="Times New Roman" w:eastAsia="宋体" w:cs="Times New Roman"/>
                <w:color w:val="auto"/>
                <w:kern w:val="2"/>
                <w:sz w:val="24"/>
                <w:szCs w:val="24"/>
                <w:highlight w:val="none"/>
                <w:lang w:val="en-US" w:eastAsia="zh-CN" w:bidi="ar-SA"/>
              </w:rPr>
              <w:t>施满足相关排放标准，</w:t>
            </w:r>
            <w:r>
              <w:rPr>
                <w:rFonts w:hint="eastAsia" w:ascii="Times New Roman" w:hAnsi="Times New Roman" w:eastAsia="宋体" w:cs="Times New Roman"/>
                <w:color w:val="auto"/>
                <w:kern w:val="0"/>
                <w:sz w:val="24"/>
                <w:szCs w:val="24"/>
                <w:highlight w:val="none"/>
                <w:lang w:val="en-US" w:eastAsia="zh-CN"/>
              </w:rPr>
              <w:t>生产废水循环使用，不外排</w:t>
            </w:r>
            <w:r>
              <w:rPr>
                <w:rFonts w:hint="eastAsia" w:cs="Times New Roman"/>
                <w:color w:val="auto"/>
                <w:kern w:val="0"/>
                <w:sz w:val="24"/>
                <w:szCs w:val="24"/>
                <w:highlight w:val="none"/>
                <w:lang w:val="en-US" w:eastAsia="zh-CN"/>
              </w:rPr>
              <w:t>；</w:t>
            </w:r>
            <w:r>
              <w:rPr>
                <w:rFonts w:hint="eastAsia" w:ascii="Times New Roman" w:hAnsi="Times New Roman" w:eastAsia="宋体" w:cs="Times New Roman"/>
                <w:color w:val="000000"/>
                <w:kern w:val="0"/>
                <w:sz w:val="24"/>
                <w:szCs w:val="24"/>
                <w:lang w:val="en-US" w:eastAsia="zh-CN" w:bidi="ar"/>
              </w:rPr>
              <w:t>车辆清洗废水收集沉淀后回用，不外排；生活污水收集后进入生活污水处理站（200m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/d），处理后回用于厂区绿化、道路洒水，不外排</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固废合理处置。因此，项目的建设不违反云南省生态功能区划中确定的保护措施和发展方向，符合《云南省生态功能区划》的要求。</w:t>
            </w:r>
          </w:p>
          <w:p w14:paraId="6C53251D">
            <w:pPr>
              <w:pStyle w:val="37"/>
              <w:keepNext w:val="0"/>
              <w:keepLines w:val="0"/>
              <w:pageBreakBefore w:val="0"/>
              <w:kinsoku/>
              <w:wordWrap/>
              <w:overflowPunct/>
              <w:bidi w:val="0"/>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项目与云南省生态功能区划位置关系图详见</w:t>
            </w:r>
            <w:r>
              <w:rPr>
                <w:rFonts w:hint="eastAsia" w:ascii="Times New Roman" w:hAnsi="Times New Roman" w:eastAsia="宋体" w:cs="Times New Roman"/>
                <w:color w:val="auto"/>
                <w:kern w:val="2"/>
                <w:sz w:val="24"/>
                <w:szCs w:val="24"/>
                <w:highlight w:val="none"/>
                <w:lang w:val="en-US" w:eastAsia="zh-CN" w:bidi="ar-SA"/>
              </w:rPr>
              <w:t>附图</w:t>
            </w:r>
            <w:r>
              <w:rPr>
                <w:rFonts w:hint="eastAsia"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w:t>
            </w:r>
          </w:p>
          <w:p w14:paraId="71849EC9">
            <w:pPr>
              <w:keepNext w:val="0"/>
              <w:keepLines w:val="0"/>
              <w:pageBreakBefore w:val="0"/>
              <w:kinsoku/>
              <w:wordWrap/>
              <w:overflowPunct/>
              <w:bidi w:val="0"/>
              <w:spacing w:line="360" w:lineRule="auto"/>
              <w:ind w:firstLine="482" w:firstLineChars="200"/>
              <w:textAlignment w:val="auto"/>
              <w:outlineLvl w:val="2"/>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9</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与</w:t>
            </w:r>
            <w:r>
              <w:rPr>
                <w:rFonts w:hint="eastAsia" w:cs="Times New Roman"/>
                <w:b/>
                <w:bCs/>
                <w:color w:val="auto"/>
                <w:kern w:val="2"/>
                <w:sz w:val="24"/>
                <w:szCs w:val="24"/>
                <w:lang w:val="en-US" w:eastAsia="zh-CN" w:bidi="ar-SA"/>
              </w:rPr>
              <w:t>国土空间规划符合性分析</w:t>
            </w:r>
          </w:p>
          <w:p w14:paraId="40F9543B">
            <w:pPr>
              <w:keepNext w:val="0"/>
              <w:keepLines w:val="0"/>
              <w:pageBreakBefore w:val="0"/>
              <w:kinsoku/>
              <w:wordWrap/>
              <w:overflowPunct/>
              <w:bidi w:val="0"/>
              <w:spacing w:line="360" w:lineRule="auto"/>
              <w:ind w:firstLine="482" w:firstLineChars="200"/>
              <w:textAlignment w:val="auto"/>
              <w:outlineLvl w:val="2"/>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（1）与《玉溪市国土空间总体规划（2021-2035年）》的协调性分析</w:t>
            </w:r>
          </w:p>
          <w:p w14:paraId="3982C849">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玉溪市国土空间总体规划（2021-2035年）》已于2024年3月29日由云南省人民政府批复，2025年1月由玉溪市人民政府发布实施。根据《云南省国土空间规划（2021-2035年）》，建立国土空间规划体系并监督实施，将主体功能区规划、土地利用规划、城乡规划等空间规划融合为统一的国土空间规划，实现“多规合一”，强化国土空间规划对各专项规划的指导约束作用，是党中央、国务院作出的重大战略部署。本次环评主要针对项目用地与《玉溪市国土空间总体规划（2021-2035年）》中“三区三线”及主体功能区规划的相关内容进行符合性分析，具体如下所述。</w:t>
            </w:r>
          </w:p>
          <w:p w14:paraId="2B956D6E">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《玉溪市国土空间总体规划（2021-2035年）》相关内容如下所述。第二章 目标定位与空间战略</w:t>
            </w:r>
            <w:r>
              <w:rPr>
                <w:rFonts w:hint="eastAsia" w:cs="Times New Roman"/>
                <w:color w:val="auto"/>
                <w:kern w:val="2"/>
                <w:sz w:val="24"/>
                <w:szCs w:val="24"/>
                <w:highlight w:val="none"/>
                <w:lang w:val="en-US" w:eastAsia="zh-CN" w:bidi="ar-SA"/>
              </w:rPr>
              <w:t xml:space="preserve"> </w:t>
            </w:r>
            <w:r>
              <w:rPr>
                <w:rFonts w:hint="eastAsia" w:ascii="Times New Roman" w:hAnsi="Times New Roman" w:eastAsia="宋体" w:cs="Times New Roman"/>
                <w:color w:val="auto"/>
                <w:kern w:val="2"/>
                <w:sz w:val="24"/>
                <w:szCs w:val="24"/>
                <w:highlight w:val="none"/>
                <w:lang w:val="en-US" w:eastAsia="zh-CN" w:bidi="ar-SA"/>
              </w:rPr>
              <w:t>第三节 国土空间开发保护战略</w:t>
            </w:r>
            <w:r>
              <w:rPr>
                <w:rFonts w:hint="eastAsia" w:cs="Times New Roman"/>
                <w:color w:val="auto"/>
                <w:kern w:val="2"/>
                <w:sz w:val="24"/>
                <w:szCs w:val="24"/>
                <w:highlight w:val="none"/>
                <w:lang w:val="en-US" w:eastAsia="zh-CN" w:bidi="ar-SA"/>
              </w:rPr>
              <w:t xml:space="preserve"> </w:t>
            </w:r>
            <w:r>
              <w:rPr>
                <w:rFonts w:hint="eastAsia" w:ascii="Times New Roman" w:hAnsi="Times New Roman" w:eastAsia="宋体" w:cs="Times New Roman"/>
                <w:color w:val="auto"/>
                <w:kern w:val="2"/>
                <w:sz w:val="24"/>
                <w:szCs w:val="24"/>
                <w:highlight w:val="none"/>
                <w:lang w:val="en-US" w:eastAsia="zh-CN" w:bidi="ar-SA"/>
              </w:rPr>
              <w:t>第9条 筑牢底线，全域统筹优化三生空间 实施耕地“三位一体”保护，严格划定耕地和永久基本农田，保护坝区长期稳定利用耕地，全面推进高标准农田建设。严守生态保护红线，锚固“四湖一屏一带、两廊多点”的生态安全格局，深入推进“湖泊革命”，加强“四湖”流域空间管控，推动高原湖泊水环境、水生态持续好转，筑牢云南哀牢山一元江河谷山地生态屏障，提升水土保持、水源涵养及生物多样性维护水平，增加生态系统碳汇能力。按照集约适度、绿色发展要求，合理划定城镇开发边界，重点提升中心城区、县城、园区的发展质量，推动坝区土地集约高效利用。</w:t>
            </w:r>
          </w:p>
          <w:p w14:paraId="714479CF">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第三章 夯实三区三线，优化国土空间开发保护格局 第二节 细化落实主体功能区战略 第16条 细化主体功能分区严格落实上位规划主体功能定位。按照《云南省国土空间规划（2021-2035年）》确定的主体功能定位，玉溪市新平彝族傣族自治县、元江哈尼族彝族傣族自治县为国家级农产品主产区，江川区、澄江市、通海县、华宁县为国家级重点生态功能区，红塔区、易门县、峨山彝族自治县为国家级城市化地区。深化乡镇、街道主体功能定位。立足资源禀赋和经济社会发展实际，以乡镇、街道为单元深化主体功能定位。将甸中镇、戛洒镇、那诺乡等21个乡镇优先划定为农产品主产区。将龙街街道、路居镇、高大傣族彝族乡等21个街道和乡镇协调划定为重点生态功能区。将玉兴街道、龙泉街道、化念镇等34个街道和乡镇协调划定为城市化地区。除特殊说明外，原则上经批准设立的各级各类园区、开发区、化工园区、产业集聚区在通过环境影响评估和生态环境部门审查后可按城市化地区管理。“四湖”流域内的城市化地区应以社区和村庄为单元，落实高原湖泊“两线三区”、“三线一单”等管控要求。江川区星云街道、宁海街道、前卫镇，澄江市凤麓街道、九村镇，通海县秀山街道、九龙街道应严格落实“四湖”生态保护管控要求。对于江川区星云街道河咀社区、宁海街道大庄社区、海浒社区、大营社区、前卫镇杨家咀村、渔村村、后卫村、小街村，通海县秀山街道金山社区、六一社区、长河社区、大树社区、万家社区、黄龙社区、东村社区等15个涉及湖滨生态红线和湖泊生态黄线的村庄（社区），应严格落实生态保护核心区、生态保护缓冲区的管控要求，按照重点生态功能区进行管理，并由下位规划予以落实。</w:t>
            </w:r>
          </w:p>
          <w:p w14:paraId="191B3610">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符合性分析：本次环评引用已发布实施的</w:t>
            </w:r>
            <w:r>
              <w:rPr>
                <w:rFonts w:hint="eastAsia" w:cs="Times New Roman"/>
                <w:color w:val="auto"/>
                <w:kern w:val="2"/>
                <w:sz w:val="24"/>
                <w:szCs w:val="24"/>
                <w:highlight w:val="none"/>
                <w:lang w:val="en-US" w:eastAsia="zh-CN" w:bidi="ar-SA"/>
              </w:rPr>
              <w:t>易门县</w:t>
            </w:r>
            <w:r>
              <w:rPr>
                <w:rFonts w:hint="eastAsia" w:ascii="Times New Roman" w:hAnsi="Times New Roman" w:eastAsia="宋体" w:cs="Times New Roman"/>
                <w:color w:val="auto"/>
                <w:kern w:val="2"/>
                <w:sz w:val="24"/>
                <w:szCs w:val="24"/>
                <w:highlight w:val="none"/>
                <w:lang w:val="en-US" w:eastAsia="zh-CN" w:bidi="ar-SA"/>
              </w:rPr>
              <w:t>“三区三线”划定成果进行分析。</w:t>
            </w:r>
            <w:r>
              <w:rPr>
                <w:rFonts w:hint="eastAsia" w:cs="Times New Roman"/>
                <w:color w:val="auto"/>
                <w:kern w:val="2"/>
                <w:sz w:val="24"/>
                <w:szCs w:val="24"/>
                <w:highlight w:val="none"/>
                <w:lang w:val="en-US" w:eastAsia="zh-CN" w:bidi="ar-SA"/>
              </w:rPr>
              <w:t>本项目位于云南易门产业园区大椿树片区，在易门铜业有限公司空地建设，</w:t>
            </w:r>
            <w:r>
              <w:rPr>
                <w:rFonts w:hint="eastAsia" w:ascii="Times New Roman" w:hAnsi="Times New Roman" w:eastAsia="宋体" w:cs="Times New Roman"/>
                <w:color w:val="auto"/>
                <w:kern w:val="2"/>
                <w:sz w:val="24"/>
                <w:szCs w:val="24"/>
                <w:highlight w:val="none"/>
                <w:lang w:val="en-US" w:eastAsia="zh-CN" w:bidi="ar-SA"/>
              </w:rPr>
              <w:t>项目不涉及占用永久基本农田</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不涉及占用生态保护红线，位于</w:t>
            </w:r>
            <w:r>
              <w:rPr>
                <w:rFonts w:hint="eastAsia" w:cs="Times New Roman"/>
                <w:color w:val="auto"/>
                <w:kern w:val="2"/>
                <w:sz w:val="24"/>
                <w:szCs w:val="24"/>
                <w:highlight w:val="none"/>
                <w:lang w:val="en-US" w:eastAsia="zh-CN" w:bidi="ar-SA"/>
              </w:rPr>
              <w:t>城镇编发边界范围内</w:t>
            </w:r>
            <w:r>
              <w:rPr>
                <w:rFonts w:hint="eastAsia" w:ascii="Times New Roman" w:hAnsi="Times New Roman" w:eastAsia="宋体" w:cs="Times New Roman"/>
                <w:color w:val="auto"/>
                <w:kern w:val="2"/>
                <w:sz w:val="24"/>
                <w:szCs w:val="24"/>
                <w:highlight w:val="none"/>
                <w:lang w:val="en-US" w:eastAsia="zh-CN" w:bidi="ar-SA"/>
              </w:rPr>
              <w:t>，未占用耕地后备资源，未占用耕地后备资源补充空间，与《玉溪市国土空间总体规划（2021-2035年）》的相关规定不冲突。</w:t>
            </w:r>
          </w:p>
          <w:p w14:paraId="5940F0B6">
            <w:pPr>
              <w:keepNext w:val="0"/>
              <w:keepLines w:val="0"/>
              <w:pageBreakBefore w:val="0"/>
              <w:kinsoku/>
              <w:wordWrap/>
              <w:overflowPunct/>
              <w:bidi w:val="0"/>
              <w:spacing w:line="360" w:lineRule="auto"/>
              <w:ind w:firstLine="482" w:firstLineChars="200"/>
              <w:textAlignment w:val="auto"/>
              <w:outlineLvl w:val="2"/>
              <w:rPr>
                <w:rFonts w:hint="eastAsia" w:cs="Times New Roman"/>
                <w:b/>
                <w:bCs/>
                <w:color w:val="auto"/>
                <w:kern w:val="2"/>
                <w:sz w:val="24"/>
                <w:szCs w:val="24"/>
                <w:lang w:val="en-US" w:eastAsia="zh-CN" w:bidi="ar-SA"/>
              </w:rPr>
            </w:pPr>
            <w:r>
              <w:rPr>
                <w:rFonts w:hint="eastAsia" w:cs="Times New Roman"/>
                <w:b/>
                <w:bCs/>
                <w:color w:val="auto"/>
                <w:kern w:val="2"/>
                <w:sz w:val="24"/>
                <w:szCs w:val="24"/>
                <w:highlight w:val="none"/>
                <w:lang w:val="en-US" w:eastAsia="zh-CN" w:bidi="ar-SA"/>
              </w:rPr>
              <w:t>（2）</w:t>
            </w:r>
            <w:r>
              <w:rPr>
                <w:rFonts w:hint="eastAsia" w:cs="Times New Roman"/>
                <w:b/>
                <w:bCs/>
                <w:color w:val="auto"/>
                <w:kern w:val="2"/>
                <w:sz w:val="24"/>
                <w:szCs w:val="24"/>
                <w:lang w:val="en-US" w:eastAsia="zh-CN" w:bidi="ar-SA"/>
              </w:rPr>
              <w:t>与《易门县国土空间总体规划（2021-2035年）》的协调性分析</w:t>
            </w:r>
          </w:p>
          <w:p w14:paraId="2856B302">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2024年6月15日，玉溪市人民政府以玉政复（2024）18号文一《玉溪市人民政府关于易门县国土空间总体规划（2021-2035年）的批复》对易门县国土空间总体规划进行了批复。</w:t>
            </w:r>
          </w:p>
          <w:p w14:paraId="57101F45">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易门县国土空间规划（2021-2035）》指出：规划总体定位为落实云南省“三个定位”和玉溪市“一极两区”定位要求，实现易门县“一区两城一基地”目标愿景。规划范围分县域和中心城区两个层次。县域：为易门县全部行政辖区，包括龙泉街道、六街街道、绿汁镇、浦贝葬族乡、十街葬族乡、铜厂彝族乡、小街乡，国土总面积1526.55平方公里。中心城区：为龙泉街道城市建设集中区域，包含县城组团和梅曾组团，面积1419.75公顷。</w:t>
            </w:r>
          </w:p>
          <w:p w14:paraId="53F44841">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空间结构与规模以“三区三线”划定成果为基础划定工业用地红线。云南易门产业园区内规划城镇开发边界规模为1164.26公顷，工业用地红线2196.18公顷。规划形成“一园四片区六区块”的产业空间结构。</w:t>
            </w:r>
          </w:p>
          <w:p w14:paraId="0AAEDF0B">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“一园”即整个云南易门产业园区；</w:t>
            </w:r>
          </w:p>
          <w:p w14:paraId="2C46E119">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“四片区”包括大椿树片区、麦子田片区、梅曾片区和六街片区；</w:t>
            </w:r>
          </w:p>
          <w:p w14:paraId="0F2F37C0">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“六区块”即六个产业集聚区块，大椿树片区包括两个区块（西侧的大椿树</w:t>
            </w:r>
          </w:p>
          <w:p w14:paraId="76E82354">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区块和东侧韩所区块），梅曾片区包括两个区块（北部的曾所区块和南部的梅营区块），麦子田片区和六街片区各有一个区块。</w:t>
            </w:r>
          </w:p>
          <w:p w14:paraId="3B1576B9">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大椿树片区引导：大椿树片区为循环经济产业示范区，纳入城镇开发规模714.39公顷，其中大椿树区块693.55公顷，韩所区块20.84公顷。主导产业为新材料产业（以稀贵金属和铜为重点）、绿色建材产业（以水泥及制品为主体，以陶瓷建材为特色），并综合发展现代物流产业、固废综合利用产业等。</w:t>
            </w:r>
          </w:p>
          <w:p w14:paraId="37C8C20B">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本项目位于云南易门产业园区大椿树片区易门铜业有限公司内，所在的产业园区已经纳入划定的城镇开发边界，不涉及基本农田保护区、生态红线等。根据《云南易门产业园区管理委员会关于易门铜业有限公司</w:t>
            </w:r>
            <w:r>
              <w:rPr>
                <w:rFonts w:hint="eastAsia" w:cs="Times New Roman"/>
                <w:color w:val="auto"/>
                <w:kern w:val="2"/>
                <w:sz w:val="24"/>
                <w:szCs w:val="24"/>
                <w:highlight w:val="none"/>
                <w:lang w:val="en-US" w:eastAsia="zh-CN" w:bidi="ar-SA"/>
              </w:rPr>
              <w:t>渣选工艺流程提效升级改造项目入园的复函</w:t>
            </w:r>
            <w:r>
              <w:rPr>
                <w:rFonts w:hint="default" w:ascii="Times New Roman" w:hAnsi="Times New Roman" w:eastAsia="宋体" w:cs="Times New Roman"/>
                <w:color w:val="auto"/>
                <w:kern w:val="2"/>
                <w:sz w:val="24"/>
                <w:szCs w:val="24"/>
                <w:highlight w:val="none"/>
                <w:lang w:val="en-US" w:eastAsia="zh-CN" w:bidi="ar-SA"/>
              </w:rPr>
              <w:t>》，项目符合云南易门产业园区大椿树片区的产业定位和产业发展方向，同意项目入园。</w:t>
            </w:r>
          </w:p>
          <w:p w14:paraId="16E97F8A">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综上，项目建设符合《易门县国土空间总体规划（2021-2035年）》。</w:t>
            </w:r>
          </w:p>
          <w:p w14:paraId="4B7BE2C1">
            <w:pPr>
              <w:pStyle w:val="37"/>
              <w:keepNext w:val="0"/>
              <w:keepLines w:val="0"/>
              <w:pageBreakBefore w:val="0"/>
              <w:widowControl w:val="0"/>
              <w:kinsoku/>
              <w:wordWrap/>
              <w:overflowPunct/>
              <w:autoSpaceDE/>
              <w:autoSpaceDN/>
              <w:bidi w:val="0"/>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10</w:t>
            </w:r>
            <w:r>
              <w:rPr>
                <w:rFonts w:hint="eastAsia" w:ascii="Times New Roman" w:hAnsi="Times New Roman" w:eastAsia="宋体" w:cs="Times New Roman"/>
                <w:b/>
                <w:bCs/>
                <w:color w:val="auto"/>
                <w:lang w:val="en-US" w:eastAsia="zh-CN"/>
              </w:rPr>
              <w:t>、</w:t>
            </w:r>
            <w:r>
              <w:rPr>
                <w:rFonts w:hint="eastAsia" w:cs="Times New Roman"/>
                <w:b/>
                <w:bCs/>
                <w:color w:val="auto"/>
                <w:lang w:val="en-US" w:eastAsia="zh-CN"/>
              </w:rPr>
              <w:t>与</w:t>
            </w:r>
            <w:r>
              <w:rPr>
                <w:rFonts w:hint="eastAsia" w:ascii="Times New Roman" w:hAnsi="Times New Roman" w:eastAsia="宋体" w:cs="Times New Roman"/>
                <w:b/>
                <w:bCs/>
                <w:color w:val="auto"/>
                <w:lang w:val="en-US" w:eastAsia="zh-CN"/>
              </w:rPr>
              <w:t>云南省生物多样性保护战略与行动计划（2012－2030年）</w:t>
            </w:r>
            <w:r>
              <w:rPr>
                <w:rFonts w:hint="eastAsia" w:cs="Times New Roman"/>
                <w:b/>
                <w:bCs/>
                <w:color w:val="auto"/>
                <w:lang w:val="en-US" w:eastAsia="zh-CN"/>
              </w:rPr>
              <w:t>符合性分析</w:t>
            </w:r>
          </w:p>
          <w:p w14:paraId="66215000">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云南省生物多样性保护战略与行动计划（2012－2030年）》划分的云南生物多样性保护优先区域，结合云南生态系统类型的典型性、特有程度、特殊生态功能以及物种的丰富程度、珍稀濒危程度、受威胁因子、经济用途、科学研究价值等因素，提出了全省生物多样性保护的6个一级优先区域和18个二级优先区域，涉及16个州、市101个县、市、区，总面积约9.5万平方千米，占云南国土面积的23.8%。</w:t>
            </w:r>
          </w:p>
          <w:p w14:paraId="5F080A90">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（一）滇西北高山峡谷针叶林区域</w:t>
            </w:r>
          </w:p>
          <w:p w14:paraId="3FEFB77D">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该区域包括高黎贡山北段温凉性针叶林区、梅里雪山－碧罗雪山寒温性针叶林区、云岭山脉寒温性－暖温性针叶林区和香格里拉山原寒温性针叶林区4个区。高黎贡山北段温凉性针叶林区范围涉及贡山、福贡县境内的怒江以西部分；梅里雪山－碧罗雪山寒温性针叶林区范围涉及德钦、贡山、福贡、维西、兰坪、泸水和云龙等县；云岭山脉寒温性－暖温性针叶林区范围涉及德钦、维西、香格里拉、玉龙、兰坪、巍山、漾濞、剑川和云龙等县；香格里拉山原寒温性针叶林区范围涉及香格里拉县和玉龙县。</w:t>
            </w:r>
          </w:p>
          <w:p w14:paraId="62D3F07D">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（二）云南南部边缘热带雨林区域</w:t>
            </w:r>
          </w:p>
          <w:p w14:paraId="70978568">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该区域包括高黎贡山南段中山湿性常绿阔叶林区、铜壁关热带雨林区、南汀河热带雨林区、西双版纳热带雨林区、红河湿润雨林区5个区。高黎贡山南段中山湿性常绿阔叶林区范围涉及泸水、腾冲、隆阳、龙陵、盈江等县、区；铜壁关热带雨林区范围涉及盈江、陇川、瑞丽、芒市和梁河等县、市；南汀河热带雨林区范围涉及镇康、永德、凤庆、云县、临翔、耿马、沧源和双江等县、区；西双版纳热带雨林区范围涉及勐海、景洪、勐腊、宁洱、西盟、孟连、澜沧和江城等县、市；红河湿润雨林区范围涉及江城、墨江、绿春、元阳、金平、建水、个旧、蒙自、屏边、河口、马关和文山等县、市。</w:t>
            </w:r>
          </w:p>
          <w:p w14:paraId="322173A6">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（三）滇东南喀斯特东南季风阔叶林区域</w:t>
            </w:r>
          </w:p>
          <w:p w14:paraId="1D5F7155">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范围涉及丘北、文山、广南、富宁、砚山、西畴、马关和麻栗坡等县、市，北纬22°49′－24°8′，东经103°50′－106°9′之间，西与红河州相邻，东向和北向接广西，南与越南接壤，面积约104.88万公顷。区内建有文山国家级自然保护区（西畴县部分），以及广南八宝、富宁驮娘江、马关老君山和麻栗坡老山等省级自然保护区4个。</w:t>
            </w:r>
          </w:p>
          <w:p w14:paraId="4723E3AE">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（四）滇东北乌蒙山湿润常绿阔叶林区域</w:t>
            </w:r>
          </w:p>
          <w:p w14:paraId="3A215464">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该区域包括乌蒙山湿润常绿阔叶林区和金沙江下游干热河谷区2个区。乌蒙山湿润常绿阔叶林区范围涉及绥江、水富、大关、彝良、昭阳、威信和镇雄等县、区，位于滇东北云、贵、川三省结合部；金沙江下游干热、干暖河谷区范围涉及禄劝、会泽、巧家、鲁甸、昭阳和永善等县、区，位于滇东北金沙江沿线。</w:t>
            </w:r>
          </w:p>
          <w:p w14:paraId="27FE4CDD">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五）澜沧江中游－哀牢山中山湿性常绿阔叶林区域该区域包括澜沧江中山宽谷常绿阔叶林区、无量山中山湿性常绿阔叶林区和哀牢山中山湿性常绿阔叶林区3个区。澜沧江中山宽谷常绿阔叶林区范围涉及临翔、云县和凤庆等县、区，属澜沧江流域中部地段；无量山中山湿性常绿阔叶林区范围涉及昌宁、巍山、南涧和景东等县，位于横断山脉南端中山峡谷区；哀牢山中山湿性常绿阔叶林区范围涉及南华、楚雄、景东、双柏、镇沅、新平、元江、红河和墨江等县、市。</w:t>
            </w:r>
          </w:p>
          <w:p w14:paraId="1C5DB3B5">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（六）云南高原湿地区域</w:t>
            </w:r>
          </w:p>
          <w:p w14:paraId="2987A1EB">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该区域包括滇中高原湖泊区、滇西北高原湖泊区和滇东北高山沼泽化草甸区3个区。滇中高原湖泊区以滇中高原为中心，湿地水面面积约6.52万公顷，以大型湖泊湿地、湖滨沼泽湿地和河流湿地为代表；滇西北高原湖泊区以滇西北典型的高原湖泊湿地为代表，湿地水面面积约2.47万公顷，包括香格里拉碧塔海、纳帕海、属都湖、千湖山冰蚀湖群，丽江拉市海和文海，宁蒗泸沽湖，永胜程海，以及大理洱海，剑川剑湖，洱源茈碧湖、西湖、海西海和鹤庆草海等；滇东北高山沼泽化草甸区以滇东北大量湖泊和沼泽化草甸为代表，面积约2.49万公顷。包括会泽者海，宣威逸谷海、鹰窝海、响宗海、关营海，沾益海峰等。</w:t>
            </w:r>
          </w:p>
          <w:p w14:paraId="6A9C3E90">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项目所在玉溪市易门县不涉及《云南省生物多样性保护战略与行动计划（2012－2030年）》规划的云南生物多样性保护优先区域范围内，和云南省生物多样性保护战略与行动计划（2012－2030年）不冲突。</w:t>
            </w:r>
          </w:p>
          <w:p w14:paraId="6E8C62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b w:val="0"/>
                <w:bCs/>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项目与</w:t>
            </w:r>
            <w:r>
              <w:rPr>
                <w:rFonts w:hint="eastAsia" w:ascii="Times New Roman" w:hAnsi="Times New Roman" w:eastAsia="宋体" w:cs="Times New Roman"/>
                <w:color w:val="auto"/>
                <w:kern w:val="2"/>
                <w:sz w:val="24"/>
                <w:szCs w:val="24"/>
                <w:highlight w:val="none"/>
                <w:lang w:val="en-US" w:eastAsia="zh-CN" w:bidi="ar-SA"/>
              </w:rPr>
              <w:t>项目与“云南省生物多样性保护优先区域”位置关系图</w:t>
            </w:r>
            <w:r>
              <w:rPr>
                <w:rFonts w:hint="default" w:ascii="Times New Roman" w:hAnsi="Times New Roman" w:eastAsia="宋体" w:cs="Times New Roman"/>
                <w:color w:val="auto"/>
                <w:kern w:val="2"/>
                <w:sz w:val="24"/>
                <w:szCs w:val="24"/>
                <w:highlight w:val="none"/>
                <w:lang w:val="en-US" w:eastAsia="zh-CN" w:bidi="ar-SA"/>
              </w:rPr>
              <w:t>详见</w:t>
            </w:r>
            <w:r>
              <w:rPr>
                <w:rFonts w:hint="eastAsia" w:ascii="Times New Roman" w:hAnsi="Times New Roman" w:eastAsia="宋体" w:cs="Times New Roman"/>
                <w:color w:val="auto"/>
                <w:kern w:val="2"/>
                <w:sz w:val="24"/>
                <w:szCs w:val="24"/>
                <w:highlight w:val="none"/>
                <w:lang w:val="en-US" w:eastAsia="zh-CN" w:bidi="ar-SA"/>
              </w:rPr>
              <w:t>附图9。</w:t>
            </w:r>
          </w:p>
          <w:p w14:paraId="75B4A455">
            <w:pPr>
              <w:keepNext w:val="0"/>
              <w:keepLines w:val="0"/>
              <w:pageBreakBefore w:val="0"/>
              <w:widowControl/>
              <w:kinsoku/>
              <w:wordWrap/>
              <w:overflowPunct/>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11</w:t>
            </w:r>
            <w:r>
              <w:rPr>
                <w:rFonts w:hint="eastAsia" w:ascii="Times New Roman" w:hAnsi="Times New Roman" w:eastAsia="宋体" w:cs="Times New Roman"/>
                <w:b/>
                <w:bCs/>
                <w:color w:val="auto"/>
                <w:kern w:val="2"/>
                <w:sz w:val="24"/>
                <w:szCs w:val="24"/>
                <w:lang w:val="en-US" w:eastAsia="zh-CN" w:bidi="ar-SA"/>
              </w:rPr>
              <w:t>、与《云南省固体废物污染环境防治条例》符合性分析</w:t>
            </w:r>
          </w:p>
          <w:p w14:paraId="1D60269E">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《云南省固体废物污染环境防治条例》已于</w:t>
            </w:r>
            <w:r>
              <w:rPr>
                <w:rFonts w:hint="default" w:ascii="Times New Roman" w:hAnsi="Times New Roman" w:eastAsia="宋体" w:cs="Times New Roman"/>
                <w:color w:val="auto"/>
                <w:kern w:val="2"/>
                <w:sz w:val="24"/>
                <w:szCs w:val="24"/>
                <w:highlight w:val="none"/>
                <w:lang w:val="en-US" w:eastAsia="zh-CN" w:bidi="ar-SA"/>
              </w:rPr>
              <w:t>2023</w:t>
            </w:r>
            <w:r>
              <w:rPr>
                <w:rFonts w:hint="eastAsia" w:ascii="Times New Roman" w:hAnsi="Times New Roman" w:eastAsia="宋体" w:cs="Times New Roman"/>
                <w:color w:val="auto"/>
                <w:kern w:val="2"/>
                <w:sz w:val="24"/>
                <w:szCs w:val="24"/>
                <w:highlight w:val="none"/>
                <w:lang w:val="en-US" w:eastAsia="zh-CN" w:bidi="ar-SA"/>
              </w:rPr>
              <w:t>年</w:t>
            </w:r>
            <w:r>
              <w:rPr>
                <w:rFonts w:hint="default"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月</w:t>
            </w:r>
            <w:r>
              <w:rPr>
                <w:rFonts w:hint="default" w:ascii="Times New Roman" w:hAnsi="Times New Roman" w:eastAsia="宋体"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日起施行，与产生固体废物的单位有关要求摘录如下：</w:t>
            </w:r>
          </w:p>
          <w:p w14:paraId="4CA6E481">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第二十四条 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w:t>
            </w:r>
            <w:r>
              <w:rPr>
                <w:rFonts w:hint="default"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年以上。</w:t>
            </w:r>
          </w:p>
          <w:p w14:paraId="09383743">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鼓励产生工业固体废物的单位在固体废物产生场所、贮存场所及计量设备等关键点位设置视频监控，提高台账记录信息的准确性。</w:t>
            </w:r>
          </w:p>
          <w:p w14:paraId="05E101CF">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禁止向生活垃圾收集设施中投放工业固体废物。</w:t>
            </w:r>
          </w:p>
          <w:p w14:paraId="50BF0351">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第二十五条 产生工业固体废物的单位委托他人运输、利用、处置工业固体废物的，应当对受托方的主体资格和技术能力进行核实，依法签订书面合同，在合同中约定污染防治要求。</w:t>
            </w:r>
          </w:p>
          <w:p w14:paraId="39F9F7C7">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受托方运输、利用、处置工业固体废物，应当依照有关法律法规的规定和合同约定履行污染防治要求，并将运输、利用、处置情况告知产生工业固体废物的单位。</w:t>
            </w:r>
          </w:p>
          <w:p w14:paraId="16DF3D28">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产生工业固体废物的单位违反本条第一款规定的，除依照有关法律法规的规定予以处罚外，还应当与造成环境污染和生态破坏的受托方承担连带责任。</w:t>
            </w:r>
          </w:p>
          <w:p w14:paraId="179FEDC3">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第二十六条 产生工业固体废物的单位应当依法实施清洁生产审核，合理选择和利用原材料、能源和其他资源，采用先进的生产工艺和设备，减少工业固体废物的产生量，降低工业固体废物的危害性。</w:t>
            </w:r>
          </w:p>
          <w:p w14:paraId="274AE42C">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产生工业固体废物的单位应当根据经济、技术条件对工业固体废物加以利用；对暂时不利用或者不能利用的，应当按照国家规定建设贮存设施、场所，安全分类存放，或者采取无害化处置措施。</w:t>
            </w:r>
          </w:p>
          <w:p w14:paraId="6F34A509">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贮存工业固体废物应当采取符合国家环境保护标准的防护措施。建设工业固体废物贮存、处置的设施、场所，应当符合国家环境保护标准。</w:t>
            </w:r>
          </w:p>
          <w:p w14:paraId="5648831C">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第二十七条 产生工业固体废物的单位应当依法取得排污许可证，向所在地生态环境主管部门提供工业固体废物的种类、数量、流向、贮存、利用、处置等有关资料，以及减少工业固体废物产生、促进综合利用的具体措施，并执行排污许可管理制度的相关规定。</w:t>
            </w:r>
          </w:p>
          <w:p w14:paraId="77C01F41">
            <w:pPr>
              <w:keepNext w:val="0"/>
              <w:keepLines w:val="0"/>
              <w:pageBreakBefore w:val="0"/>
              <w:widowControl/>
              <w:kinsoku/>
              <w:wordWrap/>
              <w:overflowPunct/>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产生的固体废物主要为一般工业固废、危险废物和生活垃圾，企业严格按照固体废物管理有关要求实现分类管理、分类处置。一般固体废物厂内规范暂存委托第三方单位进行综合利用，签订了相关的委托合同；危险废物按照规定建设贮存设施、场所暂存定期委托具有相应资质的单位进行安全处置，签订了相关的委托合同，按规范建立了工业固体废物的种类、数量、流向、贮存、利用、处置等台账，办理了相关的许可证。企业固体废物均得到了综合利用或得到合理处置，安全处置率</w:t>
            </w:r>
            <w:r>
              <w:rPr>
                <w:rFonts w:hint="default" w:ascii="Times New Roman" w:hAnsi="Times New Roman" w:eastAsia="宋体" w:cs="Times New Roman"/>
                <w:color w:val="auto"/>
                <w:kern w:val="2"/>
                <w:sz w:val="24"/>
                <w:szCs w:val="24"/>
                <w:highlight w:val="none"/>
                <w:lang w:val="en-US" w:eastAsia="zh-CN" w:bidi="ar-SA"/>
              </w:rPr>
              <w:t>100%</w:t>
            </w:r>
            <w:r>
              <w:rPr>
                <w:rFonts w:hint="eastAsia" w:ascii="Times New Roman" w:hAnsi="Times New Roman" w:eastAsia="宋体" w:cs="Times New Roman"/>
                <w:color w:val="auto"/>
                <w:kern w:val="2"/>
                <w:sz w:val="24"/>
                <w:szCs w:val="24"/>
                <w:highlight w:val="none"/>
                <w:lang w:val="en-US" w:eastAsia="zh-CN" w:bidi="ar-SA"/>
              </w:rPr>
              <w:t>，符合《云南省固体废物污染环境防治条例》的相关要求。</w:t>
            </w:r>
          </w:p>
          <w:p w14:paraId="00402C5F">
            <w:pPr>
              <w:pStyle w:val="37"/>
              <w:keepNext w:val="0"/>
              <w:keepLines w:val="0"/>
              <w:pageBreakBefore w:val="0"/>
              <w:widowControl w:val="0"/>
              <w:kinsoku/>
              <w:wordWrap/>
              <w:overflowPunct/>
              <w:autoSpaceDE/>
              <w:autoSpaceDN/>
              <w:bidi w:val="0"/>
              <w:textAlignment w:val="auto"/>
              <w:rPr>
                <w:rFonts w:hint="eastAsia"/>
                <w:b/>
                <w:bCs/>
                <w:color w:val="auto"/>
                <w:lang w:val="en-US" w:eastAsia="zh-CN"/>
              </w:rPr>
            </w:pPr>
            <w:r>
              <w:rPr>
                <w:rFonts w:hint="eastAsia"/>
                <w:b/>
                <w:bCs/>
                <w:color w:val="auto"/>
                <w:lang w:val="en-US" w:eastAsia="zh-CN"/>
              </w:rPr>
              <w:t>12、与云南省重金属污染综合防治规划的符合性分析</w:t>
            </w:r>
          </w:p>
          <w:p w14:paraId="537107A9">
            <w:pPr>
              <w:pStyle w:val="37"/>
              <w:keepNext w:val="0"/>
              <w:keepLines w:val="0"/>
              <w:pageBreakBefore w:val="0"/>
              <w:widowControl w:val="0"/>
              <w:kinsoku/>
              <w:wordWrap/>
              <w:overflowPunct/>
              <w:autoSpaceDE/>
              <w:autoSpaceDN/>
              <w:bidi w:val="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《云南省工业固体废物和重金属污染防治</w:t>
            </w:r>
            <w:r>
              <w:rPr>
                <w:rFonts w:hint="eastAsia" w:cs="Times New Roman"/>
                <w:color w:val="auto"/>
                <w:kern w:val="2"/>
                <w:sz w:val="24"/>
                <w:szCs w:val="24"/>
                <w:highlight w:val="none"/>
                <w:lang w:val="en-US" w:eastAsia="zh-CN" w:bidi="ar-SA"/>
              </w:rPr>
              <w:t>“十四五”</w:t>
            </w:r>
            <w:r>
              <w:rPr>
                <w:rFonts w:hint="default" w:ascii="Times New Roman" w:hAnsi="Times New Roman" w:eastAsia="宋体" w:cs="Times New Roman"/>
                <w:color w:val="auto"/>
                <w:kern w:val="2"/>
                <w:sz w:val="24"/>
                <w:szCs w:val="24"/>
                <w:highlight w:val="none"/>
                <w:lang w:val="en-US" w:eastAsia="zh-CN" w:bidi="ar-SA"/>
              </w:rPr>
              <w:t>规划》提出项目所在的玉溪市易门县不属于重点防控区域，玉溪市重点重金属污染物排放量2020年下降4%，同时规划强化工业固体废物源头管控，推进工业固体废物污染防治、强化利用处置，提高工业固体废物综合利用率，鼓励尾渣、冶炼渣等射中金属大宗工业固体废物综合利用，探索总量替代豁免管理，推动有价金属提取后剩余废渣的规模化利用。</w:t>
            </w:r>
          </w:p>
          <w:p w14:paraId="59CF3252">
            <w:pPr>
              <w:pStyle w:val="37"/>
              <w:keepNext w:val="0"/>
              <w:keepLines w:val="0"/>
              <w:pageBreakBefore w:val="0"/>
              <w:widowControl w:val="0"/>
              <w:kinsoku/>
              <w:wordWrap/>
              <w:overflowPunct/>
              <w:autoSpaceDE/>
              <w:autoSpaceDN/>
              <w:bidi w:val="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易门铜业公司属于国家级重点区域内重点企业，本项目在易门铜业公司现有厂内进行建设</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利用易门铜业有限公司冶炼渣</w:t>
            </w:r>
            <w:r>
              <w:rPr>
                <w:rFonts w:hint="eastAsia" w:cs="Times New Roman"/>
                <w:color w:val="auto"/>
                <w:kern w:val="2"/>
                <w:sz w:val="24"/>
                <w:szCs w:val="24"/>
                <w:highlight w:val="none"/>
                <w:lang w:val="en-US" w:eastAsia="zh-CN" w:bidi="ar-SA"/>
              </w:rPr>
              <w:t>进行磁选和浮选，选出铜精矿、铁精矿和尾矿</w:t>
            </w:r>
            <w:r>
              <w:rPr>
                <w:rFonts w:hint="default" w:ascii="Times New Roman" w:hAnsi="Times New Roman" w:eastAsia="宋体" w:cs="Times New Roman"/>
                <w:color w:val="auto"/>
                <w:kern w:val="2"/>
                <w:sz w:val="24"/>
                <w:szCs w:val="24"/>
                <w:highlight w:val="none"/>
                <w:lang w:val="en-US" w:eastAsia="zh-CN" w:bidi="ar-SA"/>
              </w:rPr>
              <w:t>，不属于冶炼范畴，项目属于资源综合回收、利项目，本项目有利于重金属污染防治，符合重金属污染综合防治规划的要求，因此，项目的实施符合云南省重金属污染综合防治规划要求。</w:t>
            </w:r>
          </w:p>
          <w:p w14:paraId="4B3D4F7E">
            <w:pPr>
              <w:pStyle w:val="37"/>
              <w:keepNext w:val="0"/>
              <w:keepLines w:val="0"/>
              <w:pageBreakBefore w:val="0"/>
              <w:widowControl w:val="0"/>
              <w:kinsoku/>
              <w:wordWrap/>
              <w:overflowPunct/>
              <w:autoSpaceDE/>
              <w:autoSpaceDN/>
              <w:bidi w:val="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13</w:t>
            </w:r>
            <w:r>
              <w:rPr>
                <w:rFonts w:hint="eastAsia" w:ascii="Times New Roman" w:hAnsi="Times New Roman" w:cs="Times New Roman"/>
                <w:b/>
                <w:bCs/>
                <w:color w:val="auto"/>
                <w:lang w:val="en-US" w:eastAsia="zh-CN"/>
              </w:rPr>
              <w:t>、与《</w:t>
            </w:r>
            <w:r>
              <w:rPr>
                <w:rFonts w:hint="default" w:ascii="Times New Roman" w:hAnsi="Times New Roman" w:cs="Times New Roman"/>
                <w:b/>
                <w:bCs/>
                <w:color w:val="auto"/>
                <w:lang w:val="en-US" w:eastAsia="zh-CN"/>
              </w:rPr>
              <w:t>固体废物综合治理行动计划</w:t>
            </w:r>
            <w:r>
              <w:rPr>
                <w:rFonts w:hint="eastAsia" w:ascii="Times New Roman" w:hAnsi="Times New Roman" w:cs="Times New Roman"/>
                <w:b/>
                <w:bCs/>
                <w:color w:val="auto"/>
                <w:lang w:val="en-US" w:eastAsia="zh-CN"/>
              </w:rPr>
              <w:t>》国发〔2025〕14号符合性分析</w:t>
            </w:r>
          </w:p>
          <w:p w14:paraId="4532B75C">
            <w:pPr>
              <w:pStyle w:val="37"/>
              <w:keepNext w:val="0"/>
              <w:keepLines w:val="0"/>
              <w:pageBreakBefore w:val="0"/>
              <w:widowControl w:val="0"/>
              <w:kinsoku/>
              <w:wordWrap/>
              <w:overflowPunct/>
              <w:autoSpaceDE/>
              <w:autoSpaceDN/>
              <w:bidi w:val="0"/>
              <w:textAlignment w:val="auto"/>
              <w:rPr>
                <w:rFonts w:hint="eastAsia" w:ascii="Times New Roman" w:hAnsi="Times New Roman"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本项目与《固体废物综合治理行动计划》</w:t>
            </w:r>
            <w:r>
              <w:rPr>
                <w:rFonts w:hint="eastAsia" w:ascii="Times New Roman" w:hAnsi="Times New Roman" w:eastAsia="宋体" w:cs="Times New Roman"/>
                <w:color w:val="auto"/>
                <w:kern w:val="2"/>
                <w:sz w:val="24"/>
                <w:szCs w:val="24"/>
                <w:highlight w:val="none"/>
                <w:lang w:val="en-US" w:eastAsia="zh-CN" w:bidi="ar-SA"/>
              </w:rPr>
              <w:t>国发〔2025〕14号符合性分析</w:t>
            </w:r>
            <w:r>
              <w:rPr>
                <w:rFonts w:hint="eastAsia" w:ascii="Times New Roman" w:hAnsi="Times New Roman" w:cs="Times New Roman"/>
                <w:color w:val="auto"/>
                <w:kern w:val="2"/>
                <w:sz w:val="24"/>
                <w:szCs w:val="24"/>
                <w:highlight w:val="none"/>
                <w:lang w:val="en-US" w:eastAsia="zh-CN" w:bidi="ar-SA"/>
              </w:rPr>
              <w:t>详见下表。</w:t>
            </w:r>
          </w:p>
          <w:p w14:paraId="08667618">
            <w:pPr>
              <w:pStyle w:val="37"/>
              <w:keepNext w:val="0"/>
              <w:keepLines w:val="0"/>
              <w:pageBreakBefore w:val="0"/>
              <w:widowControl w:val="0"/>
              <w:kinsoku/>
              <w:wordWrap/>
              <w:overflowPunct/>
              <w:autoSpaceDE/>
              <w:autoSpaceDN/>
              <w:bidi w:val="0"/>
              <w:ind w:left="0" w:leftChars="0" w:right="0" w:rightChars="0" w:firstLine="0" w:firstLineChars="0"/>
              <w:jc w:val="center"/>
              <w:textAlignment w:val="auto"/>
              <w:rPr>
                <w:rFonts w:hint="default" w:ascii="Times New Roman" w:hAnsi="Times New Roman" w:cs="Times New Roman"/>
                <w:color w:val="auto"/>
                <w:kern w:val="2"/>
                <w:sz w:val="24"/>
                <w:szCs w:val="24"/>
                <w:highlight w:val="none"/>
                <w:lang w:val="en-US" w:eastAsia="zh-CN" w:bidi="ar-SA"/>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 xml:space="preserve">11  </w:t>
            </w:r>
            <w:r>
              <w:rPr>
                <w:rFonts w:hint="eastAsia" w:ascii="黑体" w:hAnsi="黑体" w:eastAsia="黑体" w:cs="黑体"/>
                <w:b w:val="0"/>
                <w:bCs w:val="0"/>
                <w:color w:val="auto"/>
                <w:sz w:val="21"/>
                <w:szCs w:val="21"/>
                <w:highlight w:val="none"/>
              </w:rPr>
              <w:t>项目与</w:t>
            </w:r>
            <w:r>
              <w:rPr>
                <w:rFonts w:hint="eastAsia" w:ascii="黑体" w:hAnsi="黑体" w:eastAsia="黑体" w:cs="黑体"/>
                <w:b w:val="0"/>
                <w:bCs w:val="0"/>
                <w:color w:val="auto"/>
                <w:sz w:val="21"/>
                <w:szCs w:val="21"/>
                <w:highlight w:val="none"/>
                <w:lang w:val="en-US" w:eastAsia="zh-CN"/>
              </w:rPr>
              <w:t>《固体废物综合治理行动计划》符合性分析一览表</w:t>
            </w:r>
          </w:p>
          <w:tbl>
            <w:tblPr>
              <w:tblStyle w:val="22"/>
              <w:tblW w:w="70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
              <w:gridCol w:w="3270"/>
              <w:gridCol w:w="2960"/>
              <w:gridCol w:w="389"/>
            </w:tblGrid>
            <w:tr w14:paraId="6247B5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96" w:type="dxa"/>
                  <w:tcBorders>
                    <w:tl2br w:val="nil"/>
                    <w:tr2bl w:val="nil"/>
                  </w:tcBorders>
                  <w:vAlign w:val="center"/>
                </w:tcPr>
                <w:p w14:paraId="3003214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序号</w:t>
                  </w:r>
                </w:p>
              </w:tc>
              <w:tc>
                <w:tcPr>
                  <w:tcW w:w="3270" w:type="dxa"/>
                  <w:tcBorders>
                    <w:tl2br w:val="nil"/>
                    <w:tr2bl w:val="nil"/>
                  </w:tcBorders>
                  <w:vAlign w:val="center"/>
                </w:tcPr>
                <w:p w14:paraId="08E0166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具体要求</w:t>
                  </w:r>
                </w:p>
              </w:tc>
              <w:tc>
                <w:tcPr>
                  <w:tcW w:w="2960" w:type="dxa"/>
                  <w:tcBorders>
                    <w:tl2br w:val="nil"/>
                    <w:tr2bl w:val="nil"/>
                  </w:tcBorders>
                  <w:vAlign w:val="center"/>
                </w:tcPr>
                <w:p w14:paraId="271DC0F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本项目情况</w:t>
                  </w:r>
                </w:p>
              </w:tc>
              <w:tc>
                <w:tcPr>
                  <w:tcW w:w="389" w:type="dxa"/>
                  <w:tcBorders>
                    <w:tl2br w:val="nil"/>
                    <w:tr2bl w:val="nil"/>
                  </w:tcBorders>
                  <w:vAlign w:val="center"/>
                </w:tcPr>
                <w:p w14:paraId="5B01DC9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符合性</w:t>
                  </w:r>
                </w:p>
              </w:tc>
            </w:tr>
            <w:tr w14:paraId="6FBF5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423F10C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w:t>
                  </w:r>
                </w:p>
              </w:tc>
              <w:tc>
                <w:tcPr>
                  <w:tcW w:w="3270" w:type="dxa"/>
                  <w:tcBorders>
                    <w:tl2br w:val="nil"/>
                    <w:tr2bl w:val="nil"/>
                  </w:tcBorders>
                  <w:vAlign w:val="center"/>
                </w:tcPr>
                <w:p w14:paraId="681DC45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i w:val="0"/>
                      <w:iCs w:val="0"/>
                      <w:caps w:val="0"/>
                      <w:color w:val="000000"/>
                      <w:spacing w:val="0"/>
                      <w:sz w:val="18"/>
                      <w:szCs w:val="18"/>
                    </w:rPr>
                    <w:t>加强工业固体废物源头减量。严格落实产业、环保、节能等政策，依法依规淘汰落后产能。强化工业园区固体废物源头管控。大力推行绿色设计，支持企业改进生产工艺和装备，强化工业生产精细化管控，降低固体废物产生强度。推动重有色金属矿采选一体化建设，促进尾矿就近充填回填，原则上不再批准建设无自建矿山、无配套尾矿利用处置设施的选矿项目。推动重点行业固体废物产生量与综合消纳量逐步实现动态平衡。</w:t>
                  </w:r>
                </w:p>
              </w:tc>
              <w:tc>
                <w:tcPr>
                  <w:tcW w:w="2960" w:type="dxa"/>
                  <w:tcBorders>
                    <w:tl2br w:val="nil"/>
                    <w:tr2bl w:val="nil"/>
                  </w:tcBorders>
                  <w:vAlign w:val="center"/>
                </w:tcPr>
                <w:p w14:paraId="2283079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本项目属于铜冶炼渣综合利用项目，提高了铜冶炼渣综合利用水平，削减了铜冶炼渣库存量。</w:t>
                  </w:r>
                </w:p>
              </w:tc>
              <w:tc>
                <w:tcPr>
                  <w:tcW w:w="389" w:type="dxa"/>
                  <w:tcBorders>
                    <w:tl2br w:val="nil"/>
                    <w:tr2bl w:val="nil"/>
                  </w:tcBorders>
                  <w:vAlign w:val="center"/>
                </w:tcPr>
                <w:p w14:paraId="004F05D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54483F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67904B8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2</w:t>
                  </w:r>
                </w:p>
              </w:tc>
              <w:tc>
                <w:tcPr>
                  <w:tcW w:w="3270" w:type="dxa"/>
                  <w:tcBorders>
                    <w:tl2br w:val="nil"/>
                    <w:tr2bl w:val="nil"/>
                  </w:tcBorders>
                  <w:vAlign w:val="center"/>
                </w:tcPr>
                <w:p w14:paraId="02747571">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000000"/>
                      <w:spacing w:val="0"/>
                      <w:sz w:val="18"/>
                      <w:szCs w:val="18"/>
                      <w:lang w:val="en-US" w:eastAsia="zh-CN"/>
                    </w:rPr>
                  </w:pPr>
                  <w:r>
                    <w:rPr>
                      <w:rFonts w:hint="default" w:ascii="Times New Roman" w:hAnsi="Times New Roman" w:eastAsia="宋体" w:cs="Times New Roman"/>
                      <w:i w:val="0"/>
                      <w:iCs w:val="0"/>
                      <w:caps w:val="0"/>
                      <w:color w:val="000000"/>
                      <w:spacing w:val="0"/>
                      <w:sz w:val="18"/>
                      <w:szCs w:val="18"/>
                    </w:rPr>
                    <w:t>实施城镇固体废物源头管控。推进建筑垃圾分类处理。稳步发展装配式建筑，推广绿色施工、全装修或标准化装修交付，强化建筑工地固体废物源头管控。将建筑垃圾减量、运输、利用、处置所需费用列入工程造价，在工程招标和施工设计中明确减量要求和措施。探索房屋建筑和市政工程固体废物排放限额管理。鼓励就地就近处理园林垃圾。压实经营者主体责任，严格落实塑料制品规范使用和减量要求。加快推进快递包装绿色转型，加强商品过度包装治理。</w:t>
                  </w:r>
                </w:p>
              </w:tc>
              <w:tc>
                <w:tcPr>
                  <w:tcW w:w="2960" w:type="dxa"/>
                  <w:tcBorders>
                    <w:tl2br w:val="nil"/>
                    <w:tr2bl w:val="nil"/>
                  </w:tcBorders>
                  <w:vAlign w:val="center"/>
                </w:tcPr>
                <w:p w14:paraId="6DD02C8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000000"/>
                      <w:spacing w:val="0"/>
                      <w:sz w:val="18"/>
                      <w:szCs w:val="18"/>
                      <w:lang w:val="en-US" w:eastAsia="zh-CN"/>
                    </w:rPr>
                  </w:pPr>
                  <w:r>
                    <w:rPr>
                      <w:rFonts w:hint="default" w:ascii="Times New Roman" w:hAnsi="Times New Roman" w:eastAsia="宋体" w:cs="Times New Roman"/>
                      <w:i w:val="0"/>
                      <w:iCs w:val="0"/>
                      <w:caps w:val="0"/>
                      <w:color w:val="000000"/>
                      <w:spacing w:val="0"/>
                      <w:sz w:val="18"/>
                      <w:szCs w:val="18"/>
                    </w:rPr>
                    <w:t>本项目属固体废物综合利用项目，不属于建筑垃圾、园林垃圾及塑料制品。</w:t>
                  </w:r>
                </w:p>
              </w:tc>
              <w:tc>
                <w:tcPr>
                  <w:tcW w:w="389" w:type="dxa"/>
                  <w:tcBorders>
                    <w:tl2br w:val="nil"/>
                    <w:tr2bl w:val="nil"/>
                  </w:tcBorders>
                  <w:vAlign w:val="center"/>
                </w:tcPr>
                <w:p w14:paraId="78905A1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760065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2107B70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w:t>
                  </w:r>
                </w:p>
              </w:tc>
              <w:tc>
                <w:tcPr>
                  <w:tcW w:w="3270" w:type="dxa"/>
                  <w:tcBorders>
                    <w:tl2br w:val="nil"/>
                    <w:tr2bl w:val="nil"/>
                  </w:tcBorders>
                  <w:vAlign w:val="center"/>
                </w:tcPr>
                <w:p w14:paraId="6DF78242">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000000"/>
                      <w:spacing w:val="0"/>
                      <w:sz w:val="18"/>
                      <w:szCs w:val="18"/>
                      <w:lang w:val="en-US" w:eastAsia="zh-CN"/>
                    </w:rPr>
                  </w:pPr>
                  <w:r>
                    <w:rPr>
                      <w:rFonts w:hint="default" w:ascii="Times New Roman" w:hAnsi="Times New Roman" w:eastAsia="宋体" w:cs="Times New Roman"/>
                      <w:i w:val="0"/>
                      <w:iCs w:val="0"/>
                      <w:caps w:val="0"/>
                      <w:color w:val="000000"/>
                      <w:spacing w:val="0"/>
                      <w:sz w:val="18"/>
                      <w:szCs w:val="18"/>
                    </w:rPr>
                    <w:t>减少农林固体废物产生。加强地膜科学使用和管理，严禁非标地膜入市下田。强化农业投入品包装管理，减少包装废弃物产生。推广循环型农业生产模式。</w:t>
                  </w:r>
                </w:p>
              </w:tc>
              <w:tc>
                <w:tcPr>
                  <w:tcW w:w="2960" w:type="dxa"/>
                  <w:tcBorders>
                    <w:tl2br w:val="nil"/>
                    <w:tr2bl w:val="nil"/>
                  </w:tcBorders>
                  <w:vAlign w:val="center"/>
                </w:tcPr>
                <w:p w14:paraId="22C8FCF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000000"/>
                      <w:spacing w:val="0"/>
                      <w:sz w:val="18"/>
                      <w:szCs w:val="18"/>
                      <w:lang w:val="en-US" w:eastAsia="zh-CN"/>
                    </w:rPr>
                  </w:pPr>
                  <w:r>
                    <w:rPr>
                      <w:rFonts w:hint="eastAsia" w:ascii="Times New Roman" w:hAnsi="Times New Roman" w:eastAsia="宋体" w:cs="Times New Roman"/>
                      <w:i w:val="0"/>
                      <w:iCs w:val="0"/>
                      <w:caps w:val="0"/>
                      <w:color w:val="000000"/>
                      <w:spacing w:val="0"/>
                      <w:sz w:val="18"/>
                      <w:szCs w:val="18"/>
                      <w:lang w:val="en-US" w:eastAsia="zh-CN"/>
                    </w:rPr>
                    <w:t>本项目不涉及</w:t>
                  </w:r>
                </w:p>
              </w:tc>
              <w:tc>
                <w:tcPr>
                  <w:tcW w:w="389" w:type="dxa"/>
                  <w:tcBorders>
                    <w:tl2br w:val="nil"/>
                    <w:tr2bl w:val="nil"/>
                  </w:tcBorders>
                  <w:vAlign w:val="center"/>
                </w:tcPr>
                <w:p w14:paraId="483DE60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09F2F0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1DD3C0F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4</w:t>
                  </w:r>
                </w:p>
              </w:tc>
              <w:tc>
                <w:tcPr>
                  <w:tcW w:w="3270" w:type="dxa"/>
                  <w:tcBorders>
                    <w:tl2br w:val="nil"/>
                    <w:tr2bl w:val="nil"/>
                  </w:tcBorders>
                  <w:vAlign w:val="center"/>
                </w:tcPr>
                <w:p w14:paraId="057DD87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000000"/>
                      <w:spacing w:val="0"/>
                      <w:sz w:val="18"/>
                      <w:szCs w:val="18"/>
                      <w:lang w:val="en-US" w:eastAsia="zh-CN"/>
                    </w:rPr>
                  </w:pPr>
                  <w:r>
                    <w:rPr>
                      <w:rFonts w:hint="default" w:ascii="Times New Roman" w:hAnsi="Times New Roman" w:eastAsia="宋体" w:cs="Times New Roman"/>
                      <w:i w:val="0"/>
                      <w:iCs w:val="0"/>
                      <w:caps w:val="0"/>
                      <w:color w:val="000000"/>
                      <w:spacing w:val="0"/>
                      <w:sz w:val="18"/>
                      <w:szCs w:val="18"/>
                    </w:rPr>
                    <w:t>加强工业固体废物规范化管理。完善工业固体废物管理台账制度，强化全链条跟踪管控。推行工业固体废物分类收集贮存，防范混堆混排。禁止向生活垃圾收集设施中投放工业固体废物。严格执行工业固体废物、危险废物跨省转移审批制度。规范各类企业危险废物收集管理。</w:t>
                  </w:r>
                </w:p>
              </w:tc>
              <w:tc>
                <w:tcPr>
                  <w:tcW w:w="2960" w:type="dxa"/>
                  <w:tcBorders>
                    <w:tl2br w:val="nil"/>
                    <w:tr2bl w:val="nil"/>
                  </w:tcBorders>
                  <w:vAlign w:val="center"/>
                </w:tcPr>
                <w:p w14:paraId="44BC2C3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本项目运行过程中严格设置</w:t>
                  </w:r>
                  <w:r>
                    <w:rPr>
                      <w:rFonts w:hint="eastAsia" w:ascii="Times New Roman" w:hAnsi="Times New Roman" w:cs="Times New Roman"/>
                      <w:color w:val="auto"/>
                      <w:kern w:val="2"/>
                      <w:sz w:val="18"/>
                      <w:szCs w:val="18"/>
                      <w:highlight w:val="none"/>
                      <w:vertAlign w:val="baseline"/>
                      <w:lang w:val="en-US" w:eastAsia="zh-CN" w:bidi="ar-SA"/>
                    </w:rPr>
                    <w:t>管理台账制度</w:t>
                  </w:r>
                  <w:r>
                    <w:rPr>
                      <w:rFonts w:hint="eastAsia" w:ascii="Times New Roman" w:hAnsi="Times New Roman" w:eastAsia="宋体" w:cs="Times New Roman"/>
                      <w:color w:val="auto"/>
                      <w:kern w:val="2"/>
                      <w:sz w:val="18"/>
                      <w:szCs w:val="18"/>
                      <w:highlight w:val="none"/>
                      <w:vertAlign w:val="baseline"/>
                      <w:lang w:val="en-US" w:eastAsia="zh-CN" w:bidi="ar-SA"/>
                    </w:rPr>
                    <w:t>，不涉及跨省转移</w:t>
                  </w:r>
                </w:p>
              </w:tc>
              <w:tc>
                <w:tcPr>
                  <w:tcW w:w="389" w:type="dxa"/>
                  <w:tcBorders>
                    <w:tl2br w:val="nil"/>
                    <w:tr2bl w:val="nil"/>
                  </w:tcBorders>
                  <w:vAlign w:val="center"/>
                </w:tcPr>
                <w:p w14:paraId="630B1A0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413AB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3A7B7AB1">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5</w:t>
                  </w:r>
                </w:p>
              </w:tc>
              <w:tc>
                <w:tcPr>
                  <w:tcW w:w="3270" w:type="dxa"/>
                  <w:tcBorders>
                    <w:tl2br w:val="nil"/>
                    <w:tr2bl w:val="nil"/>
                  </w:tcBorders>
                  <w:vAlign w:val="center"/>
                </w:tcPr>
                <w:p w14:paraId="684865C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aps w:val="0"/>
                      <w:color w:val="000000"/>
                      <w:spacing w:val="0"/>
                      <w:sz w:val="18"/>
                      <w:szCs w:val="18"/>
                      <w:lang w:val="en-US" w:eastAsia="zh-CN"/>
                    </w:rPr>
                  </w:pPr>
                  <w:r>
                    <w:rPr>
                      <w:rFonts w:hint="default" w:ascii="Times New Roman" w:hAnsi="Times New Roman" w:eastAsia="宋体" w:cs="Times New Roman"/>
                      <w:i w:val="0"/>
                      <w:iCs w:val="0"/>
                      <w:caps w:val="0"/>
                      <w:color w:val="000000"/>
                      <w:spacing w:val="0"/>
                      <w:sz w:val="18"/>
                      <w:szCs w:val="18"/>
                    </w:rPr>
                    <w:t>规范城镇固体废物回收转运体系。提高生活垃圾分类和资源化利用水平。深化生活垃圾分类网点与废旧物资回收网点“两网融合”。发展“互联网+回收”模式。加强建筑工地、临时贮存场所信息化监管，加强运输车辆动态监管，严防沿途遗撒和乱倒乱卸建筑垃圾，防止城市建筑垃圾向农村转移。因地制宜配置园林垃圾分类收集容器和运输设备。</w:t>
                  </w:r>
                </w:p>
              </w:tc>
              <w:tc>
                <w:tcPr>
                  <w:tcW w:w="2960" w:type="dxa"/>
                  <w:tcBorders>
                    <w:tl2br w:val="nil"/>
                    <w:tr2bl w:val="nil"/>
                  </w:tcBorders>
                  <w:vAlign w:val="center"/>
                </w:tcPr>
                <w:p w14:paraId="5224A00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本项目不涉及</w:t>
                  </w:r>
                </w:p>
              </w:tc>
              <w:tc>
                <w:tcPr>
                  <w:tcW w:w="389" w:type="dxa"/>
                  <w:tcBorders>
                    <w:tl2br w:val="nil"/>
                    <w:tr2bl w:val="nil"/>
                  </w:tcBorders>
                  <w:vAlign w:val="center"/>
                </w:tcPr>
                <w:p w14:paraId="552F5E6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0ED614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0E6BD08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6</w:t>
                  </w:r>
                </w:p>
              </w:tc>
              <w:tc>
                <w:tcPr>
                  <w:tcW w:w="3270" w:type="dxa"/>
                  <w:tcBorders>
                    <w:tl2br w:val="nil"/>
                    <w:tr2bl w:val="nil"/>
                  </w:tcBorders>
                  <w:vAlign w:val="center"/>
                </w:tcPr>
                <w:p w14:paraId="423D6D3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提高农林固体废物收集转运能力。因地制宜建设畜禽粪污收集处理设施。健全秸秆收储运体系，培育专业化第三方服务主体。加强废旧农用物资和报废农机回收处置。积极发挥供销合作系统回收网络作用。建设农资经营点和农村垃圾回收站结合的回收体系，推广押金制、回收奖励制等模式。</w:t>
                  </w:r>
                </w:p>
              </w:tc>
              <w:tc>
                <w:tcPr>
                  <w:tcW w:w="2960" w:type="dxa"/>
                  <w:tcBorders>
                    <w:tl2br w:val="nil"/>
                    <w:tr2bl w:val="nil"/>
                  </w:tcBorders>
                  <w:vAlign w:val="center"/>
                </w:tcPr>
                <w:p w14:paraId="506A2B7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本项目不涉及</w:t>
                  </w:r>
                </w:p>
              </w:tc>
              <w:tc>
                <w:tcPr>
                  <w:tcW w:w="389" w:type="dxa"/>
                  <w:tcBorders>
                    <w:tl2br w:val="nil"/>
                    <w:tr2bl w:val="nil"/>
                  </w:tcBorders>
                  <w:vAlign w:val="center"/>
                </w:tcPr>
                <w:p w14:paraId="7C22175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69CF8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2CED61D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7</w:t>
                  </w:r>
                </w:p>
              </w:tc>
              <w:tc>
                <w:tcPr>
                  <w:tcW w:w="3270" w:type="dxa"/>
                  <w:tcBorders>
                    <w:tl2br w:val="nil"/>
                    <w:tr2bl w:val="nil"/>
                  </w:tcBorders>
                  <w:vAlign w:val="center"/>
                </w:tcPr>
                <w:p w14:paraId="75F8B35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加强大宗固体废弃物综合利用。提升冶炼渣、尾矿、共伴生矿、赤泥、建筑垃圾综合利用能力，加强有价组分高效提取及整体利用，因地制宜推动煤研石多元化利用。拓宽秸秆综合利用途径，提高秸秆还田科学化、规范化水平。推进畜禽养殖废弃物资源化利用。</w:t>
                  </w:r>
                </w:p>
              </w:tc>
              <w:tc>
                <w:tcPr>
                  <w:tcW w:w="2960" w:type="dxa"/>
                  <w:tcBorders>
                    <w:tl2br w:val="nil"/>
                    <w:tr2bl w:val="nil"/>
                  </w:tcBorders>
                  <w:vAlign w:val="center"/>
                </w:tcPr>
                <w:p w14:paraId="2FE4DC6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本项目为铜冶炼渣综合利用项目，利用</w:t>
                  </w:r>
                  <w:r>
                    <w:rPr>
                      <w:rFonts w:hint="eastAsia" w:cs="Times New Roman"/>
                      <w:color w:val="auto"/>
                      <w:kern w:val="2"/>
                      <w:sz w:val="18"/>
                      <w:szCs w:val="18"/>
                      <w:highlight w:val="none"/>
                      <w:vertAlign w:val="baseline"/>
                      <w:lang w:val="en-US" w:eastAsia="zh-CN" w:bidi="ar-SA"/>
                    </w:rPr>
                    <w:t>铜</w:t>
                  </w:r>
                  <w:r>
                    <w:rPr>
                      <w:rFonts w:hint="eastAsia" w:ascii="Times New Roman" w:hAnsi="Times New Roman" w:eastAsia="宋体" w:cs="Times New Roman"/>
                      <w:color w:val="auto"/>
                      <w:kern w:val="2"/>
                      <w:sz w:val="18"/>
                      <w:szCs w:val="18"/>
                      <w:highlight w:val="none"/>
                      <w:vertAlign w:val="baseline"/>
                      <w:lang w:val="en-US" w:eastAsia="zh-CN" w:bidi="ar-SA"/>
                    </w:rPr>
                    <w:t>冶炼渣进行浮选和磁选，选出铜精矿和铁精矿，加强了有效资源综合利用。</w:t>
                  </w:r>
                </w:p>
              </w:tc>
              <w:tc>
                <w:tcPr>
                  <w:tcW w:w="389" w:type="dxa"/>
                  <w:tcBorders>
                    <w:tl2br w:val="nil"/>
                    <w:tr2bl w:val="nil"/>
                  </w:tcBorders>
                  <w:vAlign w:val="center"/>
                </w:tcPr>
                <w:p w14:paraId="40624CC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731FE4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20C6054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8</w:t>
                  </w:r>
                </w:p>
              </w:tc>
              <w:tc>
                <w:tcPr>
                  <w:tcW w:w="3270" w:type="dxa"/>
                  <w:tcBorders>
                    <w:tl2br w:val="nil"/>
                    <w:tr2bl w:val="nil"/>
                  </w:tcBorders>
                  <w:vAlign w:val="center"/>
                </w:tcPr>
                <w:p w14:paraId="1D7739A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提升再生资源循环利用水平。强化再生资源综合利用行业规范管理。开展“城市矿产”示范基地升级行动。深入实施生产者责任延伸制度，引导电器电子产品、汽车、动力电池等生产企业参与回收利用。完善旧货交易管理制度。鼓励“互联网+二手”模式发展。大力发展再制造产业。在确保固体废物零进口的前提下，有序推进海外优质再生资源进口利用。</w:t>
                  </w:r>
                </w:p>
              </w:tc>
              <w:tc>
                <w:tcPr>
                  <w:tcW w:w="2960" w:type="dxa"/>
                  <w:tcBorders>
                    <w:tl2br w:val="nil"/>
                    <w:tr2bl w:val="nil"/>
                  </w:tcBorders>
                  <w:vAlign w:val="center"/>
                </w:tcPr>
                <w:p w14:paraId="043C34E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本项目属固体废物综合利用项目，属于</w:t>
                  </w:r>
                  <w:r>
                    <w:rPr>
                      <w:rFonts w:hint="eastAsia" w:ascii="Times New Roman" w:hAnsi="Times New Roman" w:cs="Times New Roman"/>
                      <w:color w:val="auto"/>
                      <w:kern w:val="2"/>
                      <w:sz w:val="18"/>
                      <w:szCs w:val="18"/>
                      <w:highlight w:val="none"/>
                      <w:vertAlign w:val="baseline"/>
                      <w:lang w:val="en-US" w:eastAsia="zh-CN" w:bidi="ar-SA"/>
                    </w:rPr>
                    <w:t>铜冶炼渣</w:t>
                  </w:r>
                  <w:r>
                    <w:rPr>
                      <w:rFonts w:hint="eastAsia" w:ascii="Times New Roman" w:hAnsi="Times New Roman" w:eastAsia="宋体" w:cs="Times New Roman"/>
                      <w:color w:val="auto"/>
                      <w:kern w:val="2"/>
                      <w:sz w:val="18"/>
                      <w:szCs w:val="18"/>
                      <w:highlight w:val="none"/>
                      <w:vertAlign w:val="baseline"/>
                      <w:lang w:val="en-US" w:eastAsia="zh-CN" w:bidi="ar-SA"/>
                    </w:rPr>
                    <w:t>的综合利用，提升了资源循环利用水平。</w:t>
                  </w:r>
                </w:p>
              </w:tc>
              <w:tc>
                <w:tcPr>
                  <w:tcW w:w="389" w:type="dxa"/>
                  <w:tcBorders>
                    <w:tl2br w:val="nil"/>
                    <w:tr2bl w:val="nil"/>
                  </w:tcBorders>
                  <w:vAlign w:val="center"/>
                </w:tcPr>
                <w:p w14:paraId="55D34FB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54C5FC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38C59C5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9</w:t>
                  </w:r>
                </w:p>
              </w:tc>
              <w:tc>
                <w:tcPr>
                  <w:tcW w:w="3270" w:type="dxa"/>
                  <w:tcBorders>
                    <w:tl2br w:val="nil"/>
                    <w:tr2bl w:val="nil"/>
                  </w:tcBorders>
                  <w:vAlign w:val="center"/>
                </w:tcPr>
                <w:p w14:paraId="69B5977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加强再生材料应用推广。建立完善再生材料标准和认证制度。研究实施再生材料和产品碳足迹认证。引导生产企业提高再生材料应用比例。推动将再生材料应用情况纳入企业履行社会责任范围。将更多符合条件的再生材料和产品纳入政府绿色采购范围。探索再生材料应用情况信息化追溯。</w:t>
                  </w:r>
                </w:p>
              </w:tc>
              <w:tc>
                <w:tcPr>
                  <w:tcW w:w="2960" w:type="dxa"/>
                  <w:tcBorders>
                    <w:tl2br w:val="nil"/>
                    <w:tr2bl w:val="nil"/>
                  </w:tcBorders>
                  <w:vAlign w:val="center"/>
                </w:tcPr>
                <w:p w14:paraId="11E96AC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本项目不涉及</w:t>
                  </w:r>
                </w:p>
              </w:tc>
              <w:tc>
                <w:tcPr>
                  <w:tcW w:w="389" w:type="dxa"/>
                  <w:tcBorders>
                    <w:tl2br w:val="nil"/>
                    <w:tr2bl w:val="nil"/>
                  </w:tcBorders>
                  <w:vAlign w:val="center"/>
                </w:tcPr>
                <w:p w14:paraId="5C3545E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3D3AD1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6F9820F2">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10</w:t>
                  </w:r>
                </w:p>
              </w:tc>
              <w:tc>
                <w:tcPr>
                  <w:tcW w:w="3270" w:type="dxa"/>
                  <w:tcBorders>
                    <w:tl2br w:val="nil"/>
                    <w:tr2bl w:val="nil"/>
                  </w:tcBorders>
                  <w:vAlign w:val="center"/>
                </w:tcPr>
                <w:p w14:paraId="5884C7E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提升全过程无害化水平。加强大宗工业固体废物无害化预处理，降低贮存填埋量和环境污染风险。因地制宜确定生活垃圾处理方式，合理布局建设生活垃圾焚烧处理设施，鼓励在确保安全稳定运行前提下，协同处置城镇污水处理厂污泥和工业固体废物。新建生活垃圾焚烧项目应同步落实飞灰处理途径，逐步减少飞灰填埋量。优化污泥处理处置结构，压减填埋规模。</w:t>
                  </w:r>
                </w:p>
              </w:tc>
              <w:tc>
                <w:tcPr>
                  <w:tcW w:w="2960" w:type="dxa"/>
                  <w:tcBorders>
                    <w:tl2br w:val="nil"/>
                    <w:tr2bl w:val="nil"/>
                  </w:tcBorders>
                  <w:vAlign w:val="center"/>
                </w:tcPr>
                <w:p w14:paraId="6ADBE0D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为铜冶炼渣综合利用项目，浮选出的铜精矿返回冶炼厂原料仓，尾矿外售给易门六街二台坡选矿有限公司、海邦矿业（峨山）有限公司以及易门洪斌经贸有限公司进行综合利用，本项目加强了工业固体废物综合利用。</w:t>
                  </w:r>
                </w:p>
              </w:tc>
              <w:tc>
                <w:tcPr>
                  <w:tcW w:w="389" w:type="dxa"/>
                  <w:tcBorders>
                    <w:tl2br w:val="nil"/>
                    <w:tr2bl w:val="nil"/>
                  </w:tcBorders>
                  <w:vAlign w:val="center"/>
                </w:tcPr>
                <w:p w14:paraId="289481B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32D2A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3FA70F1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11</w:t>
                  </w:r>
                </w:p>
              </w:tc>
              <w:tc>
                <w:tcPr>
                  <w:tcW w:w="3270" w:type="dxa"/>
                  <w:tcBorders>
                    <w:tl2br w:val="nil"/>
                    <w:tr2bl w:val="nil"/>
                  </w:tcBorders>
                  <w:vAlign w:val="center"/>
                </w:tcPr>
                <w:p w14:paraId="22C5E3B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稳妥有序探索规模化消纳利用渠道。在符合环境质量标准、污染风险管控要求和安全生产要求前提下，探索通过井下充填、矿坑回填、生态修复等方式规模化消纳利用大宗工业固体废物。建立统一规范的管理制度，加强部门协同，严格履行相关审批和决策程序，坚决防范以规模化消纳利用名义非法倾倒。</w:t>
                  </w:r>
                </w:p>
              </w:tc>
              <w:tc>
                <w:tcPr>
                  <w:tcW w:w="2960" w:type="dxa"/>
                  <w:tcBorders>
                    <w:tl2br w:val="nil"/>
                    <w:tr2bl w:val="nil"/>
                  </w:tcBorders>
                  <w:vAlign w:val="center"/>
                </w:tcPr>
                <w:p w14:paraId="0A52BB0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本项目属固体废物综合利用项目，属于铜冶炼渣的综合利用，禁止规模化消纳利用名义非法倾倒。</w:t>
                  </w:r>
                </w:p>
              </w:tc>
              <w:tc>
                <w:tcPr>
                  <w:tcW w:w="389" w:type="dxa"/>
                  <w:tcBorders>
                    <w:tl2br w:val="nil"/>
                    <w:tr2bl w:val="nil"/>
                  </w:tcBorders>
                  <w:vAlign w:val="center"/>
                </w:tcPr>
                <w:p w14:paraId="665A14A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bl>
          <w:p w14:paraId="5EC42D04">
            <w:pPr>
              <w:pStyle w:val="37"/>
              <w:keepNext w:val="0"/>
              <w:keepLines w:val="0"/>
              <w:pageBreakBefore w:val="0"/>
              <w:widowControl w:val="0"/>
              <w:kinsoku/>
              <w:wordWrap/>
              <w:overflowPunct/>
              <w:topLinePunct/>
              <w:autoSpaceDE/>
              <w:autoSpaceDN/>
              <w:bidi w:val="0"/>
              <w:adjustRightInd w:val="0"/>
              <w:snapToGrid w:val="0"/>
              <w:ind w:left="0" w:leftChars="0" w:firstLine="480" w:firstLineChars="200"/>
              <w:textAlignment w:val="auto"/>
              <w:rPr>
                <w:rFonts w:hint="default"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4"/>
                <w:szCs w:val="21"/>
                <w:lang w:val="en-US" w:eastAsia="zh-CN" w:bidi="ar-SA"/>
              </w:rPr>
              <w:t>综上所述，项目建设符合《固体废物综合治理行动计划》中的相关要求。</w:t>
            </w:r>
          </w:p>
          <w:p w14:paraId="208205E5">
            <w:pPr>
              <w:pStyle w:val="37"/>
              <w:keepNext w:val="0"/>
              <w:keepLines w:val="0"/>
              <w:pageBreakBefore w:val="0"/>
              <w:widowControl w:val="0"/>
              <w:kinsoku/>
              <w:wordWrap/>
              <w:overflowPunct/>
              <w:autoSpaceDE/>
              <w:autoSpaceDN/>
              <w:bidi w:val="0"/>
              <w:textAlignment w:val="auto"/>
              <w:rPr>
                <w:rFonts w:hint="default"/>
                <w:b/>
                <w:bCs/>
                <w:color w:val="auto"/>
                <w:lang w:val="en-US" w:eastAsia="zh-CN"/>
              </w:rPr>
            </w:pPr>
            <w:r>
              <w:rPr>
                <w:rFonts w:hint="eastAsia"/>
                <w:b/>
                <w:bCs/>
                <w:color w:val="auto"/>
                <w:lang w:val="en-US" w:eastAsia="zh-CN"/>
              </w:rPr>
              <w:t>14、与《云南省关于深入打好污染防治攻坚战实施方案》符合性分析</w:t>
            </w:r>
          </w:p>
          <w:p w14:paraId="463FF8C4">
            <w:pPr>
              <w:pStyle w:val="37"/>
              <w:keepNext w:val="0"/>
              <w:keepLines w:val="0"/>
              <w:pageBreakBefore w:val="0"/>
              <w:widowControl w:val="0"/>
              <w:kinsoku/>
              <w:wordWrap/>
              <w:overflowPunct/>
              <w:autoSpaceDE/>
              <w:autoSpaceDN/>
              <w:bidi w:val="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w:t>
            </w:r>
            <w:r>
              <w:rPr>
                <w:rFonts w:hint="eastAsia" w:ascii="Times New Roman" w:hAnsi="Times New Roman" w:eastAsia="宋体" w:cs="Times New Roman"/>
                <w:color w:val="auto"/>
                <w:kern w:val="2"/>
                <w:sz w:val="24"/>
                <w:szCs w:val="24"/>
                <w:highlight w:val="none"/>
                <w:lang w:val="en-US" w:eastAsia="zh-CN" w:bidi="ar-SA"/>
              </w:rPr>
              <w:t>项目与《云南省关于深入打好污染防治攻坚战实施方案》符合性分析详见下表。</w:t>
            </w:r>
          </w:p>
          <w:p w14:paraId="1497C42C">
            <w:pPr>
              <w:pStyle w:val="37"/>
              <w:keepNext w:val="0"/>
              <w:keepLines w:val="0"/>
              <w:pageBreakBefore w:val="0"/>
              <w:widowControl w:val="0"/>
              <w:kinsoku/>
              <w:wordWrap/>
              <w:overflowPunct/>
              <w:autoSpaceDE/>
              <w:autoSpaceDN/>
              <w:bidi w:val="0"/>
              <w:ind w:left="0" w:leftChars="0" w:right="0" w:rightChars="0" w:firstLine="0" w:firstLineChars="0"/>
              <w:jc w:val="center"/>
              <w:textAlignment w:val="auto"/>
              <w:rPr>
                <w:rFonts w:hint="default"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 xml:space="preserve">12  </w:t>
            </w:r>
            <w:r>
              <w:rPr>
                <w:rFonts w:hint="eastAsia" w:ascii="黑体" w:hAnsi="黑体" w:eastAsia="黑体" w:cs="黑体"/>
                <w:b w:val="0"/>
                <w:bCs w:val="0"/>
                <w:color w:val="auto"/>
                <w:sz w:val="21"/>
                <w:szCs w:val="21"/>
                <w:highlight w:val="none"/>
              </w:rPr>
              <w:t>项目与</w:t>
            </w:r>
            <w:r>
              <w:rPr>
                <w:rFonts w:hint="eastAsia" w:ascii="黑体" w:hAnsi="黑体" w:eastAsia="黑体" w:cs="黑体"/>
                <w:b w:val="0"/>
                <w:bCs w:val="0"/>
                <w:color w:val="auto"/>
                <w:sz w:val="21"/>
                <w:szCs w:val="21"/>
                <w:highlight w:val="none"/>
                <w:lang w:val="en-US" w:eastAsia="zh-CN"/>
              </w:rPr>
              <w:t>《云南省关于深入打好污染防治攻坚战实施方案》符合性分析一览表</w:t>
            </w:r>
          </w:p>
          <w:tbl>
            <w:tblPr>
              <w:tblStyle w:val="22"/>
              <w:tblW w:w="70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
              <w:gridCol w:w="3270"/>
              <w:gridCol w:w="2960"/>
              <w:gridCol w:w="389"/>
            </w:tblGrid>
            <w:tr w14:paraId="4B5287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6F793CE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序号</w:t>
                  </w:r>
                </w:p>
              </w:tc>
              <w:tc>
                <w:tcPr>
                  <w:tcW w:w="3270" w:type="dxa"/>
                  <w:tcBorders>
                    <w:tl2br w:val="nil"/>
                    <w:tr2bl w:val="nil"/>
                  </w:tcBorders>
                  <w:vAlign w:val="center"/>
                </w:tcPr>
                <w:p w14:paraId="3D6AD40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具体要求</w:t>
                  </w:r>
                </w:p>
              </w:tc>
              <w:tc>
                <w:tcPr>
                  <w:tcW w:w="2960" w:type="dxa"/>
                  <w:tcBorders>
                    <w:tl2br w:val="nil"/>
                    <w:tr2bl w:val="nil"/>
                  </w:tcBorders>
                  <w:vAlign w:val="center"/>
                </w:tcPr>
                <w:p w14:paraId="31D11D52">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本项目情况</w:t>
                  </w:r>
                </w:p>
              </w:tc>
              <w:tc>
                <w:tcPr>
                  <w:tcW w:w="389" w:type="dxa"/>
                  <w:tcBorders>
                    <w:tl2br w:val="nil"/>
                    <w:tr2bl w:val="nil"/>
                  </w:tcBorders>
                  <w:vAlign w:val="center"/>
                </w:tcPr>
                <w:p w14:paraId="2928AC52">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符合性</w:t>
                  </w:r>
                </w:p>
              </w:tc>
            </w:tr>
            <w:tr w14:paraId="71951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37638EB1">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w:t>
                  </w:r>
                </w:p>
              </w:tc>
              <w:tc>
                <w:tcPr>
                  <w:tcW w:w="3270" w:type="dxa"/>
                  <w:tcBorders>
                    <w:tl2br w:val="nil"/>
                    <w:tr2bl w:val="nil"/>
                  </w:tcBorders>
                  <w:vAlign w:val="center"/>
                </w:tcPr>
                <w:p w14:paraId="140F20B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推动能源清洁低碳转型。在保障能源安全的前提下，严格合理控制煤炭消费增长，有序减量替代。建设国家清洁能源基地，打造“风光水火储”多能互补基地，提高电能占终端能源消费比重。</w:t>
                  </w:r>
                </w:p>
              </w:tc>
              <w:tc>
                <w:tcPr>
                  <w:tcW w:w="2960" w:type="dxa"/>
                  <w:tcBorders>
                    <w:tl2br w:val="nil"/>
                    <w:tr2bl w:val="nil"/>
                  </w:tcBorders>
                  <w:vAlign w:val="center"/>
                </w:tcPr>
                <w:p w14:paraId="04E8F65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cs="Times New Roman"/>
                      <w:color w:val="auto"/>
                      <w:kern w:val="2"/>
                      <w:sz w:val="18"/>
                      <w:szCs w:val="18"/>
                      <w:highlight w:val="none"/>
                      <w:vertAlign w:val="baseline"/>
                      <w:lang w:val="en-US" w:eastAsia="zh-CN" w:bidi="ar-SA"/>
                    </w:rPr>
                    <w:t>本项目不使用煤炭，能源使用电能，属清洁能源。</w:t>
                  </w:r>
                </w:p>
              </w:tc>
              <w:tc>
                <w:tcPr>
                  <w:tcW w:w="389" w:type="dxa"/>
                  <w:tcBorders>
                    <w:tl2br w:val="nil"/>
                    <w:tr2bl w:val="nil"/>
                  </w:tcBorders>
                  <w:vAlign w:val="center"/>
                </w:tcPr>
                <w:p w14:paraId="3802BAE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327908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5167EC1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2</w:t>
                  </w:r>
                </w:p>
              </w:tc>
              <w:tc>
                <w:tcPr>
                  <w:tcW w:w="3270" w:type="dxa"/>
                  <w:tcBorders>
                    <w:tl2br w:val="nil"/>
                    <w:tr2bl w:val="nil"/>
                  </w:tcBorders>
                  <w:vAlign w:val="center"/>
                </w:tcPr>
                <w:p w14:paraId="70888F7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ascii="Times New Roman" w:hAnsi="Times New Roman" w:cs="Times New Roman"/>
                      <w:color w:val="auto"/>
                      <w:kern w:val="2"/>
                      <w:sz w:val="18"/>
                      <w:szCs w:val="18"/>
                      <w:highlight w:val="none"/>
                      <w:vertAlign w:val="baseline"/>
                      <w:lang w:val="en-US" w:eastAsia="zh-CN" w:bidi="ar-SA"/>
                    </w:rPr>
                    <w:t>坚决遏制高耗能高排放项目盲目发展。坚决停批停建不符合规定的项目，深入推进产业补链延链强链、绿色低碳转型。严格落实产能置换和产能控制政策，实施粗钢产能清理整顿。</w:t>
                  </w:r>
                </w:p>
              </w:tc>
              <w:tc>
                <w:tcPr>
                  <w:tcW w:w="2960" w:type="dxa"/>
                  <w:tcBorders>
                    <w:tl2br w:val="nil"/>
                    <w:tr2bl w:val="nil"/>
                  </w:tcBorders>
                  <w:vAlign w:val="center"/>
                </w:tcPr>
                <w:p w14:paraId="535F945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eastAsia" w:cs="Times New Roman"/>
                      <w:color w:val="auto"/>
                      <w:kern w:val="2"/>
                      <w:sz w:val="18"/>
                      <w:szCs w:val="18"/>
                      <w:highlight w:val="none"/>
                      <w:vertAlign w:val="baseline"/>
                      <w:lang w:val="en-US" w:eastAsia="zh-CN" w:bidi="ar-SA"/>
                    </w:rPr>
                    <w:t>本项目不属于高耗能高排放项目，本项目符合国家产业政策。</w:t>
                  </w:r>
                </w:p>
              </w:tc>
              <w:tc>
                <w:tcPr>
                  <w:tcW w:w="389" w:type="dxa"/>
                  <w:tcBorders>
                    <w:tl2br w:val="nil"/>
                    <w:tr2bl w:val="nil"/>
                  </w:tcBorders>
                  <w:vAlign w:val="center"/>
                </w:tcPr>
                <w:p w14:paraId="5E4B8415">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6ED72A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505ECAB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w:t>
                  </w:r>
                </w:p>
              </w:tc>
              <w:tc>
                <w:tcPr>
                  <w:tcW w:w="3270" w:type="dxa"/>
                  <w:tcBorders>
                    <w:tl2br w:val="nil"/>
                    <w:tr2bl w:val="nil"/>
                  </w:tcBorders>
                  <w:vAlign w:val="center"/>
                </w:tcPr>
                <w:p w14:paraId="0A18EBC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推进清洁生产和能源资源节约高效利用。深入实施清洁生产改造，依法开展清洁生产审核。推进绿色能源与绿色制造融合发展。强化能源和水资源“双控”，加强重点领域节能，实施节水行动。</w:t>
                  </w:r>
                </w:p>
              </w:tc>
              <w:tc>
                <w:tcPr>
                  <w:tcW w:w="2960" w:type="dxa"/>
                  <w:tcBorders>
                    <w:tl2br w:val="nil"/>
                    <w:tr2bl w:val="nil"/>
                  </w:tcBorders>
                  <w:vAlign w:val="center"/>
                </w:tcPr>
                <w:p w14:paraId="2AB5742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000000"/>
                      <w:kern w:val="0"/>
                      <w:sz w:val="18"/>
                      <w:szCs w:val="18"/>
                      <w:lang w:val="en-US" w:eastAsia="zh-CN" w:bidi="ar"/>
                    </w:rPr>
                    <w:t>本项目属于铜冶炼渣资源综合利用，利用铜冶炼渣浮选出铜精矿，返回冶炼厂，有利于能源资源节约高效利用。</w:t>
                  </w:r>
                </w:p>
              </w:tc>
              <w:tc>
                <w:tcPr>
                  <w:tcW w:w="389" w:type="dxa"/>
                  <w:tcBorders>
                    <w:tl2br w:val="nil"/>
                    <w:tr2bl w:val="nil"/>
                  </w:tcBorders>
                  <w:vAlign w:val="center"/>
                </w:tcPr>
                <w:p w14:paraId="7441872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6AC5ED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7639940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kern w:val="2"/>
                      <w:sz w:val="18"/>
                      <w:szCs w:val="18"/>
                      <w:highlight w:val="none"/>
                      <w:vertAlign w:val="baseline"/>
                      <w:lang w:val="en-US" w:eastAsia="zh-CN" w:bidi="ar-SA"/>
                    </w:rPr>
                    <w:t>4</w:t>
                  </w:r>
                </w:p>
              </w:tc>
              <w:tc>
                <w:tcPr>
                  <w:tcW w:w="3270" w:type="dxa"/>
                  <w:tcBorders>
                    <w:tl2br w:val="nil"/>
                    <w:tr2bl w:val="nil"/>
                  </w:tcBorders>
                  <w:shd w:val="clear" w:color="auto" w:fill="auto"/>
                  <w:vAlign w:val="center"/>
                </w:tcPr>
                <w:p w14:paraId="7D1321C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深入打好建筑施工工地扬尘污染治理攻坚战。全面推行绿色施工，落实施工工地“六个百分之百”工作要求，推动扬尘精细化管控。加强建筑渣土运输管理，严格落实密闭运输措施。强化施工、道路、堆场、裸露地面等扬尘管控。</w:t>
                  </w:r>
                </w:p>
              </w:tc>
              <w:tc>
                <w:tcPr>
                  <w:tcW w:w="2960" w:type="dxa"/>
                  <w:tcBorders>
                    <w:tl2br w:val="nil"/>
                    <w:tr2bl w:val="nil"/>
                  </w:tcBorders>
                  <w:vAlign w:val="center"/>
                </w:tcPr>
                <w:p w14:paraId="0EA8A3B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本项目针对施工扬尘提出来相关的治理措施，</w:t>
                  </w:r>
                  <w:r>
                    <w:rPr>
                      <w:rFonts w:hint="default" w:ascii="Times New Roman" w:hAnsi="Times New Roman" w:eastAsia="宋体" w:cs="Times New Roman"/>
                      <w:color w:val="auto"/>
                      <w:kern w:val="2"/>
                      <w:sz w:val="18"/>
                      <w:szCs w:val="18"/>
                      <w:highlight w:val="none"/>
                      <w:vertAlign w:val="baseline"/>
                      <w:lang w:val="en-US" w:eastAsia="zh-CN" w:bidi="ar-SA"/>
                    </w:rPr>
                    <w:t>①按指定地点存放各种建筑材料和砂石用料，并做好防尘覆盖；②存放的砂石等建材要用篷布盖并对其进行洒水抑尘：③施工</w:t>
                  </w:r>
                  <w:r>
                    <w:rPr>
                      <w:rFonts w:hint="eastAsia" w:ascii="Times New Roman" w:hAnsi="Times New Roman" w:eastAsia="宋体" w:cs="Times New Roman"/>
                      <w:color w:val="auto"/>
                      <w:kern w:val="2"/>
                      <w:sz w:val="18"/>
                      <w:szCs w:val="18"/>
                      <w:highlight w:val="none"/>
                      <w:vertAlign w:val="baseline"/>
                      <w:lang w:val="en-US" w:eastAsia="zh-CN" w:bidi="ar-SA"/>
                    </w:rPr>
                    <w:t>场地</w:t>
                  </w:r>
                  <w:r>
                    <w:rPr>
                      <w:rFonts w:hint="default" w:ascii="Times New Roman" w:hAnsi="Times New Roman" w:eastAsia="宋体" w:cs="Times New Roman"/>
                      <w:color w:val="auto"/>
                      <w:kern w:val="2"/>
                      <w:sz w:val="18"/>
                      <w:szCs w:val="18"/>
                      <w:highlight w:val="none"/>
                      <w:vertAlign w:val="baseline"/>
                      <w:lang w:val="en-US" w:eastAsia="zh-CN" w:bidi="ar-SA"/>
                    </w:rPr>
                    <w:t>要配备洒水设施，施工道路的扬尘可用洒水和清扫措施予以防治。④施工现场严禁使用混凝土搅拌装置，应采用商品混凝土进行施工。⑤减少裸露地面；禁止在大风天气进行开挖等作业。⑥施工现场要在施工前做好施工道路的规划和设置，可利用设计中永久性的施工道路。并随时洒水，减少道路扬尘。项目施工场地应严格按“六个百分百”</w:t>
                  </w:r>
                  <w:r>
                    <w:rPr>
                      <w:rFonts w:hint="eastAsia" w:ascii="Times New Roman" w:hAnsi="Times New Roman" w:eastAsia="宋体" w:cs="Times New Roman"/>
                      <w:color w:val="auto"/>
                      <w:kern w:val="2"/>
                      <w:sz w:val="18"/>
                      <w:szCs w:val="18"/>
                      <w:highlight w:val="none"/>
                      <w:vertAlign w:val="baseline"/>
                      <w:lang w:val="en-US" w:eastAsia="zh-CN" w:bidi="ar-SA"/>
                    </w:rPr>
                    <w:t>要求施工，</w:t>
                  </w:r>
                  <w:r>
                    <w:rPr>
                      <w:rFonts w:hint="default" w:ascii="Times New Roman" w:hAnsi="Times New Roman" w:eastAsia="宋体" w:cs="Times New Roman"/>
                      <w:color w:val="auto"/>
                      <w:kern w:val="2"/>
                      <w:sz w:val="18"/>
                      <w:szCs w:val="18"/>
                      <w:highlight w:val="none"/>
                      <w:vertAlign w:val="baseline"/>
                      <w:lang w:val="en-US" w:eastAsia="zh-CN" w:bidi="ar-SA"/>
                    </w:rPr>
                    <w:t>执行经采取上述措施，可以减轻施工过程扬尘对周边环境的影响。</w:t>
                  </w:r>
                </w:p>
              </w:tc>
              <w:tc>
                <w:tcPr>
                  <w:tcW w:w="389" w:type="dxa"/>
                  <w:tcBorders>
                    <w:tl2br w:val="nil"/>
                    <w:tr2bl w:val="nil"/>
                  </w:tcBorders>
                  <w:vAlign w:val="center"/>
                </w:tcPr>
                <w:p w14:paraId="7BBB80E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kern w:val="2"/>
                      <w:sz w:val="18"/>
                      <w:szCs w:val="18"/>
                      <w:highlight w:val="none"/>
                      <w:vertAlign w:val="baseline"/>
                      <w:lang w:val="en-US" w:eastAsia="zh-CN" w:bidi="ar-SA"/>
                    </w:rPr>
                    <w:t>符合</w:t>
                  </w:r>
                </w:p>
              </w:tc>
            </w:tr>
            <w:tr w14:paraId="6729FD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0FF1D9F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4</w:t>
                  </w:r>
                </w:p>
              </w:tc>
              <w:tc>
                <w:tcPr>
                  <w:tcW w:w="3270" w:type="dxa"/>
                  <w:tcBorders>
                    <w:tl2br w:val="nil"/>
                    <w:tr2bl w:val="nil"/>
                  </w:tcBorders>
                  <w:vAlign w:val="center"/>
                </w:tcPr>
                <w:p w14:paraId="50859BD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2960" w:type="dxa"/>
                  <w:tcBorders>
                    <w:tl2br w:val="nil"/>
                    <w:tr2bl w:val="nil"/>
                  </w:tcBorders>
                  <w:vAlign w:val="center"/>
                </w:tcPr>
                <w:p w14:paraId="473519F5">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项目运营期主要废气为上料、破碎以及筛分废气，主要污染物为颗粒物，不涉及氮氧化物。</w:t>
                  </w:r>
                </w:p>
              </w:tc>
              <w:tc>
                <w:tcPr>
                  <w:tcW w:w="389" w:type="dxa"/>
                  <w:tcBorders>
                    <w:tl2br w:val="nil"/>
                    <w:tr2bl w:val="nil"/>
                  </w:tcBorders>
                  <w:vAlign w:val="center"/>
                </w:tcPr>
                <w:p w14:paraId="745FC8A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67621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570E774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5</w:t>
                  </w:r>
                </w:p>
              </w:tc>
              <w:tc>
                <w:tcPr>
                  <w:tcW w:w="3270" w:type="dxa"/>
                  <w:tcBorders>
                    <w:tl2br w:val="nil"/>
                    <w:tr2bl w:val="nil"/>
                  </w:tcBorders>
                  <w:vAlign w:val="center"/>
                </w:tcPr>
                <w:p w14:paraId="68BB233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深入打好“湖泊革命”攻坚战。以革命性措施抓好九大高原湖泊保护治理，坚持“退、减、调、治、管”多措并举。强化流域空间管控和生态减负，引导人口和产业有序退出。转变农业生产方式，严控农业面源污染。系统推进流域环湖截污治污，加强湖泊内源污染风险防范。</w:t>
                  </w:r>
                </w:p>
              </w:tc>
              <w:tc>
                <w:tcPr>
                  <w:tcW w:w="2960" w:type="dxa"/>
                  <w:tcBorders>
                    <w:tl2br w:val="nil"/>
                    <w:tr2bl w:val="nil"/>
                  </w:tcBorders>
                  <w:vAlign w:val="center"/>
                </w:tcPr>
                <w:p w14:paraId="598FFD0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本项目不涉及九大高原湖泊。</w:t>
                  </w:r>
                </w:p>
              </w:tc>
              <w:tc>
                <w:tcPr>
                  <w:tcW w:w="389" w:type="dxa"/>
                  <w:tcBorders>
                    <w:tl2br w:val="nil"/>
                    <w:tr2bl w:val="nil"/>
                  </w:tcBorders>
                  <w:vAlign w:val="center"/>
                </w:tcPr>
                <w:p w14:paraId="75ACB09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14C33F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13A4CE6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6</w:t>
                  </w:r>
                </w:p>
              </w:tc>
              <w:tc>
                <w:tcPr>
                  <w:tcW w:w="3270" w:type="dxa"/>
                  <w:tcBorders>
                    <w:tl2br w:val="nil"/>
                    <w:tr2bl w:val="nil"/>
                  </w:tcBorders>
                  <w:vAlign w:val="center"/>
                </w:tcPr>
                <w:p w14:paraId="6600500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有效管控建设用地土壤污染风险。严格建设用地土壤污染风险管控和修复名录内地块的准入管理，从严管控农药、化工等行业的重度污染地块规划用途。</w:t>
                  </w:r>
                </w:p>
              </w:tc>
              <w:tc>
                <w:tcPr>
                  <w:tcW w:w="2960" w:type="dxa"/>
                  <w:tcBorders>
                    <w:tl2br w:val="nil"/>
                    <w:tr2bl w:val="nil"/>
                  </w:tcBorders>
                  <w:vAlign w:val="center"/>
                </w:tcPr>
                <w:p w14:paraId="185DD7E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本项目不属于建设用地土壤污染风险管控和修复名录内地块。本项目不涉及控农药、化工等行业。</w:t>
                  </w:r>
                </w:p>
              </w:tc>
              <w:tc>
                <w:tcPr>
                  <w:tcW w:w="389" w:type="dxa"/>
                  <w:tcBorders>
                    <w:tl2br w:val="nil"/>
                    <w:tr2bl w:val="nil"/>
                  </w:tcBorders>
                  <w:vAlign w:val="center"/>
                </w:tcPr>
                <w:p w14:paraId="0F6A94B2">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47270C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tcBorders>
                    <w:tl2br w:val="nil"/>
                    <w:tr2bl w:val="nil"/>
                  </w:tcBorders>
                  <w:vAlign w:val="center"/>
                </w:tcPr>
                <w:p w14:paraId="3261EF3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7</w:t>
                  </w:r>
                </w:p>
              </w:tc>
              <w:tc>
                <w:tcPr>
                  <w:tcW w:w="3270" w:type="dxa"/>
                  <w:tcBorders>
                    <w:tl2br w:val="nil"/>
                    <w:tr2bl w:val="nil"/>
                  </w:tcBorders>
                  <w:shd w:val="clear" w:color="auto" w:fill="auto"/>
                  <w:vAlign w:val="center"/>
                </w:tcPr>
                <w:p w14:paraId="3F08174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稳步推进“无废城市”建设。稳步推进地级城市开展“无废城市”建设，积极推进无废学校、社区、企业等“无废细胞”建设。</w:t>
                  </w:r>
                </w:p>
              </w:tc>
              <w:tc>
                <w:tcPr>
                  <w:tcW w:w="2960" w:type="dxa"/>
                  <w:tcBorders>
                    <w:tl2br w:val="nil"/>
                    <w:tr2bl w:val="nil"/>
                  </w:tcBorders>
                  <w:vAlign w:val="center"/>
                </w:tcPr>
                <w:p w14:paraId="3398402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kern w:val="2"/>
                      <w:sz w:val="18"/>
                      <w:szCs w:val="18"/>
                      <w:highlight w:val="none"/>
                      <w:vertAlign w:val="baseline"/>
                      <w:lang w:val="en-US" w:eastAsia="zh-CN" w:bidi="ar-SA"/>
                    </w:rPr>
                    <w:t>项目固体废弃物均合理处理，不会造成二次污染。</w:t>
                  </w:r>
                </w:p>
              </w:tc>
              <w:tc>
                <w:tcPr>
                  <w:tcW w:w="389" w:type="dxa"/>
                  <w:tcBorders>
                    <w:tl2br w:val="nil"/>
                    <w:tr2bl w:val="nil"/>
                  </w:tcBorders>
                  <w:vAlign w:val="center"/>
                </w:tcPr>
                <w:p w14:paraId="1B9FE81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bl>
          <w:p w14:paraId="53DCE224">
            <w:pPr>
              <w:pStyle w:val="37"/>
              <w:keepNext w:val="0"/>
              <w:keepLines w:val="0"/>
              <w:pageBreakBefore w:val="0"/>
              <w:widowControl w:val="0"/>
              <w:kinsoku/>
              <w:wordWrap/>
              <w:overflowPunct/>
              <w:topLinePunct/>
              <w:autoSpaceDE/>
              <w:autoSpaceDN/>
              <w:bidi w:val="0"/>
              <w:adjustRightInd w:val="0"/>
              <w:snapToGrid w:val="0"/>
              <w:ind w:left="0" w:leftChars="0" w:firstLine="480" w:firstLineChars="200"/>
              <w:textAlignment w:val="auto"/>
              <w:rPr>
                <w:rFonts w:hint="eastAsia"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4"/>
                <w:szCs w:val="21"/>
                <w:lang w:val="en-US" w:eastAsia="zh-CN" w:bidi="ar-SA"/>
              </w:rPr>
              <w:t>根据上表分析，本项目符合《云南省人民政府关于深入打好污染防治攻坚战的实施意见》要求。</w:t>
            </w:r>
          </w:p>
          <w:p w14:paraId="7CA641AF">
            <w:pPr>
              <w:pStyle w:val="37"/>
              <w:keepNext w:val="0"/>
              <w:keepLines w:val="0"/>
              <w:pageBreakBefore w:val="0"/>
              <w:widowControl w:val="0"/>
              <w:kinsoku/>
              <w:wordWrap/>
              <w:overflowPunct/>
              <w:autoSpaceDE/>
              <w:autoSpaceDN/>
              <w:bidi w:val="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5</w:t>
            </w:r>
            <w:r>
              <w:rPr>
                <w:rFonts w:hint="eastAsia" w:ascii="Times New Roman" w:hAnsi="Times New Roman" w:eastAsia="宋体" w:cs="Times New Roman"/>
                <w:b/>
                <w:bCs/>
                <w:color w:val="auto"/>
                <w:lang w:val="en-US" w:eastAsia="zh-CN"/>
              </w:rPr>
              <w:t>、与《云南省土壤、地下水污染防治“十四五”规划》符合性分析</w:t>
            </w:r>
          </w:p>
          <w:p w14:paraId="74FE986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4"/>
                <w:szCs w:val="21"/>
                <w:lang w:val="en-US" w:eastAsia="zh-CN" w:bidi="ar-SA"/>
              </w:rPr>
              <w:t>《云南省土壤、地下水污染防治“十四五”规划》是云南省针对土壤和地下水污染防治工作制定的重要规划，旨在通过一系列措施提升土壤和地下水环境质量，保障人民群众的生命健康和生态环境安全。本项目建设与该规划相关内容的符合性分析见下表。</w:t>
            </w:r>
          </w:p>
          <w:p w14:paraId="54A46805">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 xml:space="preserve">13 </w:t>
            </w:r>
            <w:r>
              <w:rPr>
                <w:rFonts w:hint="eastAsia" w:ascii="黑体" w:hAnsi="黑体" w:eastAsia="黑体" w:cs="黑体"/>
                <w:b w:val="0"/>
                <w:bCs w:val="0"/>
                <w:color w:val="auto"/>
                <w:sz w:val="21"/>
                <w:szCs w:val="21"/>
                <w:highlight w:val="none"/>
              </w:rPr>
              <w:t>项目与</w:t>
            </w:r>
            <w:r>
              <w:rPr>
                <w:rFonts w:hint="eastAsia" w:ascii="黑体" w:hAnsi="黑体" w:eastAsia="黑体" w:cs="黑体"/>
                <w:b w:val="0"/>
                <w:bCs w:val="0"/>
                <w:color w:val="auto"/>
                <w:sz w:val="21"/>
                <w:szCs w:val="21"/>
                <w:highlight w:val="none"/>
                <w:lang w:val="en-US" w:eastAsia="zh-CN"/>
              </w:rPr>
              <w:t>《云南省土壤、地下水污染防治“十四五”规划》符合性分析</w:t>
            </w:r>
          </w:p>
          <w:tbl>
            <w:tblPr>
              <w:tblStyle w:val="22"/>
              <w:tblW w:w="70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647"/>
              <w:gridCol w:w="2961"/>
              <w:gridCol w:w="1998"/>
              <w:gridCol w:w="808"/>
            </w:tblGrid>
            <w:tr w14:paraId="307E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5DE128B1">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序号</w:t>
                  </w:r>
                </w:p>
              </w:tc>
              <w:tc>
                <w:tcPr>
                  <w:tcW w:w="3608" w:type="dxa"/>
                  <w:gridSpan w:val="2"/>
                  <w:vAlign w:val="center"/>
                </w:tcPr>
                <w:p w14:paraId="3300931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规划要求</w:t>
                  </w:r>
                </w:p>
              </w:tc>
              <w:tc>
                <w:tcPr>
                  <w:tcW w:w="1998" w:type="dxa"/>
                  <w:vAlign w:val="center"/>
                </w:tcPr>
                <w:p w14:paraId="7FC22A7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w:t>
                  </w:r>
                </w:p>
              </w:tc>
              <w:tc>
                <w:tcPr>
                  <w:tcW w:w="808" w:type="dxa"/>
                  <w:tcBorders>
                    <w:right w:val="nil"/>
                  </w:tcBorders>
                  <w:vAlign w:val="center"/>
                </w:tcPr>
                <w:p w14:paraId="265731F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符合性</w:t>
                  </w:r>
                </w:p>
              </w:tc>
            </w:tr>
            <w:tr w14:paraId="03F5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0A35DBC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w:t>
                  </w:r>
                </w:p>
              </w:tc>
              <w:tc>
                <w:tcPr>
                  <w:tcW w:w="647" w:type="dxa"/>
                  <w:vMerge w:val="restart"/>
                  <w:vAlign w:val="center"/>
                </w:tcPr>
                <w:p w14:paraId="27E0ADF2">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防范工矿企业新增土壤污染</w:t>
                  </w:r>
                </w:p>
              </w:tc>
              <w:tc>
                <w:tcPr>
                  <w:tcW w:w="2961" w:type="dxa"/>
                  <w:vAlign w:val="center"/>
                </w:tcPr>
                <w:p w14:paraId="7919BD7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严格建设项目土壤环境影响评价制度。对涉及有毒有害物质可能造成土壤污染的新（改、扩）建项目，依法进行环境影响评价，提出并落实防腐蚀、防渗漏、防遗撒等土壤污染防治具体措施。建设项目配套建设的土壤污染防治设施，应当与主体工程时设计、同时施工、同时投入使用。</w:t>
                  </w:r>
                </w:p>
              </w:tc>
              <w:tc>
                <w:tcPr>
                  <w:tcW w:w="1998" w:type="dxa"/>
                  <w:vAlign w:val="center"/>
                </w:tcPr>
                <w:p w14:paraId="1566494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本项目不涉及有毒有害可能造成土壤污染的物质。</w:t>
                  </w:r>
                </w:p>
              </w:tc>
              <w:tc>
                <w:tcPr>
                  <w:tcW w:w="808" w:type="dxa"/>
                  <w:tcBorders>
                    <w:right w:val="nil"/>
                  </w:tcBorders>
                  <w:vAlign w:val="center"/>
                </w:tcPr>
                <w:p w14:paraId="1EC7A00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46F7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3EF2D965">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2</w:t>
                  </w:r>
                </w:p>
              </w:tc>
              <w:tc>
                <w:tcPr>
                  <w:tcW w:w="647" w:type="dxa"/>
                  <w:vMerge w:val="continue"/>
                  <w:vAlign w:val="center"/>
                </w:tcPr>
                <w:p w14:paraId="2C51D92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p>
              </w:tc>
              <w:tc>
                <w:tcPr>
                  <w:tcW w:w="2961" w:type="dxa"/>
                  <w:vAlign w:val="center"/>
                </w:tcPr>
                <w:p w14:paraId="36095FB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推动实施绿色化提标改造。鼓励土壤污染重点监管单位因地制宜采用管道化、密闭化改造，重点区域、重点设施设备防腐蚀防渗漏改造，以及物料、污水、废气管线架空建设和改造。</w:t>
                  </w:r>
                </w:p>
              </w:tc>
              <w:tc>
                <w:tcPr>
                  <w:tcW w:w="1998" w:type="dxa"/>
                  <w:vAlign w:val="center"/>
                </w:tcPr>
                <w:p w14:paraId="7A86D39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本环评要求项目建设过程中废气、废水输送管道采用密闭式，严格落实本环评提出的分区防渗措施。</w:t>
                  </w:r>
                </w:p>
              </w:tc>
              <w:tc>
                <w:tcPr>
                  <w:tcW w:w="808" w:type="dxa"/>
                  <w:tcBorders>
                    <w:right w:val="nil"/>
                  </w:tcBorders>
                  <w:vAlign w:val="center"/>
                </w:tcPr>
                <w:p w14:paraId="71E5236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1F1E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740816F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w:t>
                  </w:r>
                </w:p>
              </w:tc>
              <w:tc>
                <w:tcPr>
                  <w:tcW w:w="647" w:type="dxa"/>
                  <w:vAlign w:val="center"/>
                </w:tcPr>
                <w:p w14:paraId="105B63B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kern w:val="2"/>
                      <w:sz w:val="18"/>
                      <w:szCs w:val="18"/>
                      <w:highlight w:val="none"/>
                      <w:vertAlign w:val="baseline"/>
                      <w:lang w:val="en-US" w:eastAsia="zh-CN" w:bidi="ar-SA"/>
                    </w:rPr>
                    <w:t>加强地下水污染风险防控</w:t>
                  </w:r>
                </w:p>
              </w:tc>
              <w:tc>
                <w:tcPr>
                  <w:tcW w:w="2961" w:type="dxa"/>
                  <w:vAlign w:val="center"/>
                </w:tcPr>
                <w:p w14:paraId="010AD85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落实地下水防渗和监测措施。督促“一企一库”、“两场两区”采取防渗漏措施，按要求建设地下水环境监测井，开展地下水环境自行监测。</w:t>
                  </w:r>
                </w:p>
              </w:tc>
              <w:tc>
                <w:tcPr>
                  <w:tcW w:w="1998" w:type="dxa"/>
                  <w:vAlign w:val="center"/>
                </w:tcPr>
                <w:p w14:paraId="430E5B8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w:t>
                  </w:r>
                  <w:r>
                    <w:rPr>
                      <w:rFonts w:hint="eastAsia" w:ascii="Times New Roman" w:hAnsi="Times New Roman" w:eastAsia="宋体" w:cs="Times New Roman"/>
                      <w:b w:val="0"/>
                      <w:bCs w:val="0"/>
                      <w:color w:val="auto"/>
                      <w:sz w:val="18"/>
                      <w:szCs w:val="18"/>
                      <w:lang w:val="en-US" w:eastAsia="zh-CN"/>
                    </w:rPr>
                    <w:t>磨浮车间、浓密池、回水池、事故水池、尾渣仓</w:t>
                  </w:r>
                  <w:r>
                    <w:rPr>
                      <w:rFonts w:hint="eastAsia" w:cs="Times New Roman"/>
                      <w:b w:val="0"/>
                      <w:bCs w:val="0"/>
                      <w:color w:val="auto"/>
                      <w:sz w:val="18"/>
                      <w:szCs w:val="18"/>
                      <w:lang w:val="en-US" w:eastAsia="zh-CN"/>
                    </w:rPr>
                    <w:t>以、</w:t>
                  </w:r>
                  <w:r>
                    <w:rPr>
                      <w:rFonts w:hint="eastAsia" w:ascii="Times New Roman" w:hAnsi="Times New Roman" w:eastAsia="宋体" w:cs="Times New Roman"/>
                      <w:b w:val="0"/>
                      <w:bCs w:val="0"/>
                      <w:color w:val="auto"/>
                      <w:sz w:val="18"/>
                      <w:szCs w:val="18"/>
                      <w:lang w:val="en-US" w:eastAsia="zh-CN"/>
                    </w:rPr>
                    <w:t>污水收集系统</w:t>
                  </w:r>
                  <w:r>
                    <w:rPr>
                      <w:rFonts w:hint="eastAsia" w:cs="Times New Roman"/>
                      <w:b w:val="0"/>
                      <w:bCs w:val="0"/>
                      <w:color w:val="auto"/>
                      <w:sz w:val="18"/>
                      <w:szCs w:val="18"/>
                      <w:lang w:val="en-US" w:eastAsia="zh-CN"/>
                    </w:rPr>
                    <w:t>以及依托的5</w:t>
                  </w:r>
                  <w:r>
                    <w:rPr>
                      <w:rFonts w:hint="eastAsia" w:ascii="宋体" w:hAnsi="宋体" w:eastAsia="宋体" w:cs="宋体"/>
                      <w:b w:val="0"/>
                      <w:bCs w:val="0"/>
                      <w:color w:val="auto"/>
                      <w:sz w:val="18"/>
                      <w:szCs w:val="18"/>
                      <w:lang w:val="en-US" w:eastAsia="zh-CN"/>
                    </w:rPr>
                    <w:t>＃</w:t>
                  </w:r>
                  <w:r>
                    <w:rPr>
                      <w:rFonts w:hint="eastAsia" w:cs="Times New Roman"/>
                      <w:b w:val="0"/>
                      <w:bCs w:val="0"/>
                      <w:color w:val="auto"/>
                      <w:sz w:val="18"/>
                      <w:szCs w:val="18"/>
                      <w:lang w:val="en-US" w:eastAsia="zh-CN"/>
                    </w:rPr>
                    <w:t>危险废物贮存库</w:t>
                  </w:r>
                  <w:r>
                    <w:rPr>
                      <w:rFonts w:hint="eastAsia" w:ascii="Times New Roman" w:hAnsi="Times New Roman" w:eastAsia="宋体" w:cs="Times New Roman"/>
                      <w:b w:val="0"/>
                      <w:bCs w:val="0"/>
                      <w:color w:val="auto"/>
                      <w:sz w:val="18"/>
                      <w:szCs w:val="18"/>
                      <w:lang w:val="en-US" w:eastAsia="zh-CN"/>
                    </w:rPr>
                    <w:t>等工段进行重点防渗</w:t>
                  </w:r>
                  <w:r>
                    <w:rPr>
                      <w:rFonts w:hint="eastAsia" w:ascii="Times New Roman" w:hAnsi="Times New Roman" w:eastAsia="宋体" w:cs="Times New Roman"/>
                      <w:color w:val="auto"/>
                      <w:kern w:val="2"/>
                      <w:sz w:val="18"/>
                      <w:szCs w:val="18"/>
                      <w:highlight w:val="none"/>
                      <w:vertAlign w:val="baseline"/>
                      <w:lang w:val="en-US" w:eastAsia="zh-CN" w:bidi="ar-SA"/>
                    </w:rPr>
                    <w:t>，</w:t>
                  </w:r>
                  <w:r>
                    <w:rPr>
                      <w:rFonts w:hint="eastAsia" w:cs="Times New Roman"/>
                      <w:color w:val="auto"/>
                      <w:kern w:val="2"/>
                      <w:sz w:val="18"/>
                      <w:szCs w:val="18"/>
                      <w:highlight w:val="none"/>
                      <w:vertAlign w:val="baseline"/>
                      <w:lang w:val="en-US" w:eastAsia="zh-CN" w:bidi="ar-SA"/>
                    </w:rPr>
                    <w:t>本次新建塔磨机车间环评提出要采取重点防渗措施，</w:t>
                  </w:r>
                  <w:r>
                    <w:rPr>
                      <w:rFonts w:hint="eastAsia" w:ascii="Times New Roman" w:hAnsi="Times New Roman" w:eastAsia="宋体" w:cs="Times New Roman"/>
                      <w:color w:val="auto"/>
                      <w:kern w:val="2"/>
                      <w:sz w:val="18"/>
                      <w:szCs w:val="18"/>
                      <w:highlight w:val="none"/>
                      <w:vertAlign w:val="baseline"/>
                      <w:lang w:val="en-US" w:eastAsia="zh-CN" w:bidi="ar-SA"/>
                    </w:rPr>
                    <w:t>污染物通过垂直入渗、地面漫流的途径对土壤、地下水造成污染的可能性很小，本项目在严格落实本环评提出的地下水、土壤环境污染防治措施后，项目运营过程中对地下水、土壤环境影响较小，易门铜业已按要求定期对地下水、土壤进行监测。</w:t>
                  </w:r>
                </w:p>
              </w:tc>
              <w:tc>
                <w:tcPr>
                  <w:tcW w:w="808" w:type="dxa"/>
                  <w:tcBorders>
                    <w:right w:val="nil"/>
                  </w:tcBorders>
                  <w:vAlign w:val="center"/>
                </w:tcPr>
                <w:p w14:paraId="0A98D8A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bl>
          <w:p w14:paraId="5EF0EEB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4"/>
                <w:szCs w:val="21"/>
                <w:lang w:val="en-US" w:eastAsia="zh-CN" w:bidi="ar-SA"/>
              </w:rPr>
              <w:t>综上，本项目建设符合《云南省土壤、地下水污染防治“十四五”规划》的相关要求。</w:t>
            </w:r>
          </w:p>
          <w:p w14:paraId="2FD99849">
            <w:pPr>
              <w:pStyle w:val="37"/>
              <w:keepNext w:val="0"/>
              <w:keepLines w:val="0"/>
              <w:pageBreakBefore w:val="0"/>
              <w:widowControl w:val="0"/>
              <w:kinsoku/>
              <w:wordWrap/>
              <w:overflowPunct/>
              <w:autoSpaceDE/>
              <w:autoSpaceDN/>
              <w:bidi w:val="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6</w:t>
            </w:r>
            <w:r>
              <w:rPr>
                <w:rFonts w:hint="eastAsia" w:ascii="Times New Roman" w:hAnsi="Times New Roman" w:eastAsia="宋体" w:cs="Times New Roman"/>
                <w:b/>
                <w:bCs/>
                <w:color w:val="auto"/>
                <w:lang w:val="en-US" w:eastAsia="zh-CN"/>
              </w:rPr>
              <w:t>、与《云南省工业固废和重金属污染防治“十四五”规划》的符合性分析</w:t>
            </w:r>
          </w:p>
          <w:p w14:paraId="203CE20F">
            <w:pPr>
              <w:pStyle w:val="37"/>
              <w:keepNext w:val="0"/>
              <w:keepLines w:val="0"/>
              <w:pageBreakBefore w:val="0"/>
              <w:widowControl w:val="0"/>
              <w:kinsoku/>
              <w:wordWrap/>
              <w:overflowPunct/>
              <w:autoSpaceDE/>
              <w:autoSpaceDN/>
              <w:bidi w:val="0"/>
              <w:textAlignment w:val="auto"/>
              <w:rPr>
                <w:rFonts w:hint="eastAsia"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4"/>
                <w:szCs w:val="21"/>
                <w:lang w:val="en-US" w:eastAsia="zh-CN" w:bidi="ar-SA"/>
              </w:rPr>
              <w:t>本项目与与《云南省工业固废和重金属污染防治“十四五”规划》的符合性分析详见下表。</w:t>
            </w:r>
          </w:p>
          <w:p w14:paraId="26CA9C87">
            <w:pPr>
              <w:pStyle w:val="37"/>
              <w:keepNext w:val="0"/>
              <w:keepLines w:val="0"/>
              <w:pageBreakBefore w:val="0"/>
              <w:widowControl w:val="0"/>
              <w:kinsoku/>
              <w:wordWrap/>
              <w:overflowPunct/>
              <w:topLinePunct/>
              <w:autoSpaceDE/>
              <w:autoSpaceDN/>
              <w:bidi w:val="0"/>
              <w:adjustRightInd w:val="0"/>
              <w:snapToGrid w:val="0"/>
              <w:ind w:left="0" w:leftChars="0" w:right="0" w:rightChars="0" w:firstLine="0" w:firstLineChars="0"/>
              <w:jc w:val="center"/>
              <w:textAlignment w:val="auto"/>
              <w:rPr>
                <w:rFonts w:hint="default"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 xml:space="preserve">14 </w:t>
            </w:r>
            <w:r>
              <w:rPr>
                <w:rFonts w:hint="eastAsia" w:ascii="黑体" w:hAnsi="黑体" w:eastAsia="黑体" w:cs="黑体"/>
                <w:b w:val="0"/>
                <w:bCs w:val="0"/>
                <w:color w:val="auto"/>
                <w:sz w:val="21"/>
                <w:szCs w:val="21"/>
                <w:highlight w:val="none"/>
              </w:rPr>
              <w:t>项目与</w:t>
            </w:r>
            <w:r>
              <w:rPr>
                <w:rFonts w:hint="eastAsia" w:ascii="黑体" w:hAnsi="黑体" w:eastAsia="黑体" w:cs="黑体"/>
                <w:b w:val="0"/>
                <w:bCs w:val="0"/>
                <w:color w:val="auto"/>
                <w:sz w:val="21"/>
                <w:szCs w:val="21"/>
                <w:highlight w:val="none"/>
                <w:lang w:val="en-US" w:eastAsia="zh-CN"/>
              </w:rPr>
              <w:t>《云南省工业固废和重金属污染防治“十四五”规划》符合性分析</w:t>
            </w:r>
          </w:p>
          <w:tbl>
            <w:tblPr>
              <w:tblStyle w:val="22"/>
              <w:tblW w:w="70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647"/>
              <w:gridCol w:w="2961"/>
              <w:gridCol w:w="1998"/>
              <w:gridCol w:w="808"/>
            </w:tblGrid>
            <w:tr w14:paraId="044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04C4820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序号</w:t>
                  </w:r>
                </w:p>
              </w:tc>
              <w:tc>
                <w:tcPr>
                  <w:tcW w:w="3608" w:type="dxa"/>
                  <w:gridSpan w:val="2"/>
                  <w:vAlign w:val="center"/>
                </w:tcPr>
                <w:p w14:paraId="696E3BE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规划要求</w:t>
                  </w:r>
                </w:p>
              </w:tc>
              <w:tc>
                <w:tcPr>
                  <w:tcW w:w="1998" w:type="dxa"/>
                  <w:vAlign w:val="center"/>
                </w:tcPr>
                <w:p w14:paraId="74B832F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w:t>
                  </w:r>
                </w:p>
              </w:tc>
              <w:tc>
                <w:tcPr>
                  <w:tcW w:w="808" w:type="dxa"/>
                  <w:tcBorders>
                    <w:right w:val="nil"/>
                  </w:tcBorders>
                  <w:vAlign w:val="center"/>
                </w:tcPr>
                <w:p w14:paraId="7737C24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符合性</w:t>
                  </w:r>
                </w:p>
              </w:tc>
            </w:tr>
            <w:tr w14:paraId="731F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4776D86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w:t>
                  </w:r>
                </w:p>
              </w:tc>
              <w:tc>
                <w:tcPr>
                  <w:tcW w:w="647" w:type="dxa"/>
                  <w:vMerge w:val="restart"/>
                  <w:vAlign w:val="center"/>
                </w:tcPr>
                <w:p w14:paraId="1013447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强化工业固体废物源头管控</w:t>
                  </w:r>
                </w:p>
              </w:tc>
              <w:tc>
                <w:tcPr>
                  <w:tcW w:w="2961" w:type="dxa"/>
                  <w:vAlign w:val="center"/>
                </w:tcPr>
                <w:p w14:paraId="16C3D54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严格准入管理 严格控制新建、扩建工业固体废物及危险废物产生量大、区域内难以有效综合利用、无害化处置能力不足、无配套利用处置设施的建设项目。</w:t>
                  </w:r>
                </w:p>
              </w:tc>
              <w:tc>
                <w:tcPr>
                  <w:tcW w:w="1998" w:type="dxa"/>
                  <w:vAlign w:val="center"/>
                </w:tcPr>
                <w:p w14:paraId="2084A56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本项目运营期尾渣产生量较少，销售给易门六街二台坡选矿有限公司、海邦矿业（峨山）有限公司以及易门洪斌经贸有限公司进行综合利用，区域内能有效综合利用。</w:t>
                  </w:r>
                </w:p>
              </w:tc>
              <w:tc>
                <w:tcPr>
                  <w:tcW w:w="808" w:type="dxa"/>
                  <w:tcBorders>
                    <w:right w:val="nil"/>
                  </w:tcBorders>
                  <w:vAlign w:val="center"/>
                </w:tcPr>
                <w:p w14:paraId="1E50453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4ADB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5E5782F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2</w:t>
                  </w:r>
                </w:p>
              </w:tc>
              <w:tc>
                <w:tcPr>
                  <w:tcW w:w="647" w:type="dxa"/>
                  <w:vMerge w:val="continue"/>
                  <w:vAlign w:val="center"/>
                </w:tcPr>
                <w:p w14:paraId="3ED6851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p>
              </w:tc>
              <w:tc>
                <w:tcPr>
                  <w:tcW w:w="2961" w:type="dxa"/>
                  <w:vAlign w:val="center"/>
                </w:tcPr>
                <w:p w14:paraId="5F867E2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推进清洁生产 督促企业合理选择清洁的原料、能源和工艺、设备，减少有毒、有害原料的使用，提高资源利用效率。以有色金属矿采选业、有色金属冶炼和压延加工业、黑色金属冶炼和压延加工业、化学原料和化学制品制造业、环境治理业等工业固体废物产生量大的行业为重点，实施强制性清洁生产审核，督促企业实施清洁生产技术改造，从源头减少工业固体废物及危险废物产生。鼓励引导工业企业开展自愿清洁生产审核工作。</w:t>
                  </w:r>
                </w:p>
              </w:tc>
              <w:tc>
                <w:tcPr>
                  <w:tcW w:w="1998" w:type="dxa"/>
                  <w:vAlign w:val="center"/>
                </w:tcPr>
                <w:p w14:paraId="6DE99551">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本项目使用清洁的原料、能源和工艺、设备，不使用有毒、有害原料。</w:t>
                  </w:r>
                </w:p>
              </w:tc>
              <w:tc>
                <w:tcPr>
                  <w:tcW w:w="808" w:type="dxa"/>
                  <w:tcBorders>
                    <w:right w:val="nil"/>
                  </w:tcBorders>
                  <w:vAlign w:val="center"/>
                </w:tcPr>
                <w:p w14:paraId="2A71FBE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106A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0E5527B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w:t>
                  </w:r>
                </w:p>
              </w:tc>
              <w:tc>
                <w:tcPr>
                  <w:tcW w:w="647" w:type="dxa"/>
                  <w:vMerge w:val="restart"/>
                  <w:vAlign w:val="center"/>
                </w:tcPr>
                <w:p w14:paraId="4A8454D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推进工业固体废物污染防治</w:t>
                  </w:r>
                </w:p>
              </w:tc>
              <w:tc>
                <w:tcPr>
                  <w:tcW w:w="2961" w:type="dxa"/>
                  <w:vAlign w:val="center"/>
                </w:tcPr>
                <w:p w14:paraId="37DEE54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加强环境管理 将工业固体废物纳入排污许可证管理，落实管理台账和申报制度，实现可追溯、可查询。规范固体废物跨省转移备案和审批工作，加强转移入省固体废物利用处置监管。全面推进政府和企业固体废物污染防治信息公开，提高公众环境保护意识和参与程度。</w:t>
                  </w:r>
                </w:p>
              </w:tc>
              <w:tc>
                <w:tcPr>
                  <w:tcW w:w="1998" w:type="dxa"/>
                  <w:vAlign w:val="center"/>
                </w:tcPr>
                <w:p w14:paraId="588DDAA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本项目已纳入易门铜业有限公司排污许可证管理，已落实管理台账和申报制度；本项目固体废物不涉及跨省转移。</w:t>
                  </w:r>
                </w:p>
              </w:tc>
              <w:tc>
                <w:tcPr>
                  <w:tcW w:w="808" w:type="dxa"/>
                  <w:tcBorders>
                    <w:right w:val="nil"/>
                  </w:tcBorders>
                  <w:vAlign w:val="center"/>
                </w:tcPr>
                <w:p w14:paraId="4404186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34C0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4032AE8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4</w:t>
                  </w:r>
                </w:p>
              </w:tc>
              <w:tc>
                <w:tcPr>
                  <w:tcW w:w="647" w:type="dxa"/>
                  <w:vMerge w:val="continue"/>
                  <w:vAlign w:val="center"/>
                </w:tcPr>
                <w:p w14:paraId="028D7FB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p>
              </w:tc>
              <w:tc>
                <w:tcPr>
                  <w:tcW w:w="2961" w:type="dxa"/>
                  <w:vAlign w:val="center"/>
                </w:tcPr>
                <w:p w14:paraId="79822E5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强化利用处置 严格落实尾矿、粉煤灰、冶炼渣、工业副产石膏等工业固体废物综合利用技术和产品标准，规范工业固体废物综合利用行业发展。拓宽磷石膏利用途径，继续推广磷石膏在生产水泥和新型建筑材料等领域的利用，在确保环境安全的前提下，探索磷石膏在土壤改良、生态修复、路基材料等领域的应用。鼓励水泥、制砖等建材企业优先使用磷石膏、钢渣、冶炼渣、赤泥等工业固体废物作为替代原料，提高工业固体废物综合利用率，推动企业开展固体废物再生利用产物环境风险影响评价。</w:t>
                  </w:r>
                </w:p>
              </w:tc>
              <w:tc>
                <w:tcPr>
                  <w:tcW w:w="1998" w:type="dxa"/>
                  <w:vAlign w:val="center"/>
                </w:tcPr>
                <w:p w14:paraId="3D095A3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已落实本项目冶炼渣综合利用技术和产品标准，本项目利用铜冶炼渣浮选出铜精矿，提高了工业固体废物综合利用率。</w:t>
                  </w:r>
                </w:p>
              </w:tc>
              <w:tc>
                <w:tcPr>
                  <w:tcW w:w="808" w:type="dxa"/>
                  <w:tcBorders>
                    <w:right w:val="nil"/>
                  </w:tcBorders>
                  <w:vAlign w:val="center"/>
                </w:tcPr>
                <w:p w14:paraId="7F9FA45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bl>
          <w:p w14:paraId="5ABCD6E4">
            <w:pPr>
              <w:pStyle w:val="37"/>
              <w:keepNext w:val="0"/>
              <w:keepLines w:val="0"/>
              <w:pageBreakBefore w:val="0"/>
              <w:widowControl w:val="0"/>
              <w:kinsoku/>
              <w:wordWrap/>
              <w:overflowPunct/>
              <w:topLinePunct/>
              <w:autoSpaceDE/>
              <w:autoSpaceDN/>
              <w:bidi w:val="0"/>
              <w:adjustRightInd w:val="0"/>
              <w:snapToGrid w:val="0"/>
              <w:ind w:left="0" w:leftChars="0" w:firstLine="480"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val="0"/>
                <w:bCs w:val="0"/>
                <w:color w:val="auto"/>
                <w:kern w:val="2"/>
                <w:sz w:val="24"/>
                <w:szCs w:val="21"/>
                <w:lang w:val="en-US" w:eastAsia="zh-CN" w:bidi="ar-SA"/>
              </w:rPr>
              <w:t>综上，本项目建设符合《云南省工业固废和重金属污染防治“十四五”规划》的相关要求。</w:t>
            </w:r>
          </w:p>
          <w:p w14:paraId="21CEF3D5">
            <w:pPr>
              <w:pStyle w:val="37"/>
              <w:keepNext w:val="0"/>
              <w:keepLines w:val="0"/>
              <w:pageBreakBefore w:val="0"/>
              <w:widowControl w:val="0"/>
              <w:kinsoku/>
              <w:wordWrap/>
              <w:overflowPunct/>
              <w:autoSpaceDE/>
              <w:autoSpaceDN/>
              <w:bidi w:val="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7</w:t>
            </w:r>
            <w:r>
              <w:rPr>
                <w:rFonts w:hint="eastAsia" w:ascii="Times New Roman" w:hAnsi="Times New Roman" w:eastAsia="宋体" w:cs="Times New Roman"/>
                <w:b/>
                <w:bCs/>
                <w:color w:val="auto"/>
                <w:lang w:val="en-US" w:eastAsia="zh-CN"/>
              </w:rPr>
              <w:t>、与《关于“十四五”大宗固体废弃物综合利用的指导意见》发改环资〔2021〕381号符合性分析</w:t>
            </w:r>
          </w:p>
          <w:p w14:paraId="3709DCF6">
            <w:pPr>
              <w:pStyle w:val="37"/>
              <w:keepNext w:val="0"/>
              <w:keepLines w:val="0"/>
              <w:pageBreakBefore w:val="0"/>
              <w:widowControl w:val="0"/>
              <w:kinsoku/>
              <w:wordWrap/>
              <w:overflowPunct/>
              <w:autoSpaceDE/>
              <w:autoSpaceDN/>
              <w:bidi w:val="0"/>
              <w:textAlignment w:val="auto"/>
              <w:rPr>
                <w:rFonts w:hint="default"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4"/>
                <w:szCs w:val="21"/>
                <w:lang w:val="en-US" w:eastAsia="zh-CN" w:bidi="ar-SA"/>
              </w:rPr>
              <w:t>本项目与《关于“十四五”大宗固体废弃物综合利用的指导意见》发改环资〔2021〕381号符合性分析详见下表。</w:t>
            </w:r>
          </w:p>
          <w:p w14:paraId="74E479A0">
            <w:pPr>
              <w:pStyle w:val="37"/>
              <w:keepNext w:val="0"/>
              <w:keepLines w:val="0"/>
              <w:pageBreakBefore w:val="0"/>
              <w:widowControl w:val="0"/>
              <w:kinsoku/>
              <w:wordWrap/>
              <w:overflowPunct/>
              <w:topLinePunct/>
              <w:autoSpaceDE/>
              <w:autoSpaceDN/>
              <w:bidi w:val="0"/>
              <w:adjustRightInd w:val="0"/>
              <w:snapToGrid w:val="0"/>
              <w:ind w:left="0" w:leftChars="0" w:right="0" w:rightChars="0" w:firstLine="0" w:firstLineChars="0"/>
              <w:jc w:val="center"/>
              <w:textAlignment w:val="auto"/>
              <w:rPr>
                <w:rFonts w:hint="default"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 xml:space="preserve">15 </w:t>
            </w:r>
            <w:r>
              <w:rPr>
                <w:rFonts w:hint="eastAsia" w:ascii="黑体" w:hAnsi="黑体" w:eastAsia="黑体" w:cs="黑体"/>
                <w:b w:val="0"/>
                <w:bCs w:val="0"/>
                <w:color w:val="auto"/>
                <w:sz w:val="21"/>
                <w:szCs w:val="21"/>
                <w:highlight w:val="none"/>
              </w:rPr>
              <w:t>项目与</w:t>
            </w:r>
            <w:r>
              <w:rPr>
                <w:rFonts w:hint="eastAsia" w:ascii="黑体" w:hAnsi="黑体" w:eastAsia="黑体" w:cs="黑体"/>
                <w:b w:val="0"/>
                <w:bCs w:val="0"/>
                <w:color w:val="auto"/>
                <w:sz w:val="21"/>
                <w:szCs w:val="21"/>
                <w:highlight w:val="none"/>
                <w:lang w:val="en-US" w:eastAsia="zh-CN"/>
              </w:rPr>
              <w:t>《关于“十四五”大宗固体废弃物综合利用的指导意见》符合性分析</w:t>
            </w:r>
          </w:p>
          <w:tbl>
            <w:tblPr>
              <w:tblStyle w:val="22"/>
              <w:tblW w:w="70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647"/>
              <w:gridCol w:w="2961"/>
              <w:gridCol w:w="1998"/>
              <w:gridCol w:w="808"/>
            </w:tblGrid>
            <w:tr w14:paraId="5DBB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1" w:type="dxa"/>
                  <w:tcBorders>
                    <w:left w:val="nil"/>
                  </w:tcBorders>
                  <w:vAlign w:val="center"/>
                </w:tcPr>
                <w:p w14:paraId="0E703A95">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序号</w:t>
                  </w:r>
                </w:p>
              </w:tc>
              <w:tc>
                <w:tcPr>
                  <w:tcW w:w="3608" w:type="dxa"/>
                  <w:gridSpan w:val="2"/>
                  <w:vAlign w:val="center"/>
                </w:tcPr>
                <w:p w14:paraId="7CD9670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规划要求</w:t>
                  </w:r>
                </w:p>
              </w:tc>
              <w:tc>
                <w:tcPr>
                  <w:tcW w:w="1998" w:type="dxa"/>
                  <w:vAlign w:val="center"/>
                </w:tcPr>
                <w:p w14:paraId="760A1E1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w:t>
                  </w:r>
                </w:p>
              </w:tc>
              <w:tc>
                <w:tcPr>
                  <w:tcW w:w="808" w:type="dxa"/>
                  <w:tcBorders>
                    <w:right w:val="nil"/>
                  </w:tcBorders>
                  <w:vAlign w:val="center"/>
                </w:tcPr>
                <w:p w14:paraId="6CAAA6A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符合性</w:t>
                  </w:r>
                </w:p>
              </w:tc>
            </w:tr>
            <w:tr w14:paraId="2A06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601" w:type="dxa"/>
                  <w:tcBorders>
                    <w:left w:val="nil"/>
                  </w:tcBorders>
                  <w:vAlign w:val="center"/>
                </w:tcPr>
                <w:p w14:paraId="60EDA06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w:t>
                  </w:r>
                </w:p>
              </w:tc>
              <w:tc>
                <w:tcPr>
                  <w:tcW w:w="647" w:type="dxa"/>
                  <w:vAlign w:val="center"/>
                </w:tcPr>
                <w:p w14:paraId="5A6A8C2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提高大宗固废资源利用效</w:t>
                  </w:r>
                </w:p>
              </w:tc>
              <w:tc>
                <w:tcPr>
                  <w:tcW w:w="2961" w:type="dxa"/>
                  <w:vAlign w:val="center"/>
                </w:tcPr>
                <w:p w14:paraId="17B5F51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冶炼渣。加强产业协同利用，扩大赤泥和钢渣利用规模，提高赤泥在道路材料中的掺用比例，扩大钢渣微粉作混凝土掺合料在建设工程等领域的利用。不断探索赤泥和钢渣的其他规模化利用渠道。鼓励从赤泥中回收铁、碱、氧化铝，从冶炼渣中回收稀有稀散金属和稀贵金属等有价组分，提高矿产资源利用效率，保障国家资源安全，逐步提高冶炼渣综合利用率。</w:t>
                  </w:r>
                </w:p>
              </w:tc>
              <w:tc>
                <w:tcPr>
                  <w:tcW w:w="1998" w:type="dxa"/>
                  <w:vAlign w:val="center"/>
                </w:tcPr>
                <w:p w14:paraId="3181176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利用铜冶炼渣进行浮选和磁选，选出铜精矿和铁精矿，铜精矿返回冶炼厂利用，铁精矿和尾矿外售给易门洪斌经贸有限公司、海邦矿业（峨山）有限公司以及易门六街二台坡渣选有限公司进行综合利用，提高了冶炼渣综合利用率。</w:t>
                  </w:r>
                </w:p>
              </w:tc>
              <w:tc>
                <w:tcPr>
                  <w:tcW w:w="808" w:type="dxa"/>
                  <w:tcBorders>
                    <w:right w:val="nil"/>
                  </w:tcBorders>
                  <w:vAlign w:val="center"/>
                </w:tcPr>
                <w:p w14:paraId="1392221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76B7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79CD45C8">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2</w:t>
                  </w:r>
                </w:p>
              </w:tc>
              <w:tc>
                <w:tcPr>
                  <w:tcW w:w="647" w:type="dxa"/>
                  <w:vAlign w:val="center"/>
                </w:tcPr>
                <w:p w14:paraId="36B8736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推进大宗固废综合利用绿色发展</w:t>
                  </w:r>
                </w:p>
              </w:tc>
              <w:tc>
                <w:tcPr>
                  <w:tcW w:w="2961" w:type="dxa"/>
                  <w:vAlign w:val="center"/>
                </w:tcPr>
                <w:p w14:paraId="03D4C9E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强化大宗固废规范处置，守住环境底线。加强大宗固废贮存及处置管理，强化主体责任，推动建设符合有关国家标准的贮存设施，实现安全分类存放，杜绝混排混堆。统筹兼顾大宗固废增量消纳和存量治理，加大重点流域和重点区域大宗固废的综合整治力度，健全环保长效监督管理制度。</w:t>
                  </w:r>
                </w:p>
              </w:tc>
              <w:tc>
                <w:tcPr>
                  <w:tcW w:w="1998" w:type="dxa"/>
                  <w:vAlign w:val="center"/>
                </w:tcPr>
                <w:p w14:paraId="728D2C6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本项目尾渣、铜精矿和铁精矿实行分类堆存和分类处置管理。</w:t>
                  </w:r>
                </w:p>
              </w:tc>
              <w:tc>
                <w:tcPr>
                  <w:tcW w:w="808" w:type="dxa"/>
                  <w:tcBorders>
                    <w:right w:val="nil"/>
                  </w:tcBorders>
                  <w:vAlign w:val="center"/>
                </w:tcPr>
                <w:p w14:paraId="2FD22EF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4EA8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tcBorders>
                    <w:left w:val="nil"/>
                  </w:tcBorders>
                  <w:vAlign w:val="center"/>
                </w:tcPr>
                <w:p w14:paraId="08FEF96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w:t>
                  </w:r>
                </w:p>
              </w:tc>
              <w:tc>
                <w:tcPr>
                  <w:tcW w:w="647" w:type="dxa"/>
                  <w:vAlign w:val="center"/>
                </w:tcPr>
                <w:p w14:paraId="3112005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实施资源高效利用行动</w:t>
                  </w:r>
                </w:p>
              </w:tc>
              <w:tc>
                <w:tcPr>
                  <w:tcW w:w="2961" w:type="dxa"/>
                  <w:vAlign w:val="center"/>
                </w:tcPr>
                <w:p w14:paraId="4EA66F0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骨干企业示范引领行动。在煤矸石、粉煤灰、尾矿（共伴生矿）、冶炼渣、工业副产石膏、建筑垃圾、农作物秸秆等大宗固废综合利用领域，培育50家具有较强上下游产业带动能力、掌握核心技术、市场占有率高的综合利用骨干企业。支持骨干企业开展高效、高质、高值大宗固废综合利用示范项目建设，形成可复制、可推广的实施范例，发挥带动引领作用。</w:t>
                  </w:r>
                </w:p>
              </w:tc>
              <w:tc>
                <w:tcPr>
                  <w:tcW w:w="1998" w:type="dxa"/>
                  <w:vAlign w:val="center"/>
                </w:tcPr>
                <w:p w14:paraId="14856A3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本项目为固废资源综合利用项目，对冶炼渣进行综合利用。</w:t>
                  </w:r>
                </w:p>
              </w:tc>
              <w:tc>
                <w:tcPr>
                  <w:tcW w:w="808" w:type="dxa"/>
                  <w:tcBorders>
                    <w:right w:val="nil"/>
                  </w:tcBorders>
                  <w:vAlign w:val="center"/>
                </w:tcPr>
                <w:p w14:paraId="057CB3B5">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bl>
          <w:p w14:paraId="63D01384">
            <w:pPr>
              <w:pStyle w:val="37"/>
              <w:keepNext w:val="0"/>
              <w:keepLines w:val="0"/>
              <w:pageBreakBefore w:val="0"/>
              <w:widowControl w:val="0"/>
              <w:kinsoku/>
              <w:wordWrap/>
              <w:overflowPunct/>
              <w:topLinePunct/>
              <w:autoSpaceDE/>
              <w:autoSpaceDN/>
              <w:bidi w:val="0"/>
              <w:adjustRightInd w:val="0"/>
              <w:snapToGrid w:val="0"/>
              <w:ind w:left="0" w:leftChars="0" w:firstLine="480"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val="0"/>
                <w:bCs w:val="0"/>
                <w:color w:val="auto"/>
                <w:kern w:val="2"/>
                <w:sz w:val="24"/>
                <w:szCs w:val="21"/>
                <w:lang w:val="en-US" w:eastAsia="zh-CN" w:bidi="ar-SA"/>
              </w:rPr>
              <w:t>综上，本项目建设符合《关于“十四五”大宗固体废弃物综合利用的指导意见》发改环资〔2021〕381号的相关要求。</w:t>
            </w:r>
          </w:p>
          <w:p w14:paraId="4835912F">
            <w:pPr>
              <w:pStyle w:val="37"/>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8</w:t>
            </w:r>
            <w:r>
              <w:rPr>
                <w:rFonts w:hint="eastAsia" w:ascii="Times New Roman" w:hAnsi="Times New Roman" w:eastAsia="宋体" w:cs="Times New Roman"/>
                <w:b/>
                <w:bCs/>
                <w:color w:val="auto"/>
                <w:lang w:val="en-US" w:eastAsia="zh-CN"/>
              </w:rPr>
              <w:t>、与《中华人民共和国固体废物污染环境防治法》符合性分析</w:t>
            </w:r>
          </w:p>
          <w:p w14:paraId="17172C9C">
            <w:pPr>
              <w:pStyle w:val="37"/>
              <w:keepNext w:val="0"/>
              <w:keepLines w:val="0"/>
              <w:pageBreakBefore w:val="0"/>
              <w:widowControl w:val="0"/>
              <w:kinsoku/>
              <w:wordWrap/>
              <w:overflowPunct/>
              <w:topLinePunct/>
              <w:autoSpaceDE/>
              <w:autoSpaceDN/>
              <w:bidi w:val="0"/>
              <w:adjustRightInd w:val="0"/>
              <w:snapToGrid w:val="0"/>
              <w:ind w:left="0" w:leftChars="0" w:firstLine="480" w:firstLineChars="200"/>
              <w:textAlignment w:val="auto"/>
              <w:rPr>
                <w:rFonts w:hint="eastAsia"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4"/>
                <w:szCs w:val="21"/>
                <w:lang w:val="en-US" w:eastAsia="zh-CN" w:bidi="ar-SA"/>
              </w:rPr>
              <w:t>本项目与《中华人民共和国固体废物污染环境防治法》符合性分析详见下表。</w:t>
            </w:r>
          </w:p>
          <w:p w14:paraId="6471FF64">
            <w:pPr>
              <w:pStyle w:val="37"/>
              <w:keepNext w:val="0"/>
              <w:keepLines w:val="0"/>
              <w:pageBreakBefore w:val="0"/>
              <w:widowControl w:val="0"/>
              <w:kinsoku/>
              <w:wordWrap/>
              <w:overflowPunct/>
              <w:topLinePunct/>
              <w:autoSpaceDE/>
              <w:autoSpaceDN/>
              <w:bidi w:val="0"/>
              <w:adjustRightInd w:val="0"/>
              <w:snapToGrid w:val="0"/>
              <w:ind w:left="0" w:leftChars="0" w:right="0" w:rightChars="0" w:firstLine="0" w:firstLineChars="0"/>
              <w:jc w:val="center"/>
              <w:textAlignment w:val="auto"/>
              <w:rPr>
                <w:rFonts w:hint="default"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rPr>
              <w:t>表1-</w:t>
            </w:r>
            <w:r>
              <w:rPr>
                <w:rFonts w:hint="eastAsia" w:ascii="黑体" w:hAnsi="黑体" w:eastAsia="黑体" w:cs="黑体"/>
                <w:b w:val="0"/>
                <w:bCs w:val="0"/>
                <w:color w:val="auto"/>
                <w:sz w:val="21"/>
                <w:szCs w:val="21"/>
                <w:highlight w:val="none"/>
                <w:lang w:val="en-US" w:eastAsia="zh-CN"/>
              </w:rPr>
              <w:t xml:space="preserve">16 </w:t>
            </w:r>
            <w:r>
              <w:rPr>
                <w:rFonts w:hint="eastAsia" w:ascii="黑体" w:hAnsi="黑体" w:eastAsia="黑体" w:cs="黑体"/>
                <w:b w:val="0"/>
                <w:bCs w:val="0"/>
                <w:color w:val="auto"/>
                <w:sz w:val="21"/>
                <w:szCs w:val="21"/>
                <w:highlight w:val="none"/>
              </w:rPr>
              <w:t>项目与</w:t>
            </w:r>
            <w:r>
              <w:rPr>
                <w:rFonts w:hint="eastAsia" w:ascii="黑体" w:hAnsi="黑体" w:eastAsia="黑体" w:cs="黑体"/>
                <w:b w:val="0"/>
                <w:bCs w:val="0"/>
                <w:color w:val="auto"/>
                <w:sz w:val="21"/>
                <w:szCs w:val="21"/>
                <w:highlight w:val="none"/>
                <w:lang w:val="en-US" w:eastAsia="zh-CN"/>
              </w:rPr>
              <w:t>《中华人民共和国固体废物污染环境防治法》符合性分析</w:t>
            </w:r>
          </w:p>
          <w:tbl>
            <w:tblPr>
              <w:tblStyle w:val="22"/>
              <w:tblW w:w="70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2904"/>
              <w:gridCol w:w="2677"/>
              <w:gridCol w:w="831"/>
            </w:tblGrid>
            <w:tr w14:paraId="3585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107E5BA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序号</w:t>
                  </w:r>
                </w:p>
              </w:tc>
              <w:tc>
                <w:tcPr>
                  <w:tcW w:w="2904" w:type="dxa"/>
                  <w:vAlign w:val="center"/>
                </w:tcPr>
                <w:p w14:paraId="78BE150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固体废物污染环境防治法要求</w:t>
                  </w:r>
                </w:p>
              </w:tc>
              <w:tc>
                <w:tcPr>
                  <w:tcW w:w="2677" w:type="dxa"/>
                  <w:vAlign w:val="center"/>
                </w:tcPr>
                <w:p w14:paraId="5401A99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w:t>
                  </w:r>
                </w:p>
              </w:tc>
              <w:tc>
                <w:tcPr>
                  <w:tcW w:w="831" w:type="dxa"/>
                  <w:tcBorders>
                    <w:right w:val="nil"/>
                  </w:tcBorders>
                  <w:vAlign w:val="center"/>
                </w:tcPr>
                <w:p w14:paraId="18164492">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符合性</w:t>
                  </w:r>
                </w:p>
              </w:tc>
            </w:tr>
            <w:tr w14:paraId="7BF1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5429498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w:t>
                  </w:r>
                </w:p>
              </w:tc>
              <w:tc>
                <w:tcPr>
                  <w:tcW w:w="2904" w:type="dxa"/>
                  <w:vAlign w:val="center"/>
                </w:tcPr>
                <w:p w14:paraId="34AF621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固体废物污染环境防治坚持污染担责的原则。产生、收集、贮存、运输、利用、处置固体废物的单位和个人，应当采取措施，防止或者减少固体废物对环境的污染，对所造成的环境污染依法承担责任。</w:t>
                  </w:r>
                </w:p>
              </w:tc>
              <w:tc>
                <w:tcPr>
                  <w:tcW w:w="2677" w:type="dxa"/>
                  <w:vAlign w:val="center"/>
                </w:tcPr>
                <w:p w14:paraId="746C2FD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本项目产生的尾渣收集贮存在尾矿仓内，外售给易门洪斌经贸有限公司、海邦矿业（峨山）有限公司以及易门六街二台坡渣选有限公司等进行综合利用，减少了固体废物对环境的影响。</w:t>
                  </w:r>
                </w:p>
              </w:tc>
              <w:tc>
                <w:tcPr>
                  <w:tcW w:w="831" w:type="dxa"/>
                  <w:tcBorders>
                    <w:right w:val="nil"/>
                  </w:tcBorders>
                  <w:vAlign w:val="center"/>
                </w:tcPr>
                <w:p w14:paraId="0DDEFD5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77A2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38A0444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2</w:t>
                  </w:r>
                </w:p>
              </w:tc>
              <w:tc>
                <w:tcPr>
                  <w:tcW w:w="2904" w:type="dxa"/>
                  <w:vAlign w:val="center"/>
                </w:tcPr>
                <w:p w14:paraId="0C5D530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国家推行生活垃圾分类制度。生活垃圾分类坚持政府推动、全民参与、城乡统筹、因地制宜、简便易行的原则。</w:t>
                  </w:r>
                </w:p>
              </w:tc>
              <w:tc>
                <w:tcPr>
                  <w:tcW w:w="2677" w:type="dxa"/>
                  <w:vAlign w:val="center"/>
                </w:tcPr>
                <w:p w14:paraId="56100AB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本项目生活垃圾</w:t>
                  </w:r>
                  <w:r>
                    <w:rPr>
                      <w:rFonts w:hint="default" w:ascii="Times New Roman" w:hAnsi="Times New Roman" w:eastAsia="宋体" w:cs="Times New Roman"/>
                      <w:color w:val="auto"/>
                      <w:kern w:val="2"/>
                      <w:sz w:val="18"/>
                      <w:szCs w:val="18"/>
                      <w:highlight w:val="none"/>
                      <w:vertAlign w:val="baseline"/>
                      <w:lang w:val="en-US" w:eastAsia="zh-CN" w:bidi="ar-SA"/>
                    </w:rPr>
                    <w:t>由厂区垃圾收集设施统一收集后，送环卫部门指定地点堆存。</w:t>
                  </w:r>
                </w:p>
              </w:tc>
              <w:tc>
                <w:tcPr>
                  <w:tcW w:w="831" w:type="dxa"/>
                  <w:tcBorders>
                    <w:right w:val="nil"/>
                  </w:tcBorders>
                  <w:vAlign w:val="center"/>
                </w:tcPr>
                <w:p w14:paraId="1825F26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617E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055B4BC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w:t>
                  </w:r>
                </w:p>
              </w:tc>
              <w:tc>
                <w:tcPr>
                  <w:tcW w:w="2904" w:type="dxa"/>
                  <w:vAlign w:val="center"/>
                </w:tcPr>
                <w:p w14:paraId="29E0DC5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建设产生、贮存、利用、处置固体废物的项目，应当依法进行环境影响评价，并遵守国家有关建设项目环境保护管理的规定。</w:t>
                  </w:r>
                </w:p>
              </w:tc>
              <w:tc>
                <w:tcPr>
                  <w:tcW w:w="2677" w:type="dxa"/>
                  <w:vAlign w:val="center"/>
                </w:tcPr>
                <w:p w14:paraId="05551FD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本项目正依法进行环境影响评价。</w:t>
                  </w:r>
                </w:p>
              </w:tc>
              <w:tc>
                <w:tcPr>
                  <w:tcW w:w="831" w:type="dxa"/>
                  <w:tcBorders>
                    <w:right w:val="nil"/>
                  </w:tcBorders>
                  <w:vAlign w:val="center"/>
                </w:tcPr>
                <w:p w14:paraId="66F2A1BB">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0991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106FDDC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4</w:t>
                  </w:r>
                </w:p>
              </w:tc>
              <w:tc>
                <w:tcPr>
                  <w:tcW w:w="2904" w:type="dxa"/>
                  <w:vAlign w:val="center"/>
                </w:tcPr>
                <w:p w14:paraId="11B72911">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tc>
              <w:tc>
                <w:tcPr>
                  <w:tcW w:w="2677" w:type="dxa"/>
                  <w:vAlign w:val="center"/>
                </w:tcPr>
                <w:p w14:paraId="5273D7D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报告提出“三同时”要求，环保工程与主体工程同时设计、同时施工、同时投入使用；已将固体废物污染环境防治内容纳入环境影响评价文件；报告提出防治固体废物污染环境和破坏生态的措施以及固体废物污染环境防治设施投资概算。</w:t>
                  </w:r>
                </w:p>
              </w:tc>
              <w:tc>
                <w:tcPr>
                  <w:tcW w:w="831" w:type="dxa"/>
                  <w:tcBorders>
                    <w:right w:val="nil"/>
                  </w:tcBorders>
                  <w:vAlign w:val="center"/>
                </w:tcPr>
                <w:p w14:paraId="52856A9F">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3BD5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2DF66DA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5</w:t>
                  </w:r>
                </w:p>
              </w:tc>
              <w:tc>
                <w:tcPr>
                  <w:tcW w:w="2904" w:type="dxa"/>
                  <w:vAlign w:val="center"/>
                </w:tcPr>
                <w:p w14:paraId="474B71F7">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w:t>
                  </w:r>
                </w:p>
              </w:tc>
              <w:tc>
                <w:tcPr>
                  <w:tcW w:w="2677" w:type="dxa"/>
                  <w:vAlign w:val="center"/>
                </w:tcPr>
                <w:p w14:paraId="1B8E80C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本项目产生的尾渣收集贮存在尾矿仓内，外售给易门洪斌经贸有限公司、海邦矿业（峨山）有限公司以及易门六街二台坡渣选有限公司等进行综合利用，未擅自倾倒、堆放、丢弃、遗撒固体废物。</w:t>
                  </w:r>
                </w:p>
              </w:tc>
              <w:tc>
                <w:tcPr>
                  <w:tcW w:w="831" w:type="dxa"/>
                  <w:tcBorders>
                    <w:right w:val="nil"/>
                  </w:tcBorders>
                  <w:vAlign w:val="center"/>
                </w:tcPr>
                <w:p w14:paraId="3777F63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0992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04821829">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6</w:t>
                  </w:r>
                </w:p>
              </w:tc>
              <w:tc>
                <w:tcPr>
                  <w:tcW w:w="2904" w:type="dxa"/>
                  <w:vAlign w:val="center"/>
                </w:tcPr>
                <w:p w14:paraId="5E049A63">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在生态保护红线区域、永久基本农田集中区域和其他需要特别保护的区域内，禁止建设工业固体废物、危险废物集中贮存、利用、处置的设施、场所和生活垃圾填埋场。</w:t>
                  </w:r>
                </w:p>
              </w:tc>
              <w:tc>
                <w:tcPr>
                  <w:tcW w:w="2677" w:type="dxa"/>
                  <w:vAlign w:val="center"/>
                </w:tcPr>
                <w:p w14:paraId="681C119D">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本项目位于云南易门产业园区大椿树片区，不在生态保护红线区域、永久基本农田集中区域和其他需要特别保护的区域内</w:t>
                  </w:r>
                </w:p>
              </w:tc>
              <w:tc>
                <w:tcPr>
                  <w:tcW w:w="831" w:type="dxa"/>
                  <w:tcBorders>
                    <w:right w:val="nil"/>
                  </w:tcBorders>
                  <w:vAlign w:val="center"/>
                </w:tcPr>
                <w:p w14:paraId="4F0A53B6">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6098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4B6F4DBE">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7</w:t>
                  </w:r>
                </w:p>
              </w:tc>
              <w:tc>
                <w:tcPr>
                  <w:tcW w:w="2904" w:type="dxa"/>
                  <w:vAlign w:val="center"/>
                </w:tcPr>
                <w:p w14:paraId="62FF3E75">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tc>
              <w:tc>
                <w:tcPr>
                  <w:tcW w:w="2677" w:type="dxa"/>
                  <w:vAlign w:val="center"/>
                </w:tcPr>
                <w:p w14:paraId="17180BE2">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本项目产生的尾渣委托其他单位处置，已和易门洪斌经贸有限公司、海邦矿业（峨山）有限公司以及易门六街二台坡渣选有限公司签订了书面合同。</w:t>
                  </w:r>
                </w:p>
              </w:tc>
              <w:tc>
                <w:tcPr>
                  <w:tcW w:w="831" w:type="dxa"/>
                  <w:tcBorders>
                    <w:right w:val="nil"/>
                  </w:tcBorders>
                  <w:vAlign w:val="center"/>
                </w:tcPr>
                <w:p w14:paraId="7EB42D64">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r w14:paraId="2A35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tcBorders>
                    <w:left w:val="nil"/>
                  </w:tcBorders>
                  <w:vAlign w:val="center"/>
                </w:tcPr>
                <w:p w14:paraId="47FF0F05">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8</w:t>
                  </w:r>
                </w:p>
              </w:tc>
              <w:tc>
                <w:tcPr>
                  <w:tcW w:w="2904" w:type="dxa"/>
                  <w:vAlign w:val="center"/>
                </w:tcPr>
                <w:p w14:paraId="4619210C">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tc>
              <w:tc>
                <w:tcPr>
                  <w:tcW w:w="2677" w:type="dxa"/>
                  <w:vAlign w:val="center"/>
                </w:tcPr>
                <w:p w14:paraId="1487AA80">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本项目产生的危险废物为</w:t>
                  </w:r>
                  <w:r>
                    <w:rPr>
                      <w:rFonts w:hint="eastAsia" w:cs="Times New Roman"/>
                      <w:color w:val="auto"/>
                      <w:kern w:val="0"/>
                      <w:sz w:val="18"/>
                      <w:szCs w:val="18"/>
                      <w:lang w:val="en-US" w:eastAsia="zh-CN"/>
                    </w:rPr>
                    <w:t>废润滑油</w:t>
                  </w:r>
                  <w:r>
                    <w:rPr>
                      <w:rFonts w:hint="eastAsia" w:ascii="Times New Roman" w:hAnsi="Times New Roman" w:eastAsia="宋体" w:cs="Times New Roman"/>
                      <w:color w:val="auto"/>
                      <w:kern w:val="2"/>
                      <w:sz w:val="18"/>
                      <w:szCs w:val="18"/>
                      <w:highlight w:val="none"/>
                      <w:vertAlign w:val="baseline"/>
                      <w:lang w:val="en-US" w:eastAsia="zh-CN" w:bidi="ar-SA"/>
                    </w:rPr>
                    <w:t>，</w:t>
                  </w:r>
                  <w:r>
                    <w:rPr>
                      <w:rFonts w:hint="default" w:ascii="Times New Roman" w:hAnsi="Times New Roman" w:eastAsia="宋体" w:cs="Times New Roman"/>
                      <w:color w:val="auto"/>
                      <w:kern w:val="2"/>
                      <w:sz w:val="18"/>
                      <w:szCs w:val="18"/>
                      <w:highlight w:val="none"/>
                      <w:vertAlign w:val="baseline"/>
                      <w:lang w:val="en-US" w:eastAsia="zh-CN" w:bidi="ar-SA"/>
                    </w:rPr>
                    <w:t>依托厂区现有5#</w:t>
                  </w:r>
                  <w:r>
                    <w:rPr>
                      <w:rFonts w:hint="eastAsia" w:cs="Times New Roman"/>
                      <w:color w:val="auto"/>
                      <w:kern w:val="2"/>
                      <w:sz w:val="18"/>
                      <w:szCs w:val="18"/>
                      <w:highlight w:val="none"/>
                      <w:vertAlign w:val="baseline"/>
                      <w:lang w:val="en-US" w:eastAsia="zh-CN" w:bidi="ar-SA"/>
                    </w:rPr>
                    <w:t>危险废物贮存库</w:t>
                  </w:r>
                  <w:r>
                    <w:rPr>
                      <w:rFonts w:hint="default" w:ascii="Times New Roman" w:hAnsi="Times New Roman" w:eastAsia="宋体" w:cs="Times New Roman"/>
                      <w:color w:val="auto"/>
                      <w:kern w:val="2"/>
                      <w:sz w:val="18"/>
                      <w:szCs w:val="18"/>
                      <w:highlight w:val="none"/>
                      <w:vertAlign w:val="baseline"/>
                      <w:lang w:val="en-US" w:eastAsia="zh-CN" w:bidi="ar-SA"/>
                    </w:rPr>
                    <w:t>，采用专用容器分区暂存，定期委托</w:t>
                  </w:r>
                  <w:r>
                    <w:rPr>
                      <w:rFonts w:hint="eastAsia" w:ascii="Times New Roman" w:hAnsi="Times New Roman" w:eastAsia="宋体" w:cs="Times New Roman"/>
                      <w:color w:val="000000"/>
                      <w:kern w:val="0"/>
                      <w:sz w:val="18"/>
                      <w:szCs w:val="18"/>
                      <w:lang w:val="en-US" w:eastAsia="zh-CN" w:bidi="ar"/>
                    </w:rPr>
                    <w:t>云南广莱再生资源回收有限公司</w:t>
                  </w:r>
                  <w:r>
                    <w:rPr>
                      <w:rFonts w:hint="eastAsia" w:eastAsia="宋体" w:cs="Times New Roman"/>
                      <w:color w:val="000000"/>
                      <w:kern w:val="0"/>
                      <w:sz w:val="18"/>
                      <w:szCs w:val="18"/>
                      <w:lang w:val="en-US" w:eastAsia="zh-CN" w:bidi="ar"/>
                    </w:rPr>
                    <w:t>清运处置</w:t>
                  </w:r>
                  <w:r>
                    <w:rPr>
                      <w:rFonts w:hint="eastAsia" w:ascii="Times New Roman" w:hAnsi="Times New Roman" w:eastAsia="宋体" w:cs="Times New Roman"/>
                      <w:color w:val="auto"/>
                      <w:kern w:val="2"/>
                      <w:sz w:val="18"/>
                      <w:szCs w:val="18"/>
                      <w:highlight w:val="none"/>
                      <w:vertAlign w:val="baseline"/>
                      <w:lang w:val="en-US" w:eastAsia="zh-CN" w:bidi="ar-SA"/>
                    </w:rPr>
                    <w:t>，建设单位建立了危险废物管理台账，如实记录有关信息。</w:t>
                  </w:r>
                </w:p>
              </w:tc>
              <w:tc>
                <w:tcPr>
                  <w:tcW w:w="831" w:type="dxa"/>
                  <w:tcBorders>
                    <w:right w:val="nil"/>
                  </w:tcBorders>
                  <w:vAlign w:val="center"/>
                </w:tcPr>
                <w:p w14:paraId="3275C2AA">
                  <w:pPr>
                    <w:pStyle w:val="37"/>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符合</w:t>
                  </w:r>
                </w:p>
              </w:tc>
            </w:tr>
          </w:tbl>
          <w:p w14:paraId="08A6F5E1">
            <w:pPr>
              <w:pStyle w:val="37"/>
              <w:keepNext w:val="0"/>
              <w:keepLines w:val="0"/>
              <w:pageBreakBefore w:val="0"/>
              <w:widowControl w:val="0"/>
              <w:kinsoku/>
              <w:wordWrap/>
              <w:overflowPunct/>
              <w:topLinePunct/>
              <w:autoSpaceDE/>
              <w:autoSpaceDN/>
              <w:bidi w:val="0"/>
              <w:adjustRightInd w:val="0"/>
              <w:snapToGrid w:val="0"/>
              <w:ind w:left="0" w:leftChars="0" w:firstLine="480"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val="0"/>
                <w:bCs w:val="0"/>
                <w:color w:val="auto"/>
                <w:kern w:val="2"/>
                <w:sz w:val="24"/>
                <w:szCs w:val="21"/>
                <w:lang w:val="en-US" w:eastAsia="zh-CN" w:bidi="ar-SA"/>
              </w:rPr>
              <w:t>综上，本项目建设符合《中华人民共和国固体废物污染环境防治法》的相关要求。</w:t>
            </w:r>
          </w:p>
          <w:p w14:paraId="3EDCFE65">
            <w:pPr>
              <w:pStyle w:val="37"/>
              <w:keepNext w:val="0"/>
              <w:keepLines w:val="0"/>
              <w:pageBreakBefore w:val="0"/>
              <w:widowControl w:val="0"/>
              <w:kinsoku/>
              <w:wordWrap/>
              <w:overflowPunct/>
              <w:autoSpaceDE/>
              <w:autoSpaceDN/>
              <w:bidi w:val="0"/>
              <w:textAlignment w:val="auto"/>
              <w:rPr>
                <w:rFonts w:hint="eastAsia" w:ascii="Times New Roman" w:hAnsi="Times New Roman" w:eastAsia="宋体" w:cs="Times New Roman"/>
                <w:b w:val="0"/>
                <w:bCs w:val="0"/>
                <w:color w:val="auto"/>
                <w:kern w:val="2"/>
                <w:sz w:val="24"/>
                <w:szCs w:val="21"/>
                <w:lang w:val="en-US" w:eastAsia="zh-CN" w:bidi="ar-SA"/>
              </w:rPr>
            </w:pPr>
            <w:r>
              <w:rPr>
                <w:rFonts w:hint="eastAsia"/>
                <w:b/>
                <w:bCs/>
                <w:color w:val="auto"/>
                <w:lang w:val="en-US" w:eastAsia="zh-CN"/>
              </w:rPr>
              <w:t>19、</w:t>
            </w:r>
            <w:r>
              <w:rPr>
                <w:b/>
                <w:bCs/>
                <w:color w:val="auto"/>
              </w:rPr>
              <w:t>平面布置合理性</w:t>
            </w:r>
          </w:p>
          <w:p w14:paraId="58AFA32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1"/>
                <w:lang w:val="en-US" w:eastAsia="zh-CN" w:bidi="ar-SA"/>
              </w:rPr>
              <w:t>本次改造新建塔磨机车间布置于一期磨浮车间北侧场地</w:t>
            </w:r>
            <w:r>
              <w:rPr>
                <w:rFonts w:hint="eastAsia" w:cs="Times New Roman"/>
                <w:b w:val="0"/>
                <w:bCs w:val="0"/>
                <w:color w:val="auto"/>
                <w:kern w:val="2"/>
                <w:sz w:val="24"/>
                <w:szCs w:val="21"/>
                <w:lang w:val="en-US" w:eastAsia="zh-CN" w:bidi="ar-SA"/>
              </w:rPr>
              <w:t>，塔磨机车间设置1台塔磨机，</w:t>
            </w:r>
            <w:r>
              <w:rPr>
                <w:rFonts w:hint="eastAsia" w:ascii="Times New Roman" w:hAnsi="Times New Roman" w:eastAsia="宋体" w:cs="Times New Roman"/>
                <w:b w:val="0"/>
                <w:bCs w:val="0"/>
                <w:color w:val="auto"/>
                <w:kern w:val="2"/>
                <w:sz w:val="24"/>
                <w:szCs w:val="21"/>
                <w:lang w:val="en-US" w:eastAsia="zh-CN" w:bidi="ar-SA"/>
              </w:rPr>
              <w:t>新建车间利用现有渣选厂区空地进行布置</w:t>
            </w:r>
            <w:r>
              <w:rPr>
                <w:rFonts w:hint="eastAsia" w:cs="Times New Roman"/>
                <w:b w:val="0"/>
                <w:bCs w:val="0"/>
                <w:color w:val="auto"/>
                <w:kern w:val="2"/>
                <w:sz w:val="24"/>
                <w:szCs w:val="21"/>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在现有车间内根据生产及工艺要求增设设备</w:t>
            </w:r>
            <w:r>
              <w:rPr>
                <w:rFonts w:hint="eastAsia" w:cs="Times New Roman"/>
                <w:color w:val="auto"/>
                <w:kern w:val="2"/>
                <w:sz w:val="24"/>
                <w:szCs w:val="24"/>
                <w:highlight w:val="none"/>
                <w:lang w:val="en-US" w:eastAsia="zh-CN" w:bidi="ar-SA"/>
              </w:rPr>
              <w:t>和更换设备型号</w:t>
            </w:r>
            <w:r>
              <w:rPr>
                <w:rFonts w:hint="default" w:ascii="Times New Roman" w:hAnsi="Times New Roman" w:eastAsia="宋体" w:cs="Times New Roman"/>
                <w:color w:val="auto"/>
                <w:kern w:val="2"/>
                <w:sz w:val="24"/>
                <w:szCs w:val="24"/>
                <w:highlight w:val="none"/>
                <w:lang w:val="en-US" w:eastAsia="zh-CN" w:bidi="ar-SA"/>
              </w:rPr>
              <w:t>，尽最大可能利用现有厂房、起吊设施，公辅设施、环保设施基本依托厂内现有设施，产生的污染物可以得到有效、可行的处置。</w:t>
            </w:r>
          </w:p>
          <w:p w14:paraId="7FD6DC3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厂区总平面布置合理性：本项目是在满足生产工艺流程的前提下，考虑运输、安全、卫生等要求，结合项目用地的自然地形条件，按各种设施不同功能进行分区和组合，力求平面布置紧凑合理，节省用地，有利于生产，方便管理。</w:t>
            </w:r>
          </w:p>
          <w:p w14:paraId="15AA1576">
            <w:pPr>
              <w:pStyle w:val="37"/>
              <w:bidi w:val="0"/>
              <w:rPr>
                <w:b/>
                <w:bCs/>
                <w:color w:val="auto"/>
              </w:rPr>
            </w:pPr>
            <w:r>
              <w:rPr>
                <w:rFonts w:hint="eastAsia"/>
                <w:b/>
                <w:bCs/>
                <w:color w:val="auto"/>
                <w:lang w:val="en-US" w:eastAsia="zh-CN"/>
              </w:rPr>
              <w:t>20、</w:t>
            </w:r>
            <w:r>
              <w:rPr>
                <w:b/>
                <w:bCs/>
                <w:color w:val="auto"/>
              </w:rPr>
              <w:t>选址合理性</w:t>
            </w:r>
          </w:p>
          <w:p w14:paraId="7844EE30">
            <w:pPr>
              <w:pStyle w:val="37"/>
              <w:bidi w:val="0"/>
              <w:rPr>
                <w:color w:val="auto"/>
              </w:rPr>
            </w:pPr>
            <w:r>
              <w:rPr>
                <w:color w:val="auto"/>
              </w:rPr>
              <w:t>本项目位于</w:t>
            </w:r>
            <w:r>
              <w:rPr>
                <w:rFonts w:hint="eastAsia"/>
                <w:color w:val="auto"/>
                <w:lang w:val="en-US" w:eastAsia="zh-CN"/>
              </w:rPr>
              <w:t>云南易门产业园区大椿树片区</w:t>
            </w:r>
            <w:r>
              <w:rPr>
                <w:color w:val="auto"/>
              </w:rPr>
              <w:t>，</w:t>
            </w:r>
            <w:r>
              <w:rPr>
                <w:rFonts w:hint="default" w:ascii="Times New Roman" w:hAnsi="Times New Roman" w:eastAsia="宋体" w:cs="Times New Roman"/>
                <w:color w:val="auto"/>
                <w:kern w:val="0"/>
                <w:sz w:val="24"/>
                <w:lang w:val="en-US" w:eastAsia="zh-CN"/>
              </w:rPr>
              <w:t>本项目属于改建项目，在既有厂区进行改建，不新增占地，</w:t>
            </w:r>
            <w:r>
              <w:rPr>
                <w:color w:val="auto"/>
              </w:rPr>
              <w:t>不涉及占用</w:t>
            </w:r>
            <w:r>
              <w:rPr>
                <w:rFonts w:hint="eastAsia"/>
                <w:color w:val="auto"/>
                <w:lang w:val="en-US" w:eastAsia="zh-CN"/>
              </w:rPr>
              <w:t>易门县</w:t>
            </w:r>
            <w:r>
              <w:rPr>
                <w:color w:val="auto"/>
              </w:rPr>
              <w:t>生态红线，符合</w:t>
            </w:r>
            <w:r>
              <w:rPr>
                <w:rFonts w:hint="eastAsia"/>
                <w:color w:val="auto"/>
                <w:lang w:val="en-US" w:eastAsia="zh-CN"/>
              </w:rPr>
              <w:t>云南省和玉溪市</w:t>
            </w:r>
            <w:r>
              <w:rPr>
                <w:rFonts w:hint="eastAsia"/>
                <w:color w:val="auto"/>
                <w:lang w:eastAsia="zh-CN"/>
              </w:rPr>
              <w:t>“</w:t>
            </w:r>
            <w:r>
              <w:rPr>
                <w:rFonts w:hint="eastAsia"/>
                <w:color w:val="auto"/>
                <w:lang w:val="en-US" w:eastAsia="zh-CN"/>
              </w:rPr>
              <w:t>三线一单</w:t>
            </w:r>
            <w:r>
              <w:rPr>
                <w:rFonts w:hint="eastAsia"/>
                <w:color w:val="auto"/>
                <w:lang w:eastAsia="zh-CN"/>
              </w:rPr>
              <w:t>”</w:t>
            </w:r>
            <w:r>
              <w:rPr>
                <w:color w:val="auto"/>
              </w:rPr>
              <w:t>要求。</w:t>
            </w:r>
            <w:r>
              <w:rPr>
                <w:rFonts w:hint="default" w:ascii="Times New Roman" w:hAnsi="Times New Roman" w:eastAsia="宋体" w:cs="Times New Roman"/>
                <w:color w:val="auto"/>
                <w:kern w:val="0"/>
                <w:sz w:val="24"/>
                <w:lang w:val="en-US" w:eastAsia="zh-CN"/>
              </w:rPr>
              <w:t>易门铜业有限公司主要从事铜矿有色金属冶炼，本项目为公司配套环保工程改建项目，符合大椿树片区重点有色金属产业（以稀贵金属和铜产业为重点）的产业定位及发展方向</w:t>
            </w:r>
            <w:r>
              <w:rPr>
                <w:rFonts w:hint="eastAsia" w:ascii="Times New Roman" w:hAnsi="Times New Roman" w:eastAsia="宋体" w:cs="Times New Roman"/>
                <w:color w:val="auto"/>
                <w:kern w:val="0"/>
                <w:sz w:val="24"/>
                <w:lang w:val="en-US" w:eastAsia="zh-CN"/>
              </w:rPr>
              <w:t>。</w:t>
            </w:r>
          </w:p>
          <w:p w14:paraId="464813B1">
            <w:pPr>
              <w:pStyle w:val="37"/>
              <w:bidi w:val="0"/>
              <w:rPr>
                <w:color w:val="auto"/>
              </w:rPr>
            </w:pPr>
            <w:r>
              <w:rPr>
                <w:color w:val="auto"/>
              </w:rPr>
              <w:t>项目废气、噪声均达标排放，</w:t>
            </w:r>
            <w:r>
              <w:rPr>
                <w:rFonts w:hint="eastAsia" w:ascii="Times New Roman" w:hAnsi="Times New Roman" w:eastAsia="宋体" w:cs="Times New Roman"/>
                <w:color w:val="auto"/>
                <w:kern w:val="0"/>
                <w:sz w:val="24"/>
                <w:szCs w:val="24"/>
                <w:highlight w:val="none"/>
                <w:lang w:val="en-US" w:eastAsia="zh-CN"/>
              </w:rPr>
              <w:t>生产废水循环使用，不外排，</w:t>
            </w:r>
            <w:r>
              <w:rPr>
                <w:rFonts w:hint="eastAsia" w:ascii="Times New Roman" w:hAnsi="Times New Roman" w:eastAsia="宋体" w:cs="Times New Roman"/>
                <w:color w:val="000000"/>
                <w:kern w:val="0"/>
                <w:sz w:val="24"/>
                <w:szCs w:val="24"/>
                <w:lang w:val="en-US" w:eastAsia="zh-CN" w:bidi="ar"/>
              </w:rPr>
              <w:t>车辆清洗废水收集沉淀后回用，不外排，生活污水收集后进入生活污水处理站（200m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/d），处理后回用于厂区绿化、道路洒水，不外排</w:t>
            </w:r>
            <w:r>
              <w:rPr>
                <w:rFonts w:hint="eastAsia"/>
                <w:b w:val="0"/>
                <w:bCs w:val="0"/>
                <w:color w:val="auto"/>
                <w:szCs w:val="21"/>
                <w:lang w:val="en-US" w:eastAsia="zh-CN"/>
              </w:rPr>
              <w:t>，初期雨水依托厂区初期雨水收集池，收集后作为厂区项目生产补充水，不外排</w:t>
            </w:r>
            <w:r>
              <w:rPr>
                <w:rFonts w:hint="eastAsia" w:ascii="Times New Roman" w:hAnsi="Times New Roman"/>
                <w:b w:val="0"/>
                <w:bCs w:val="0"/>
                <w:color w:val="auto"/>
                <w:szCs w:val="21"/>
                <w:lang w:eastAsia="zh-CN"/>
              </w:rPr>
              <w:t>；</w:t>
            </w:r>
            <w:r>
              <w:rPr>
                <w:color w:val="auto"/>
              </w:rPr>
              <w:t>固废</w:t>
            </w:r>
            <w:r>
              <w:rPr>
                <w:rFonts w:hint="eastAsia"/>
                <w:color w:val="auto"/>
                <w:lang w:val="en-US" w:eastAsia="zh-CN"/>
              </w:rPr>
              <w:t>处置率100%</w:t>
            </w:r>
            <w:r>
              <w:rPr>
                <w:color w:val="auto"/>
              </w:rPr>
              <w:t>。项目与《云南</w:t>
            </w:r>
            <w:r>
              <w:rPr>
                <w:rFonts w:hint="eastAsia"/>
                <w:color w:val="auto"/>
                <w:lang w:val="en-US" w:eastAsia="zh-CN"/>
              </w:rPr>
              <w:t>易门</w:t>
            </w:r>
            <w:r>
              <w:rPr>
                <w:color w:val="auto"/>
              </w:rPr>
              <w:t>产业园区总体规划</w:t>
            </w:r>
            <w:r>
              <w:rPr>
                <w:rFonts w:hint="eastAsia"/>
                <w:color w:val="auto"/>
                <w:lang w:eastAsia="zh-CN"/>
              </w:rPr>
              <w:t>（</w:t>
            </w:r>
            <w:r>
              <w:rPr>
                <w:rFonts w:hint="eastAsia"/>
                <w:color w:val="auto"/>
                <w:lang w:val="en-US" w:eastAsia="zh-CN"/>
              </w:rPr>
              <w:t>修编</w:t>
            </w:r>
            <w:r>
              <w:rPr>
                <w:rFonts w:hint="eastAsia"/>
                <w:color w:val="auto"/>
                <w:lang w:eastAsia="zh-CN"/>
              </w:rPr>
              <w:t>）</w:t>
            </w:r>
            <w:r>
              <w:rPr>
                <w:color w:val="auto"/>
              </w:rPr>
              <w:t>（2021~2035年）》产业定位相符，与《云南</w:t>
            </w:r>
            <w:r>
              <w:rPr>
                <w:rFonts w:hint="eastAsia"/>
                <w:color w:val="auto"/>
                <w:lang w:val="en-US" w:eastAsia="zh-CN"/>
              </w:rPr>
              <w:t>易门</w:t>
            </w:r>
            <w:r>
              <w:rPr>
                <w:color w:val="auto"/>
              </w:rPr>
              <w:t>产业园区总体规划</w:t>
            </w:r>
            <w:r>
              <w:rPr>
                <w:rFonts w:hint="eastAsia"/>
                <w:color w:val="auto"/>
                <w:lang w:eastAsia="zh-CN"/>
              </w:rPr>
              <w:t>（</w:t>
            </w:r>
            <w:r>
              <w:rPr>
                <w:rFonts w:hint="eastAsia"/>
                <w:color w:val="auto"/>
                <w:lang w:val="en-US" w:eastAsia="zh-CN"/>
              </w:rPr>
              <w:t>修编</w:t>
            </w:r>
            <w:r>
              <w:rPr>
                <w:rFonts w:hint="eastAsia"/>
                <w:color w:val="auto"/>
                <w:lang w:eastAsia="zh-CN"/>
              </w:rPr>
              <w:t>）</w:t>
            </w:r>
            <w:r>
              <w:rPr>
                <w:color w:val="auto"/>
              </w:rPr>
              <w:t>（2021~2035年）环境影响报告书》及审查意见相符。</w:t>
            </w:r>
          </w:p>
          <w:p w14:paraId="6CB3DF62">
            <w:pPr>
              <w:pStyle w:val="37"/>
              <w:bidi w:val="0"/>
              <w:rPr>
                <w:color w:val="auto"/>
              </w:rPr>
            </w:pPr>
            <w:r>
              <w:rPr>
                <w:rFonts w:hint="eastAsia"/>
                <w:color w:val="auto"/>
                <w:lang w:val="en-US" w:eastAsia="zh-CN"/>
              </w:rPr>
              <w:t>根据现场调查，</w:t>
            </w:r>
            <w:r>
              <w:rPr>
                <w:color w:val="auto"/>
              </w:rPr>
              <w:t>项目周围无自然保护区、风景名胜区、生态</w:t>
            </w:r>
            <w:r>
              <w:rPr>
                <w:rFonts w:hint="eastAsia"/>
                <w:color w:val="auto"/>
              </w:rPr>
              <w:t>红线</w:t>
            </w:r>
            <w:r>
              <w:rPr>
                <w:color w:val="auto"/>
              </w:rPr>
              <w:t>保护区、集中式水源地等环境敏感区，区域无珍稀濒危受保护动植物分布，占地不涉及基本农田。项目</w:t>
            </w:r>
            <w:r>
              <w:rPr>
                <w:rFonts w:hint="eastAsia"/>
                <w:color w:val="auto"/>
                <w:lang w:val="en-US" w:eastAsia="zh-CN"/>
              </w:rPr>
              <w:t>四周均为工业企业，</w:t>
            </w:r>
            <w:r>
              <w:rPr>
                <w:color w:val="auto"/>
              </w:rPr>
              <w:t>与周围环境相容，项目产生的污染物在采取相应环保措施后，产生的环境影响可以得到有效控制，不会改变区域的环境功能区划。</w:t>
            </w:r>
          </w:p>
          <w:p w14:paraId="437D3FBE">
            <w:pPr>
              <w:pStyle w:val="31"/>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综上分析，从环境影响的角度分析，本项目选址合理。</w:t>
            </w:r>
          </w:p>
          <w:p w14:paraId="40F454DE">
            <w:pPr>
              <w:pStyle w:val="31"/>
              <w:rPr>
                <w:rFonts w:hint="eastAsia" w:ascii="Times New Roman" w:hAnsi="Times New Roman" w:eastAsia="宋体" w:cs="Times New Roman"/>
                <w:color w:val="auto"/>
                <w:kern w:val="2"/>
                <w:sz w:val="24"/>
                <w:szCs w:val="24"/>
                <w:lang w:val="en-US" w:eastAsia="zh-CN" w:bidi="ar-SA"/>
              </w:rPr>
            </w:pPr>
          </w:p>
          <w:p w14:paraId="25E0E028">
            <w:pPr>
              <w:pStyle w:val="31"/>
              <w:rPr>
                <w:rFonts w:hint="eastAsia" w:ascii="Times New Roman" w:hAnsi="Times New Roman" w:eastAsia="宋体" w:cs="Times New Roman"/>
                <w:color w:val="auto"/>
                <w:kern w:val="2"/>
                <w:sz w:val="24"/>
                <w:szCs w:val="24"/>
                <w:lang w:val="en-US" w:eastAsia="zh-CN" w:bidi="ar-SA"/>
              </w:rPr>
            </w:pPr>
          </w:p>
          <w:p w14:paraId="2F1CEDA5">
            <w:pPr>
              <w:pStyle w:val="31"/>
              <w:rPr>
                <w:rFonts w:hint="eastAsia" w:cs="Times New Roman"/>
                <w:color w:val="auto"/>
                <w:kern w:val="2"/>
                <w:sz w:val="24"/>
                <w:szCs w:val="24"/>
                <w:lang w:val="en-US" w:eastAsia="zh-CN" w:bidi="ar-SA"/>
              </w:rPr>
            </w:pPr>
          </w:p>
          <w:p w14:paraId="5188F71E">
            <w:pPr>
              <w:pStyle w:val="31"/>
              <w:rPr>
                <w:rFonts w:hint="eastAsia" w:cs="Times New Roman"/>
                <w:color w:val="auto"/>
                <w:kern w:val="2"/>
                <w:sz w:val="24"/>
                <w:szCs w:val="24"/>
                <w:lang w:val="en-US" w:eastAsia="zh-CN" w:bidi="ar-SA"/>
              </w:rPr>
            </w:pPr>
          </w:p>
          <w:p w14:paraId="7D12027C">
            <w:pPr>
              <w:pStyle w:val="31"/>
              <w:rPr>
                <w:rFonts w:hint="eastAsia" w:cs="Times New Roman"/>
                <w:color w:val="auto"/>
                <w:kern w:val="2"/>
                <w:sz w:val="24"/>
                <w:szCs w:val="24"/>
                <w:lang w:val="en-US" w:eastAsia="zh-CN" w:bidi="ar-SA"/>
              </w:rPr>
            </w:pPr>
          </w:p>
          <w:p w14:paraId="11AFA451">
            <w:pPr>
              <w:pStyle w:val="31"/>
              <w:rPr>
                <w:rFonts w:hint="eastAsia" w:cs="Times New Roman"/>
                <w:color w:val="auto"/>
                <w:kern w:val="2"/>
                <w:sz w:val="24"/>
                <w:szCs w:val="24"/>
                <w:lang w:val="en-US" w:eastAsia="zh-CN" w:bidi="ar-SA"/>
              </w:rPr>
            </w:pPr>
          </w:p>
          <w:p w14:paraId="08C1ED62">
            <w:pPr>
              <w:pStyle w:val="31"/>
              <w:rPr>
                <w:rFonts w:hint="eastAsia" w:cs="Times New Roman"/>
                <w:color w:val="auto"/>
                <w:kern w:val="2"/>
                <w:sz w:val="24"/>
                <w:szCs w:val="24"/>
                <w:lang w:val="en-US" w:eastAsia="zh-CN" w:bidi="ar-SA"/>
              </w:rPr>
            </w:pPr>
          </w:p>
          <w:p w14:paraId="094CD3BD">
            <w:pPr>
              <w:pStyle w:val="31"/>
              <w:rPr>
                <w:rFonts w:hint="eastAsia" w:cs="Times New Roman"/>
                <w:color w:val="auto"/>
                <w:kern w:val="2"/>
                <w:sz w:val="24"/>
                <w:szCs w:val="24"/>
                <w:lang w:val="en-US" w:eastAsia="zh-CN" w:bidi="ar-SA"/>
              </w:rPr>
            </w:pPr>
          </w:p>
          <w:p w14:paraId="114CA480">
            <w:pPr>
              <w:pStyle w:val="31"/>
              <w:rPr>
                <w:rFonts w:hint="eastAsia" w:cs="Times New Roman"/>
                <w:color w:val="auto"/>
                <w:kern w:val="2"/>
                <w:sz w:val="24"/>
                <w:szCs w:val="24"/>
                <w:lang w:val="en-US" w:eastAsia="zh-CN" w:bidi="ar-SA"/>
              </w:rPr>
            </w:pPr>
          </w:p>
          <w:p w14:paraId="4EADB154">
            <w:pPr>
              <w:pStyle w:val="31"/>
              <w:rPr>
                <w:rFonts w:hint="eastAsia" w:cs="Times New Roman"/>
                <w:color w:val="auto"/>
                <w:kern w:val="2"/>
                <w:sz w:val="24"/>
                <w:szCs w:val="24"/>
                <w:lang w:val="en-US" w:eastAsia="zh-CN" w:bidi="ar-SA"/>
              </w:rPr>
            </w:pPr>
          </w:p>
          <w:p w14:paraId="739DA4D8">
            <w:pPr>
              <w:pStyle w:val="31"/>
              <w:rPr>
                <w:rFonts w:hint="eastAsia" w:cs="Times New Roman"/>
                <w:color w:val="auto"/>
                <w:kern w:val="2"/>
                <w:sz w:val="24"/>
                <w:szCs w:val="24"/>
                <w:lang w:val="en-US" w:eastAsia="zh-CN" w:bidi="ar-SA"/>
              </w:rPr>
            </w:pPr>
          </w:p>
          <w:p w14:paraId="7E47A82B">
            <w:pPr>
              <w:pStyle w:val="31"/>
              <w:rPr>
                <w:rFonts w:hint="eastAsia" w:cs="Times New Roman"/>
                <w:color w:val="auto"/>
                <w:kern w:val="2"/>
                <w:sz w:val="24"/>
                <w:szCs w:val="24"/>
                <w:lang w:val="en-US" w:eastAsia="zh-CN" w:bidi="ar-SA"/>
              </w:rPr>
            </w:pPr>
          </w:p>
          <w:p w14:paraId="483DC04C">
            <w:pPr>
              <w:pStyle w:val="31"/>
              <w:rPr>
                <w:rFonts w:hint="eastAsia" w:cs="Times New Roman"/>
                <w:color w:val="auto"/>
                <w:kern w:val="2"/>
                <w:sz w:val="24"/>
                <w:szCs w:val="24"/>
                <w:lang w:val="en-US" w:eastAsia="zh-CN" w:bidi="ar-SA"/>
              </w:rPr>
            </w:pPr>
          </w:p>
          <w:p w14:paraId="4CC70800">
            <w:pPr>
              <w:pStyle w:val="31"/>
              <w:rPr>
                <w:rFonts w:hint="eastAsia" w:cs="Times New Roman"/>
                <w:color w:val="auto"/>
                <w:kern w:val="2"/>
                <w:sz w:val="24"/>
                <w:szCs w:val="24"/>
                <w:lang w:val="en-US" w:eastAsia="zh-CN" w:bidi="ar-SA"/>
              </w:rPr>
            </w:pPr>
          </w:p>
          <w:p w14:paraId="6C9028A7">
            <w:pPr>
              <w:pStyle w:val="31"/>
              <w:rPr>
                <w:rFonts w:hint="eastAsia" w:cs="Times New Roman"/>
                <w:color w:val="auto"/>
                <w:kern w:val="2"/>
                <w:sz w:val="24"/>
                <w:szCs w:val="24"/>
                <w:lang w:val="en-US" w:eastAsia="zh-CN" w:bidi="ar-SA"/>
              </w:rPr>
            </w:pPr>
          </w:p>
          <w:p w14:paraId="7A886C86">
            <w:pPr>
              <w:pStyle w:val="31"/>
              <w:ind w:left="0" w:leftChars="0" w:firstLine="0" w:firstLineChars="0"/>
              <w:rPr>
                <w:rFonts w:hint="eastAsia" w:eastAsia="宋体"/>
                <w:lang w:val="en-US" w:eastAsia="zh-CN"/>
              </w:rPr>
            </w:pPr>
          </w:p>
        </w:tc>
      </w:tr>
    </w:tbl>
    <w:p w14:paraId="4E742857">
      <w:pPr>
        <w:pStyle w:val="3"/>
        <w:keepNext/>
        <w:keepLines w:val="0"/>
        <w:pageBreakBefore w:val="0"/>
        <w:widowControl w:val="0"/>
        <w:kinsoku/>
        <w:wordWrap/>
        <w:overflowPunct w:val="0"/>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lang w:val="en-US" w:eastAsia="zh-CN"/>
        </w:rPr>
      </w:pPr>
      <w:bookmarkStart w:id="5" w:name="_Toc29660"/>
      <w:bookmarkStart w:id="6" w:name="_Toc24139"/>
      <w:bookmarkStart w:id="7" w:name="_Toc28274"/>
      <w:r>
        <w:rPr>
          <w:rFonts w:hint="eastAsia" w:ascii="Times New Roman" w:hAnsi="Times New Roman" w:eastAsia="宋体" w:cs="Times New Roman"/>
          <w:color w:val="auto"/>
          <w:lang w:val="en-US" w:eastAsia="zh-CN"/>
        </w:rPr>
        <w:t>二、建设项目工程分析</w:t>
      </w:r>
      <w:bookmarkEnd w:id="5"/>
      <w:bookmarkEnd w:id="6"/>
      <w:bookmarkEnd w:id="7"/>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067"/>
      </w:tblGrid>
      <w:tr w14:paraId="2CDE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 w:type="pct"/>
            <w:tcBorders>
              <w:tl2br w:val="nil"/>
              <w:tr2bl w:val="nil"/>
            </w:tcBorders>
            <w:noWrap w:val="0"/>
            <w:vAlign w:val="center"/>
          </w:tcPr>
          <w:p w14:paraId="341CBD15">
            <w:pPr>
              <w:keepNext w:val="0"/>
              <w:keepLines w:val="0"/>
              <w:pageBreakBefore w:val="0"/>
              <w:kinsoku/>
              <w:wordWrap/>
              <w:overflowPunct/>
              <w:topLinePunct w:val="0"/>
              <w:bidi w:val="0"/>
              <w:adjustRightInd w:val="0"/>
              <w:snapToGrid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4"/>
                <w:szCs w:val="24"/>
                <w:highlight w:val="none"/>
              </w:rPr>
              <w:t>建设内容</w:t>
            </w:r>
          </w:p>
        </w:tc>
        <w:tc>
          <w:tcPr>
            <w:tcW w:w="4769" w:type="pct"/>
            <w:tcBorders>
              <w:tl2br w:val="nil"/>
              <w:tr2bl w:val="nil"/>
            </w:tcBorders>
            <w:noWrap w:val="0"/>
            <w:vAlign w:val="top"/>
          </w:tcPr>
          <w:p w14:paraId="7D3048E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b/>
                <w:bCs/>
                <w:color w:val="auto"/>
                <w:sz w:val="24"/>
                <w:lang w:val="en-US" w:eastAsia="zh-CN"/>
              </w:rPr>
              <w:t>1、项目由来</w:t>
            </w:r>
          </w:p>
          <w:p w14:paraId="376B4B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为考虑铜炉渣资源综合回收</w:t>
            </w:r>
            <w:r>
              <w:rPr>
                <w:rFonts w:hint="eastAsia" w:cs="Times New Roman"/>
                <w:sz w:val="24"/>
                <w:szCs w:val="24"/>
                <w:lang w:val="en-US" w:eastAsia="zh-CN"/>
              </w:rPr>
              <w:t>利用</w:t>
            </w:r>
            <w:r>
              <w:rPr>
                <w:rFonts w:hint="default" w:ascii="Times New Roman" w:hAnsi="Times New Roman" w:eastAsia="宋体" w:cs="Times New Roman"/>
                <w:sz w:val="24"/>
                <w:szCs w:val="24"/>
              </w:rPr>
              <w:t>，易门铜业现已建成设计规模为1300t/d的渣选厂，其中渣选厂一期处理量450t/d，渣选厂二期处理量850t/d，经过近年来潜力挖掘，目前工艺较为稳定，实际处理量达到1400t/d，入选炉渣平均含铜3.0%～3.6%，含铁39%～42%，含二氧化硅25%～27%，尾矿含铜品位为0.22%左右。对于铜冶炼渣的处理采用浮选工艺回收渣中的铜以及伴生贵金属金、银。冶炼渣经过缓冷、</w:t>
            </w:r>
            <w:r>
              <w:rPr>
                <w:rFonts w:hint="eastAsia" w:cs="Times New Roman"/>
                <w:sz w:val="24"/>
                <w:szCs w:val="24"/>
                <w:lang w:val="en-US" w:eastAsia="zh-CN"/>
              </w:rPr>
              <w:t>三</w:t>
            </w:r>
            <w:r>
              <w:rPr>
                <w:rFonts w:hint="default" w:ascii="Times New Roman" w:hAnsi="Times New Roman" w:eastAsia="宋体" w:cs="Times New Roman"/>
                <w:sz w:val="24"/>
                <w:szCs w:val="24"/>
              </w:rPr>
              <w:t>段一闭路破碎、阶磨阶段选工艺流程，浮选采用一次快选、一次粗选、两次精选、三次扫选流程产出含铜25%以上的铜精矿以及含铜0.2%～0.22%、含铁40%～41%的尾矿</w:t>
            </w:r>
            <w:r>
              <w:rPr>
                <w:rFonts w:hint="eastAsia" w:cs="Times New Roman"/>
                <w:sz w:val="24"/>
                <w:szCs w:val="24"/>
                <w:lang w:eastAsia="zh-CN"/>
              </w:rPr>
              <w:t>，其中铁物质占比情况为磁性铁占27%、硅酸铁占6%、菱铁矿等碳酸盐占8%，其中铁及其化合物由主要以Fe</w:t>
            </w:r>
            <w:r>
              <w:rPr>
                <w:rFonts w:hint="eastAsia" w:cs="Times New Roman"/>
                <w:sz w:val="24"/>
                <w:szCs w:val="24"/>
                <w:vertAlign w:val="subscript"/>
                <w:lang w:eastAsia="zh-CN"/>
              </w:rPr>
              <w:t>3</w:t>
            </w:r>
            <w:r>
              <w:rPr>
                <w:rFonts w:hint="eastAsia" w:cs="Times New Roman"/>
                <w:sz w:val="24"/>
                <w:szCs w:val="24"/>
                <w:vertAlign w:val="baseline"/>
                <w:lang w:val="en-US" w:eastAsia="zh-CN"/>
              </w:rPr>
              <w:t>O</w:t>
            </w:r>
            <w:r>
              <w:rPr>
                <w:rFonts w:hint="eastAsia" w:cs="Times New Roman"/>
                <w:sz w:val="24"/>
                <w:szCs w:val="24"/>
                <w:vertAlign w:val="subscript"/>
                <w:lang w:eastAsia="zh-CN"/>
              </w:rPr>
              <w:t>4</w:t>
            </w:r>
            <w:r>
              <w:rPr>
                <w:rFonts w:hint="eastAsia" w:cs="Times New Roman"/>
                <w:sz w:val="24"/>
                <w:szCs w:val="24"/>
                <w:lang w:eastAsia="zh-CN"/>
              </w:rPr>
              <w:t>为主，具有较高的回收利用价值，</w:t>
            </w:r>
            <w:r>
              <w:rPr>
                <w:rFonts w:hint="eastAsia" w:cs="Times New Roman"/>
                <w:sz w:val="24"/>
                <w:szCs w:val="24"/>
                <w:lang w:val="en-US" w:eastAsia="zh-CN"/>
              </w:rPr>
              <w:t>因此，易门铜业有限公司2022年7月建设铜火法冶炼渣资源化增值化利用关键技术研究扩大试验项目，进一步回收选铜尾渣中的铁，提高尾渣利用率及资源附加值。</w:t>
            </w:r>
            <w:r>
              <w:rPr>
                <w:rFonts w:hint="default" w:ascii="Times New Roman" w:hAnsi="Times New Roman" w:eastAsia="宋体" w:cs="Times New Roman"/>
                <w:sz w:val="24"/>
                <w:szCs w:val="24"/>
              </w:rPr>
              <w:t>浮选铜精矿作为底吹炉原料返回熔炼系统，</w:t>
            </w:r>
            <w:r>
              <w:rPr>
                <w:rFonts w:hint="eastAsia" w:cs="Times New Roman"/>
                <w:sz w:val="24"/>
                <w:szCs w:val="24"/>
                <w:lang w:val="en-US" w:eastAsia="zh-CN"/>
              </w:rPr>
              <w:t>铁精矿和</w:t>
            </w:r>
            <w:r>
              <w:rPr>
                <w:rFonts w:hint="default" w:ascii="Times New Roman" w:hAnsi="Times New Roman" w:eastAsia="宋体" w:cs="Times New Roman"/>
                <w:sz w:val="24"/>
                <w:szCs w:val="24"/>
              </w:rPr>
              <w:t>尾矿外售。</w:t>
            </w:r>
          </w:p>
          <w:p w14:paraId="7C976E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目前随着原料竞争加剧，入炉原料含铜品位由19.45%降低18.26%，入炉原料含铁品位由26.79%升高至28.35%，其次矿产粗铜产能由10万吨/年提高至11万吨/年，底吹炉负荷增加近10%，作业率提升至98%以上，底吹炉产渣量增加到1450.74t/d，最高日产炉渣量达到1581t，年产渣量约51.15万吨</w:t>
            </w:r>
            <w:r>
              <w:rPr>
                <w:rFonts w:hint="eastAsia" w:cs="Times New Roman"/>
                <w:sz w:val="24"/>
                <w:szCs w:val="24"/>
                <w:lang w:eastAsia="zh-CN"/>
              </w:rPr>
              <w:t>，</w:t>
            </w:r>
            <w:r>
              <w:rPr>
                <w:rFonts w:hint="default" w:ascii="Times New Roman" w:hAnsi="Times New Roman" w:eastAsia="宋体" w:cs="Times New Roman"/>
                <w:sz w:val="24"/>
                <w:szCs w:val="24"/>
              </w:rPr>
              <w:t>造成现渣选厂设备负荷率、作业率过高。底吹炉渣的矿物嵌布关系复杂，基于现有产能及设备条件下未能得到充分解离，导致部分呈细粒嵌布或连生体的铜矿物无法被有效浮选到精矿中，从而残留在尾矿里，造成金属损失。</w:t>
            </w:r>
          </w:p>
          <w:p w14:paraId="3A3BF4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渣选厂建有可堆存12000吨缓冷渣大棚，随着缓冷渣产出与渣选厂处理不平衡导致库存量持续上升，环保隐患增加。</w:t>
            </w:r>
          </w:p>
          <w:p w14:paraId="796026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sz w:val="24"/>
                <w:szCs w:val="24"/>
              </w:rPr>
              <w:t>综上所述，为解决渣选厂设备作业率高、炉渣解离不充分等问题，本次设计开展渣选工艺流程提效升级改造项目。</w:t>
            </w:r>
          </w:p>
          <w:p w14:paraId="1B43ED33">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sz w:val="24"/>
                <w:szCs w:val="24"/>
              </w:rPr>
              <w:t>渣选工艺流程提效升级改造项目</w:t>
            </w:r>
            <w:r>
              <w:rPr>
                <w:rFonts w:hint="eastAsia" w:ascii="Times New Roman" w:hAnsi="Times New Roman" w:cs="Times New Roman"/>
                <w:color w:val="auto"/>
                <w:kern w:val="0"/>
                <w:sz w:val="24"/>
                <w:szCs w:val="24"/>
                <w:lang w:val="en-US" w:eastAsia="zh-CN" w:bidi="ar-SA"/>
              </w:rPr>
              <w:t>于</w:t>
            </w:r>
            <w:r>
              <w:rPr>
                <w:rFonts w:hint="default" w:ascii="Times New Roman" w:hAnsi="Times New Roman" w:eastAsia="宋体" w:cs="Times New Roman"/>
                <w:color w:val="auto"/>
                <w:kern w:val="0"/>
                <w:sz w:val="24"/>
                <w:szCs w:val="24"/>
                <w:lang w:val="en-US" w:eastAsia="zh-CN" w:bidi="ar-SA"/>
              </w:rPr>
              <w:t>20</w:t>
            </w:r>
            <w:r>
              <w:rPr>
                <w:rFonts w:hint="eastAsia" w:cs="Times New Roman"/>
                <w:color w:val="auto"/>
                <w:kern w:val="0"/>
                <w:sz w:val="24"/>
                <w:szCs w:val="24"/>
                <w:lang w:val="en-US" w:eastAsia="zh-CN" w:bidi="ar-SA"/>
              </w:rPr>
              <w:t>25</w:t>
            </w:r>
            <w:r>
              <w:rPr>
                <w:rFonts w:hint="default" w:ascii="Times New Roman" w:hAnsi="Times New Roman" w:eastAsia="宋体" w:cs="Times New Roman"/>
                <w:color w:val="auto"/>
                <w:kern w:val="0"/>
                <w:sz w:val="24"/>
                <w:szCs w:val="24"/>
                <w:lang w:val="en-US" w:eastAsia="zh-CN" w:bidi="ar-SA"/>
              </w:rPr>
              <w:t>年</w:t>
            </w:r>
            <w:r>
              <w:rPr>
                <w:rFonts w:hint="eastAsia" w:ascii="Times New Roman" w:hAnsi="Times New Roman" w:eastAsia="宋体" w:cs="Times New Roman"/>
                <w:color w:val="auto"/>
                <w:kern w:val="0"/>
                <w:sz w:val="24"/>
                <w:szCs w:val="24"/>
                <w:lang w:val="en-US" w:eastAsia="zh-CN" w:bidi="ar-SA"/>
              </w:rPr>
              <w:t>11</w:t>
            </w:r>
            <w:r>
              <w:rPr>
                <w:rFonts w:hint="default" w:ascii="Times New Roman" w:hAnsi="Times New Roman" w:eastAsia="宋体" w:cs="Times New Roman"/>
                <w:color w:val="auto"/>
                <w:kern w:val="0"/>
                <w:sz w:val="24"/>
                <w:szCs w:val="24"/>
                <w:lang w:val="en-US" w:eastAsia="zh-CN" w:bidi="ar-SA"/>
              </w:rPr>
              <w:t>月</w:t>
            </w:r>
            <w:r>
              <w:rPr>
                <w:rFonts w:hint="eastAsia" w:cs="Times New Roman"/>
                <w:color w:val="auto"/>
                <w:kern w:val="0"/>
                <w:sz w:val="24"/>
                <w:szCs w:val="24"/>
                <w:lang w:val="en-US" w:eastAsia="zh-CN" w:bidi="ar-SA"/>
              </w:rPr>
              <w:t>19</w:t>
            </w:r>
            <w:r>
              <w:rPr>
                <w:rFonts w:hint="default" w:ascii="Times New Roman" w:hAnsi="Times New Roman" w:eastAsia="宋体" w:cs="Times New Roman"/>
                <w:color w:val="auto"/>
                <w:kern w:val="0"/>
                <w:sz w:val="24"/>
                <w:szCs w:val="24"/>
                <w:lang w:val="en-US" w:eastAsia="zh-CN" w:bidi="ar-SA"/>
              </w:rPr>
              <w:t>日取得了</w:t>
            </w:r>
            <w:r>
              <w:rPr>
                <w:rFonts w:hint="eastAsia" w:ascii="Times New Roman" w:hAnsi="Times New Roman" w:eastAsia="宋体" w:cs="Times New Roman"/>
                <w:color w:val="auto"/>
                <w:kern w:val="0"/>
                <w:sz w:val="24"/>
                <w:szCs w:val="24"/>
                <w:lang w:val="en-US" w:eastAsia="zh-CN" w:bidi="ar-SA"/>
              </w:rPr>
              <w:t>项目</w:t>
            </w:r>
            <w:r>
              <w:rPr>
                <w:rFonts w:hint="default" w:ascii="Times New Roman" w:hAnsi="Times New Roman" w:eastAsia="宋体" w:cs="Times New Roman"/>
                <w:color w:val="auto"/>
                <w:kern w:val="0"/>
                <w:sz w:val="24"/>
                <w:szCs w:val="24"/>
                <w:lang w:val="en-US" w:eastAsia="zh-CN" w:bidi="ar-SA"/>
              </w:rPr>
              <w:t>投资备案证，备案项目编码为：</w:t>
            </w:r>
            <w:r>
              <w:rPr>
                <w:rFonts w:hint="eastAsia" w:ascii="Times New Roman" w:hAnsi="Times New Roman" w:eastAsia="宋体" w:cs="Times New Roman"/>
                <w:color w:val="auto"/>
                <w:kern w:val="0"/>
                <w:sz w:val="24"/>
                <w:szCs w:val="24"/>
                <w:lang w:val="en-US" w:eastAsia="zh-CN" w:bidi="ar-SA"/>
              </w:rPr>
              <w:t>2511-530425-04-02-412061</w:t>
            </w:r>
            <w:r>
              <w:rPr>
                <w:rFonts w:hint="default" w:ascii="Times New Roman" w:hAnsi="Times New Roman" w:eastAsia="宋体" w:cs="Times New Roman"/>
                <w:color w:val="auto"/>
                <w:kern w:val="0"/>
                <w:sz w:val="24"/>
                <w:szCs w:val="24"/>
                <w:lang w:val="en-US" w:eastAsia="zh-CN" w:bidi="ar-SA"/>
              </w:rPr>
              <w:t>。</w:t>
            </w:r>
          </w:p>
          <w:p w14:paraId="1B4A0DEA">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根据《中华人民共和国环境</w:t>
            </w:r>
            <w:r>
              <w:rPr>
                <w:rFonts w:hint="eastAsia" w:cs="Times New Roman"/>
                <w:color w:val="auto"/>
                <w:kern w:val="0"/>
                <w:sz w:val="24"/>
                <w:szCs w:val="24"/>
                <w:lang w:val="en-US" w:eastAsia="zh-CN" w:bidi="ar-SA"/>
              </w:rPr>
              <w:t>保护法》、</w:t>
            </w:r>
            <w:r>
              <w:rPr>
                <w:rFonts w:hint="default" w:ascii="Times New Roman" w:hAnsi="Times New Roman" w:eastAsia="宋体" w:cs="Times New Roman"/>
                <w:color w:val="auto"/>
                <w:kern w:val="0"/>
                <w:sz w:val="24"/>
                <w:szCs w:val="24"/>
                <w:lang w:val="en-US" w:eastAsia="zh-CN" w:bidi="ar-SA"/>
              </w:rPr>
              <w:t>《中华人民共和国环境影响评价</w:t>
            </w:r>
            <w:r>
              <w:rPr>
                <w:rFonts w:hint="default" w:ascii="Times New Roman" w:hAnsi="Times New Roman" w:eastAsia="宋体" w:cs="Times New Roman"/>
                <w:color w:val="auto"/>
                <w:sz w:val="24"/>
                <w:szCs w:val="24"/>
              </w:rPr>
              <w:t>法》</w:t>
            </w:r>
            <w:r>
              <w:rPr>
                <w:rFonts w:hint="eastAsia" w:cs="Times New Roman"/>
                <w:color w:val="auto"/>
                <w:sz w:val="24"/>
                <w:szCs w:val="24"/>
                <w:lang w:val="en-US" w:eastAsia="zh-CN"/>
              </w:rPr>
              <w:t>以及</w:t>
            </w:r>
            <w:r>
              <w:rPr>
                <w:rFonts w:hint="default" w:ascii="Times New Roman" w:hAnsi="Times New Roman" w:eastAsia="宋体" w:cs="Times New Roman"/>
                <w:color w:val="auto"/>
                <w:sz w:val="24"/>
                <w:szCs w:val="24"/>
              </w:rPr>
              <w:t>《建设项目环境保护管理条例》</w:t>
            </w:r>
            <w:r>
              <w:rPr>
                <w:rFonts w:hint="eastAsia" w:cs="Times New Roman"/>
                <w:color w:val="auto"/>
                <w:sz w:val="24"/>
                <w:szCs w:val="24"/>
                <w:lang w:val="en-US" w:eastAsia="zh-CN"/>
              </w:rPr>
              <w:t>的</w:t>
            </w:r>
            <w:r>
              <w:rPr>
                <w:rFonts w:hint="default" w:ascii="Times New Roman" w:hAnsi="Times New Roman" w:eastAsia="宋体" w:cs="Times New Roman"/>
                <w:color w:val="auto"/>
                <w:sz w:val="24"/>
                <w:szCs w:val="24"/>
              </w:rPr>
              <w:t>规定，</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应开展</w:t>
            </w:r>
            <w:r>
              <w:rPr>
                <w:rFonts w:hint="default" w:ascii="Times New Roman" w:hAnsi="Times New Roman" w:eastAsia="宋体" w:cs="Times New Roman"/>
                <w:color w:val="auto"/>
                <w:sz w:val="24"/>
                <w:szCs w:val="24"/>
              </w:rPr>
              <w:t>环境影响评价</w:t>
            </w:r>
            <w:r>
              <w:rPr>
                <w:rFonts w:hint="eastAsia" w:cs="Times New Roman"/>
                <w:color w:val="auto"/>
                <w:sz w:val="24"/>
                <w:szCs w:val="24"/>
                <w:lang w:val="en-US" w:eastAsia="zh-CN"/>
              </w:rPr>
              <w:t>工作</w:t>
            </w:r>
            <w:r>
              <w:rPr>
                <w:rFonts w:hint="default" w:ascii="Times New Roman" w:hAnsi="Times New Roman" w:eastAsia="宋体" w:cs="Times New Roman"/>
                <w:color w:val="auto"/>
                <w:sz w:val="24"/>
                <w:szCs w:val="24"/>
              </w:rPr>
              <w:t>；根据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建设项目环境影响评价分类管理名录</w:t>
            </w:r>
            <w:r>
              <w:rPr>
                <w:rFonts w:hint="eastAsia" w:cs="Times New Roman"/>
                <w:color w:val="auto"/>
                <w:sz w:val="24"/>
                <w:szCs w:val="24"/>
                <w:lang w:eastAsia="zh-CN"/>
              </w:rPr>
              <w:t>》（</w:t>
            </w:r>
            <w:r>
              <w:rPr>
                <w:rFonts w:hint="eastAsia" w:cs="Times New Roman"/>
                <w:color w:val="auto"/>
                <w:sz w:val="24"/>
                <w:szCs w:val="24"/>
                <w:lang w:val="en-US" w:eastAsia="zh-CN"/>
              </w:rPr>
              <w:t>2021年版</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，项目属于</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lang w:val="en-US" w:eastAsia="zh-CN"/>
              </w:rPr>
              <w:t>三十九、废弃资源综合利用业85</w:t>
            </w:r>
            <w:r>
              <w:rPr>
                <w:rFonts w:hint="default" w:ascii="Times New Roman" w:hAnsi="Times New Roman" w:eastAsia="宋体" w:cs="Times New Roman"/>
                <w:color w:val="auto"/>
                <w:sz w:val="24"/>
              </w:rPr>
              <w:t>金属</w:t>
            </w:r>
            <w:r>
              <w:rPr>
                <w:rFonts w:hint="eastAsia" w:ascii="Times New Roman" w:hAnsi="Times New Roman" w:eastAsia="宋体" w:cs="Times New Roman"/>
                <w:color w:val="auto"/>
                <w:sz w:val="24"/>
                <w:lang w:val="en-US" w:eastAsia="zh-CN"/>
              </w:rPr>
              <w:t>废料和碎屑加工处理</w:t>
            </w:r>
            <w:r>
              <w:rPr>
                <w:rFonts w:hint="eastAsia" w:ascii="Times New Roman" w:hAnsi="Times New Roman" w:cs="Times New Roman"/>
                <w:color w:val="auto"/>
                <w:sz w:val="24"/>
                <w:lang w:val="en-US" w:eastAsia="zh-CN"/>
              </w:rPr>
              <w:t>421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应</w:t>
            </w:r>
            <w:r>
              <w:rPr>
                <w:rFonts w:hint="default" w:ascii="Times New Roman" w:hAnsi="Times New Roman" w:eastAsia="宋体" w:cs="Times New Roman"/>
                <w:color w:val="auto"/>
                <w:sz w:val="24"/>
                <w:szCs w:val="24"/>
              </w:rPr>
              <w:t>编制环境影响评价报告表。我单位受</w:t>
            </w:r>
            <w:r>
              <w:rPr>
                <w:rFonts w:hint="eastAsia" w:cs="Times New Roman"/>
                <w:color w:val="auto"/>
                <w:sz w:val="24"/>
                <w:szCs w:val="24"/>
                <w:lang w:val="en-US" w:eastAsia="zh-CN"/>
              </w:rPr>
              <w:t>易门铜业有限公司</w:t>
            </w:r>
            <w:r>
              <w:rPr>
                <w:rFonts w:hint="default" w:ascii="Times New Roman" w:hAnsi="Times New Roman" w:eastAsia="宋体" w:cs="Times New Roman"/>
                <w:color w:val="auto"/>
                <w:sz w:val="24"/>
                <w:szCs w:val="24"/>
              </w:rPr>
              <w:t>委托（</w:t>
            </w:r>
            <w:r>
              <w:rPr>
                <w:rFonts w:hint="eastAsia" w:cs="Times New Roman"/>
                <w:color w:val="auto"/>
                <w:sz w:val="24"/>
                <w:szCs w:val="24"/>
                <w:lang w:val="en-US" w:eastAsia="zh-CN"/>
              </w:rPr>
              <w:t>详</w:t>
            </w:r>
            <w:r>
              <w:rPr>
                <w:rFonts w:hint="default" w:ascii="Times New Roman" w:hAnsi="Times New Roman" w:eastAsia="宋体" w:cs="Times New Roman"/>
                <w:color w:val="auto"/>
                <w:sz w:val="24"/>
                <w:szCs w:val="24"/>
              </w:rPr>
              <w:t>见附件</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承担</w:t>
            </w:r>
            <w:r>
              <w:rPr>
                <w:rFonts w:hint="default" w:ascii="Times New Roman" w:hAnsi="Times New Roman" w:eastAsia="宋体" w:cs="Times New Roman"/>
                <w:color w:val="auto"/>
                <w:sz w:val="24"/>
                <w:szCs w:val="24"/>
              </w:rPr>
              <w:t>本项目的环境影响评价工作。我单位接受委托后，经过现场踏勘，收集相关资料后，编制了《</w:t>
            </w:r>
            <w:r>
              <w:rPr>
                <w:rFonts w:hint="eastAsia" w:cs="Times New Roman"/>
                <w:color w:val="auto"/>
                <w:sz w:val="24"/>
                <w:szCs w:val="24"/>
                <w:lang w:val="en-US" w:eastAsia="zh-CN"/>
              </w:rPr>
              <w:t>渣选工艺流程提效升级改造项目</w:t>
            </w:r>
            <w:r>
              <w:rPr>
                <w:rFonts w:hint="default" w:ascii="Times New Roman" w:hAnsi="Times New Roman" w:eastAsia="宋体" w:cs="Times New Roman"/>
                <w:color w:val="auto"/>
                <w:sz w:val="24"/>
                <w:szCs w:val="24"/>
              </w:rPr>
              <w:t>环境影响报告表》供建设单位上报审批。</w:t>
            </w:r>
          </w:p>
          <w:p w14:paraId="4EFEC81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b/>
                <w:bCs/>
                <w:color w:val="auto"/>
                <w:sz w:val="24"/>
                <w:lang w:val="en-US" w:eastAsia="zh-CN"/>
              </w:rPr>
            </w:pPr>
            <w:r>
              <w:rPr>
                <w:rFonts w:hint="eastAsia" w:ascii="Times New Roman" w:hAnsi="Times New Roman"/>
                <w:b/>
                <w:bCs/>
                <w:color w:val="auto"/>
                <w:sz w:val="24"/>
                <w:lang w:val="en-US" w:eastAsia="zh-CN"/>
              </w:rPr>
              <w:t>2、</w:t>
            </w:r>
            <w:r>
              <w:rPr>
                <w:rFonts w:hint="default" w:ascii="Times New Roman" w:hAnsi="Times New Roman"/>
                <w:b/>
                <w:bCs/>
                <w:color w:val="auto"/>
                <w:sz w:val="24"/>
                <w:lang w:val="en-US" w:eastAsia="zh-CN"/>
              </w:rPr>
              <w:t>工程内容</w:t>
            </w:r>
          </w:p>
          <w:p w14:paraId="6667EF1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b/>
                <w:bCs/>
                <w:color w:val="auto"/>
                <w:sz w:val="24"/>
                <w:lang w:val="en-US" w:eastAsia="zh-CN"/>
              </w:rPr>
            </w:pPr>
            <w:r>
              <w:rPr>
                <w:rFonts w:hint="eastAsia"/>
                <w:b/>
                <w:bCs/>
                <w:color w:val="auto"/>
                <w:sz w:val="24"/>
                <w:lang w:val="en-US" w:eastAsia="zh-CN"/>
              </w:rPr>
              <w:t>2.1本项目工程内容</w:t>
            </w:r>
          </w:p>
          <w:p w14:paraId="58BBA853">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本项目采用浮选和磁选工艺，获得铜精矿、铁精矿以及尾矿，利用现有缓冷场、翻渣场地、</w:t>
            </w:r>
            <w:r>
              <w:rPr>
                <w:rFonts w:hint="eastAsia" w:cs="Times New Roman"/>
                <w:color w:val="auto"/>
                <w:sz w:val="24"/>
                <w:lang w:val="en-US" w:eastAsia="zh-CN"/>
              </w:rPr>
              <w:t>铜冶炼渣堆场</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铜冶炼渣矿仓</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破碎车间</w:t>
            </w:r>
            <w:r>
              <w:rPr>
                <w:rFonts w:hint="eastAsia" w:ascii="Times New Roman" w:hAnsi="Times New Roman" w:eastAsia="宋体" w:cs="Times New Roman"/>
                <w:color w:val="auto"/>
                <w:sz w:val="24"/>
                <w:lang w:val="en-US" w:eastAsia="zh-CN"/>
              </w:rPr>
              <w:t>、筛分车间</w:t>
            </w:r>
            <w:r>
              <w:rPr>
                <w:rFonts w:hint="eastAsia" w:cs="Times New Roman"/>
                <w:color w:val="auto"/>
                <w:sz w:val="24"/>
                <w:lang w:val="en-US" w:eastAsia="zh-CN"/>
              </w:rPr>
              <w:t>及粉矿仓</w:t>
            </w:r>
            <w:r>
              <w:rPr>
                <w:rFonts w:hint="eastAsia" w:ascii="Times New Roman" w:hAnsi="Times New Roman" w:eastAsia="宋体" w:cs="Times New Roman"/>
                <w:color w:val="auto"/>
                <w:sz w:val="24"/>
                <w:lang w:val="en-US" w:eastAsia="zh-CN"/>
              </w:rPr>
              <w:t>、中间转运站及胶带通廊、磨浮车间、</w:t>
            </w:r>
            <w:r>
              <w:rPr>
                <w:rFonts w:hint="default" w:ascii="Times New Roman" w:hAnsi="Times New Roman" w:eastAsia="宋体" w:cs="Times New Roman"/>
                <w:color w:val="auto"/>
                <w:sz w:val="24"/>
                <w:lang w:val="en-US" w:eastAsia="zh-CN"/>
              </w:rPr>
              <w:t>⌀30m浓缩机</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lang w:val="en-US" w:eastAsia="zh-CN"/>
              </w:rPr>
              <w:t>m浓缩机</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lang w:val="en-US" w:eastAsia="zh-CN"/>
              </w:rPr>
              <w:t>m浓缩机</w:t>
            </w:r>
            <w:r>
              <w:rPr>
                <w:rFonts w:hint="eastAsia" w:ascii="Times New Roman" w:hAnsi="Times New Roman" w:eastAsia="宋体" w:cs="Times New Roman"/>
                <w:color w:val="auto"/>
                <w:sz w:val="24"/>
                <w:lang w:val="en-US" w:eastAsia="zh-CN"/>
              </w:rPr>
              <w:t>、铜精矿</w:t>
            </w:r>
            <w:r>
              <w:rPr>
                <w:rFonts w:hint="eastAsia" w:cs="Times New Roman"/>
                <w:color w:val="auto"/>
                <w:sz w:val="24"/>
                <w:lang w:val="en-US" w:eastAsia="zh-CN"/>
              </w:rPr>
              <w:t>过滤车间及矿仓</w:t>
            </w:r>
            <w:r>
              <w:rPr>
                <w:rFonts w:hint="eastAsia" w:ascii="Times New Roman" w:hAnsi="Times New Roman" w:eastAsia="宋体" w:cs="Times New Roman"/>
                <w:color w:val="auto"/>
                <w:sz w:val="24"/>
                <w:lang w:val="en-US" w:eastAsia="zh-CN"/>
              </w:rPr>
              <w:t>、尾矿过滤车间及矿仓，铁精矿过滤车间及矿仓</w:t>
            </w:r>
            <w:r>
              <w:rPr>
                <w:rFonts w:hint="eastAsia" w:cs="Times New Roman"/>
                <w:color w:val="auto"/>
                <w:sz w:val="24"/>
                <w:lang w:val="en-US" w:eastAsia="zh-CN"/>
              </w:rPr>
              <w:t>以及</w:t>
            </w:r>
            <w:r>
              <w:rPr>
                <w:rFonts w:hint="eastAsia" w:ascii="Times New Roman" w:hAnsi="Times New Roman" w:eastAsia="宋体" w:cs="Times New Roman"/>
                <w:color w:val="auto"/>
                <w:sz w:val="24"/>
                <w:lang w:val="en-US" w:eastAsia="zh-CN"/>
              </w:rPr>
              <w:t>其他公辅</w:t>
            </w:r>
            <w:r>
              <w:rPr>
                <w:rFonts w:hint="eastAsia" w:cs="Times New Roman"/>
                <w:color w:val="auto"/>
                <w:sz w:val="24"/>
                <w:lang w:val="en-US" w:eastAsia="zh-CN"/>
              </w:rPr>
              <w:t>。</w:t>
            </w:r>
          </w:p>
          <w:p w14:paraId="674736CE">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本次改建内容为：</w:t>
            </w:r>
            <w:r>
              <w:rPr>
                <w:rFonts w:hint="eastAsia" w:cs="Times New Roman"/>
                <w:color w:val="auto"/>
                <w:sz w:val="24"/>
                <w:lang w:val="en-US" w:eastAsia="zh-CN"/>
              </w:rPr>
              <w:t>依托现有磨浮厂房</w:t>
            </w:r>
            <w:r>
              <w:rPr>
                <w:rFonts w:hint="eastAsia" w:ascii="Times New Roman" w:hAnsi="Times New Roman" w:eastAsia="宋体" w:cs="Times New Roman"/>
                <w:color w:val="auto"/>
                <w:sz w:val="24"/>
                <w:lang w:val="en-US" w:eastAsia="zh-CN"/>
              </w:rPr>
              <w:t>新增2#磨机进料胶带，新增再浮选作业浮选机</w:t>
            </w:r>
            <w:r>
              <w:rPr>
                <w:rFonts w:hint="eastAsia" w:cs="Times New Roman"/>
                <w:color w:val="auto"/>
                <w:sz w:val="24"/>
                <w:lang w:val="en-US" w:eastAsia="zh-CN"/>
              </w:rPr>
              <w:t>和搅拌桶</w:t>
            </w:r>
            <w:r>
              <w:rPr>
                <w:rFonts w:hint="eastAsia" w:ascii="Times New Roman" w:hAnsi="Times New Roman" w:eastAsia="宋体" w:cs="Times New Roman"/>
                <w:color w:val="auto"/>
                <w:sz w:val="24"/>
                <w:lang w:val="en-US" w:eastAsia="zh-CN"/>
              </w:rPr>
              <w:t>，改造浮选机平台及基础</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新建塔磨机车间</w:t>
            </w:r>
            <w:r>
              <w:rPr>
                <w:rFonts w:hint="eastAsia" w:cs="Times New Roman"/>
                <w:color w:val="auto"/>
                <w:sz w:val="24"/>
                <w:lang w:val="en-US" w:eastAsia="zh-CN"/>
              </w:rPr>
              <w:t>，在车间新增1台塔磨机</w:t>
            </w:r>
            <w:r>
              <w:rPr>
                <w:rFonts w:hint="eastAsia" w:ascii="Times New Roman" w:hAnsi="Times New Roman" w:eastAsia="宋体" w:cs="Times New Roman"/>
                <w:color w:val="auto"/>
                <w:sz w:val="24"/>
                <w:lang w:val="en-US" w:eastAsia="zh-CN"/>
              </w:rPr>
              <w:t>（三段磨）和三段分级旋流器</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依托现有磁选机厂房，新增磁选机</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依托现有尾矿过滤厂房，新增陶瓷过滤机及操作平台，最终</w:t>
            </w:r>
            <w:r>
              <w:rPr>
                <w:rFonts w:hint="eastAsia" w:cs="Times New Roman"/>
                <w:color w:val="auto"/>
                <w:sz w:val="24"/>
                <w:lang w:val="en-US" w:eastAsia="zh-CN"/>
              </w:rPr>
              <w:t>处理能力可</w:t>
            </w:r>
            <w:r>
              <w:rPr>
                <w:rFonts w:hint="eastAsia" w:ascii="Times New Roman" w:hAnsi="Times New Roman" w:eastAsia="宋体" w:cs="Times New Roman"/>
                <w:color w:val="auto"/>
                <w:sz w:val="24"/>
                <w:lang w:val="en-US" w:eastAsia="zh-CN"/>
              </w:rPr>
              <w:t>达1700t/d。</w:t>
            </w:r>
          </w:p>
          <w:p w14:paraId="415B6A12">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firstLine="0" w:firstLineChars="0"/>
              <w:jc w:val="center"/>
              <w:textAlignment w:val="auto"/>
              <w:rPr>
                <w:rFonts w:hint="eastAsia" w:ascii="黑体" w:hAnsi="黑体" w:eastAsia="黑体" w:cs="黑体"/>
                <w:b w:val="0"/>
                <w:bCs/>
                <w:color w:val="auto"/>
                <w:spacing w:val="8"/>
                <w:sz w:val="21"/>
                <w:szCs w:val="21"/>
                <w:highlight w:val="none"/>
              </w:rPr>
            </w:pPr>
            <w:r>
              <w:rPr>
                <w:rFonts w:hint="eastAsia" w:ascii="黑体" w:hAnsi="黑体" w:eastAsia="黑体" w:cs="黑体"/>
                <w:b w:val="0"/>
                <w:bCs/>
                <w:color w:val="auto"/>
                <w:spacing w:val="8"/>
                <w:sz w:val="21"/>
                <w:szCs w:val="21"/>
                <w:highlight w:val="none"/>
              </w:rPr>
              <w:t>表2-1  工程内容组成一览表</w:t>
            </w:r>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041"/>
              <w:gridCol w:w="5286"/>
              <w:gridCol w:w="813"/>
            </w:tblGrid>
            <w:tr w14:paraId="670F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left w:val="nil"/>
                  </w:tcBorders>
                  <w:vAlign w:val="center"/>
                </w:tcPr>
                <w:p w14:paraId="064D617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工程名称</w:t>
                  </w:r>
                </w:p>
              </w:tc>
              <w:tc>
                <w:tcPr>
                  <w:tcW w:w="6327" w:type="dxa"/>
                  <w:gridSpan w:val="2"/>
                  <w:tcBorders>
                    <w:left w:val="nil"/>
                  </w:tcBorders>
                  <w:vAlign w:val="center"/>
                </w:tcPr>
                <w:p w14:paraId="79082EF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工程内容及规模</w:t>
                  </w:r>
                </w:p>
              </w:tc>
              <w:tc>
                <w:tcPr>
                  <w:tcW w:w="813" w:type="dxa"/>
                  <w:tcBorders>
                    <w:right w:val="nil"/>
                  </w:tcBorders>
                  <w:vAlign w:val="center"/>
                </w:tcPr>
                <w:p w14:paraId="4D8EE154">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备注</w:t>
                  </w:r>
                </w:p>
              </w:tc>
            </w:tr>
            <w:tr w14:paraId="3DFA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699" w:type="dxa"/>
                  <w:vMerge w:val="restart"/>
                  <w:tcBorders>
                    <w:left w:val="nil"/>
                  </w:tcBorders>
                  <w:vAlign w:val="center"/>
                </w:tcPr>
                <w:p w14:paraId="63A00F6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主体工程</w:t>
                  </w:r>
                </w:p>
              </w:tc>
              <w:tc>
                <w:tcPr>
                  <w:tcW w:w="1041" w:type="dxa"/>
                  <w:vAlign w:val="center"/>
                </w:tcPr>
                <w:p w14:paraId="5AE8FFF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磨浮车间</w:t>
                  </w:r>
                </w:p>
              </w:tc>
              <w:tc>
                <w:tcPr>
                  <w:tcW w:w="5286" w:type="dxa"/>
                  <w:vAlign w:val="center"/>
                </w:tcPr>
                <w:p w14:paraId="141F9CE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依托现有1座磨浮车间，钢结构车间一层，位于选厂中部偏东，为单层封闭式钢筋砼框架结构建筑，面积为2294.02m</w:t>
                  </w:r>
                  <w:r>
                    <w:rPr>
                      <w:rFonts w:hint="default" w:ascii="Times New Roman" w:hAnsi="Times New Roman" w:eastAsia="宋体" w:cs="Times New Roman"/>
                      <w:color w:val="auto"/>
                      <w:sz w:val="18"/>
                      <w:szCs w:val="18"/>
                      <w:highlight w:val="none"/>
                      <w:vertAlign w:val="superscript"/>
                      <w:lang w:val="en-US" w:eastAsia="zh-CN"/>
                    </w:rPr>
                    <w:t>2</w:t>
                  </w:r>
                  <w:r>
                    <w:rPr>
                      <w:rFonts w:hint="default" w:ascii="Times New Roman" w:hAnsi="Times New Roman" w:eastAsia="宋体" w:cs="Times New Roman"/>
                      <w:color w:val="auto"/>
                      <w:sz w:val="18"/>
                      <w:szCs w:val="18"/>
                      <w:highlight w:val="none"/>
                      <w:vertAlign w:val="baseline"/>
                      <w:lang w:val="en-US" w:eastAsia="zh-CN"/>
                    </w:rPr>
                    <w:t>；车间内置4台球磨机、18台浮选机、1台CTB-1018磁选机、1台CTB-1024磁选机、2台CTB-1018磁选机，本次改建新增2#磨机进料胶带，新增15台浮选机，改造浮选机平台及基础；磁选工段新增1台CTB-1024双滚筒磁选机。</w:t>
                  </w:r>
                </w:p>
              </w:tc>
              <w:tc>
                <w:tcPr>
                  <w:tcW w:w="813" w:type="dxa"/>
                  <w:tcBorders>
                    <w:right w:val="nil"/>
                  </w:tcBorders>
                  <w:vAlign w:val="center"/>
                </w:tcPr>
                <w:p w14:paraId="7569C66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依托+新建</w:t>
                  </w:r>
                </w:p>
              </w:tc>
            </w:tr>
            <w:tr w14:paraId="21CB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nil"/>
                  </w:tcBorders>
                  <w:vAlign w:val="center"/>
                </w:tcPr>
                <w:p w14:paraId="7A48ECFB">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1041" w:type="dxa"/>
                  <w:vAlign w:val="center"/>
                </w:tcPr>
                <w:p w14:paraId="1164C8D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塔磨机车间</w:t>
                  </w:r>
                </w:p>
              </w:tc>
              <w:tc>
                <w:tcPr>
                  <w:tcW w:w="5286" w:type="dxa"/>
                  <w:vAlign w:val="center"/>
                </w:tcPr>
                <w:p w14:paraId="03F6759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布置在一期磨浮车间北侧，设置1台塔磨机和</w:t>
                  </w:r>
                  <w:r>
                    <w:rPr>
                      <w:rFonts w:hint="default" w:ascii="Times New Roman" w:hAnsi="Times New Roman" w:eastAsia="宋体" w:cs="Times New Roman"/>
                      <w:sz w:val="18"/>
                      <w:szCs w:val="18"/>
                    </w:rPr>
                    <w:t>三段分级旋流器</w:t>
                  </w:r>
                  <w:r>
                    <w:rPr>
                      <w:rFonts w:hint="default" w:ascii="Times New Roman" w:hAnsi="Times New Roman" w:eastAsia="宋体" w:cs="Times New Roman"/>
                      <w:color w:val="auto"/>
                      <w:sz w:val="18"/>
                      <w:szCs w:val="18"/>
                      <w:highlight w:val="none"/>
                      <w:vertAlign w:val="baseline"/>
                      <w:lang w:val="en-US" w:eastAsia="zh-CN"/>
                    </w:rPr>
                    <w:t>。</w:t>
                  </w:r>
                </w:p>
              </w:tc>
              <w:tc>
                <w:tcPr>
                  <w:tcW w:w="813" w:type="dxa"/>
                  <w:tcBorders>
                    <w:right w:val="nil"/>
                  </w:tcBorders>
                  <w:vAlign w:val="center"/>
                </w:tcPr>
                <w:p w14:paraId="653BC47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新建</w:t>
                  </w:r>
                </w:p>
              </w:tc>
            </w:tr>
            <w:tr w14:paraId="48F8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99" w:type="dxa"/>
                  <w:vMerge w:val="continue"/>
                  <w:tcBorders>
                    <w:left w:val="nil"/>
                  </w:tcBorders>
                  <w:vAlign w:val="center"/>
                </w:tcPr>
                <w:p w14:paraId="6986996B">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1041" w:type="dxa"/>
                  <w:vAlign w:val="center"/>
                </w:tcPr>
                <w:p w14:paraId="4EF9FB3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浓密、脱水工段</w:t>
                  </w:r>
                </w:p>
              </w:tc>
              <w:tc>
                <w:tcPr>
                  <w:tcW w:w="5286" w:type="dxa"/>
                  <w:vAlign w:val="center"/>
                </w:tcPr>
                <w:p w14:paraId="67A6802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依托现有3座浓密池、1台Φ30m浓缩机、1台Φ24m尾矿浓缩机、1台Φ18m浓缩机、2台90m</w:t>
                  </w:r>
                  <w:r>
                    <w:rPr>
                      <w:rFonts w:hint="default" w:ascii="Times New Roman" w:hAnsi="Times New Roman" w:eastAsia="宋体" w:cs="Times New Roman"/>
                      <w:color w:val="auto"/>
                      <w:sz w:val="18"/>
                      <w:szCs w:val="18"/>
                      <w:highlight w:val="none"/>
                      <w:vertAlign w:val="superscript"/>
                      <w:lang w:val="en-US" w:eastAsia="zh-CN"/>
                    </w:rPr>
                    <w:t>2</w:t>
                  </w:r>
                  <w:r>
                    <w:rPr>
                      <w:rFonts w:hint="default" w:ascii="Times New Roman" w:hAnsi="Times New Roman" w:eastAsia="宋体" w:cs="Times New Roman"/>
                      <w:color w:val="auto"/>
                      <w:sz w:val="18"/>
                      <w:szCs w:val="18"/>
                      <w:highlight w:val="none"/>
                      <w:vertAlign w:val="baseline"/>
                      <w:lang w:val="en-US" w:eastAsia="zh-CN"/>
                    </w:rPr>
                    <w:t>陶瓷过滤机、3台135m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vertAlign w:val="baseline"/>
                      <w:lang w:val="en-US" w:eastAsia="zh-CN"/>
                    </w:rPr>
                    <w:t>陶瓷过滤机、2台P45/15-C陶瓷过滤机，其中Φ18m浓缩机对磁选后的铜精矿进行浓缩，Φ30m浓缩机对尾渣进行浓缩，Φ24m尾矿浓缩机对铁精矿进行浓缩。本次改建在脱水工段新增1台尾矿陶瓷过滤机。</w:t>
                  </w:r>
                </w:p>
              </w:tc>
              <w:tc>
                <w:tcPr>
                  <w:tcW w:w="813" w:type="dxa"/>
                  <w:tcBorders>
                    <w:right w:val="nil"/>
                  </w:tcBorders>
                  <w:vAlign w:val="center"/>
                </w:tcPr>
                <w:p w14:paraId="757650A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依托+新建</w:t>
                  </w:r>
                </w:p>
              </w:tc>
            </w:tr>
            <w:tr w14:paraId="15C6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vMerge w:val="restart"/>
                  <w:tcBorders>
                    <w:left w:val="nil"/>
                  </w:tcBorders>
                  <w:vAlign w:val="center"/>
                </w:tcPr>
                <w:p w14:paraId="7375674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环保工程</w:t>
                  </w:r>
                </w:p>
              </w:tc>
              <w:tc>
                <w:tcPr>
                  <w:tcW w:w="1041" w:type="dxa"/>
                  <w:vAlign w:val="center"/>
                </w:tcPr>
                <w:p w14:paraId="22F078C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噪声</w:t>
                  </w:r>
                </w:p>
              </w:tc>
              <w:tc>
                <w:tcPr>
                  <w:tcW w:w="5286" w:type="dxa"/>
                  <w:vAlign w:val="center"/>
                </w:tcPr>
                <w:p w14:paraId="361386B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lang w:val="en-US" w:eastAsia="zh-CN"/>
                    </w:rPr>
                    <w:t>破碎筛分车间风机已做了消声处理，在风机底部、破碎机、筛分机、泵、磨浮车间设备设置了减震垫；本次新建车间，新增设备</w:t>
                  </w:r>
                  <w:r>
                    <w:rPr>
                      <w:rFonts w:hint="default" w:ascii="Times New Roman" w:hAnsi="Times New Roman" w:eastAsia="宋体" w:cs="Times New Roman"/>
                      <w:b w:val="0"/>
                      <w:bCs w:val="0"/>
                      <w:color w:val="auto"/>
                      <w:kern w:val="2"/>
                      <w:sz w:val="18"/>
                      <w:szCs w:val="18"/>
                      <w:highlight w:val="none"/>
                      <w:lang w:val="en-US" w:eastAsia="zh-CN" w:bidi="ar-SA"/>
                    </w:rPr>
                    <w:t>采用低噪声设备，对产噪设备进行减震、隔声等措施，风机加装消声器。</w:t>
                  </w:r>
                </w:p>
              </w:tc>
              <w:tc>
                <w:tcPr>
                  <w:tcW w:w="813" w:type="dxa"/>
                  <w:tcBorders>
                    <w:right w:val="nil"/>
                  </w:tcBorders>
                  <w:vAlign w:val="center"/>
                </w:tcPr>
                <w:p w14:paraId="09D893F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lang w:val="en-US" w:eastAsia="zh-CN"/>
                    </w:rPr>
                    <w:t>依托+新建</w:t>
                  </w:r>
                </w:p>
              </w:tc>
            </w:tr>
            <w:tr w14:paraId="6ACE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699" w:type="dxa"/>
                  <w:vMerge w:val="continue"/>
                  <w:tcBorders>
                    <w:left w:val="nil"/>
                  </w:tcBorders>
                  <w:vAlign w:val="center"/>
                </w:tcPr>
                <w:p w14:paraId="53E0164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1041" w:type="dxa"/>
                  <w:vAlign w:val="center"/>
                </w:tcPr>
                <w:p w14:paraId="68522A0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lang w:val="en-US" w:eastAsia="zh-CN"/>
                    </w:rPr>
                    <w:t>地下水污染防治措施</w:t>
                  </w:r>
                </w:p>
              </w:tc>
              <w:tc>
                <w:tcPr>
                  <w:tcW w:w="5286" w:type="dxa"/>
                  <w:vAlign w:val="center"/>
                </w:tcPr>
                <w:p w14:paraId="2ECF2852">
                  <w:pPr>
                    <w:keepNext w:val="0"/>
                    <w:keepLines w:val="0"/>
                    <w:pageBreakBefore w:val="0"/>
                    <w:widowControl w:val="0"/>
                    <w:kinsoku/>
                    <w:wordWrap/>
                    <w:overflowPunct/>
                    <w:topLinePunct w:val="0"/>
                    <w:bidi w:val="0"/>
                    <w:adjustRightInd/>
                    <w:snapToGrid/>
                    <w:spacing w:line="300" w:lineRule="exact"/>
                    <w:ind w:left="0" w:leftChars="0" w:right="0" w:rightChars="0" w:firstLine="0" w:firstLineChars="0"/>
                    <w:jc w:val="both"/>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渣选区域已进行了分区防渗，本项目在车间内增加设备，不会破坏已有的防渗结构，磨浮车间、浓密池、回水池、事故水池、尾渣仓、污水收集系统</w:t>
                  </w:r>
                  <w:r>
                    <w:rPr>
                      <w:rFonts w:hint="eastAsia" w:ascii="Times New Roman" w:hAnsi="Times New Roman" w:eastAsia="宋体" w:cs="Times New Roman"/>
                      <w:b w:val="0"/>
                      <w:bCs w:val="0"/>
                      <w:color w:val="auto"/>
                      <w:sz w:val="18"/>
                      <w:szCs w:val="18"/>
                      <w:lang w:val="en-US" w:eastAsia="zh-CN"/>
                    </w:rPr>
                    <w:t>以及依托的</w:t>
                  </w:r>
                  <w:r>
                    <w:rPr>
                      <w:rFonts w:hint="default" w:ascii="Times New Roman" w:hAnsi="Times New Roman" w:eastAsia="宋体" w:cs="Times New Roman"/>
                      <w:b w:val="0"/>
                      <w:bCs w:val="0"/>
                      <w:color w:val="auto"/>
                      <w:sz w:val="18"/>
                      <w:szCs w:val="18"/>
                      <w:lang w:val="en-US" w:eastAsia="zh-CN"/>
                    </w:rPr>
                    <w:t>5＃危险废物贮存库等工段进行重点防渗。</w:t>
                  </w:r>
                </w:p>
                <w:p w14:paraId="343AA57F">
                  <w:pPr>
                    <w:keepNext w:val="0"/>
                    <w:keepLines w:val="0"/>
                    <w:pageBreakBefore w:val="0"/>
                    <w:widowControl w:val="0"/>
                    <w:kinsoku/>
                    <w:wordWrap/>
                    <w:overflowPunct/>
                    <w:topLinePunct w:val="0"/>
                    <w:bidi w:val="0"/>
                    <w:adjustRightInd/>
                    <w:snapToGrid/>
                    <w:spacing w:line="300" w:lineRule="exact"/>
                    <w:ind w:left="0" w:leftChars="0" w:right="0" w:rightChars="0" w:firstLine="0" w:firstLineChars="0"/>
                    <w:jc w:val="both"/>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本次新建塔磨机车间，应该采取重点防渗，其防渗能力等效于黏土层Mb≥6.0m、K≤1×10</w:t>
                  </w:r>
                  <w:r>
                    <w:rPr>
                      <w:rFonts w:hint="default" w:ascii="Times New Roman" w:hAnsi="Times New Roman" w:eastAsia="宋体" w:cs="Times New Roman"/>
                      <w:b w:val="0"/>
                      <w:bCs w:val="0"/>
                      <w:color w:val="auto"/>
                      <w:sz w:val="18"/>
                      <w:szCs w:val="18"/>
                      <w:vertAlign w:val="superscript"/>
                      <w:lang w:val="en-US" w:eastAsia="zh-CN"/>
                    </w:rPr>
                    <w:t>-7</w:t>
                  </w:r>
                  <w:r>
                    <w:rPr>
                      <w:rFonts w:hint="default" w:ascii="Times New Roman" w:hAnsi="Times New Roman" w:eastAsia="宋体" w:cs="Times New Roman"/>
                      <w:b w:val="0"/>
                      <w:bCs w:val="0"/>
                      <w:color w:val="auto"/>
                      <w:sz w:val="18"/>
                      <w:szCs w:val="18"/>
                      <w:lang w:val="en-US" w:eastAsia="zh-CN"/>
                    </w:rPr>
                    <w:t>cm/s的防渗能力</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；或参照GB16889执行。</w:t>
                  </w:r>
                  <w:r>
                    <w:rPr>
                      <w:rFonts w:hint="default" w:ascii="Times New Roman" w:hAnsi="Times New Roman" w:eastAsia="宋体" w:cs="Times New Roman"/>
                      <w:b w:val="0"/>
                      <w:bCs w:val="0"/>
                      <w:color w:val="auto"/>
                      <w:sz w:val="18"/>
                      <w:szCs w:val="18"/>
                      <w:lang w:val="en-US" w:eastAsia="zh-CN"/>
                    </w:rPr>
                    <w:t>选厂其余区域均已实施分区防渗，防渗工程均已完成了竣工环保验收。</w:t>
                  </w:r>
                </w:p>
              </w:tc>
              <w:tc>
                <w:tcPr>
                  <w:tcW w:w="813" w:type="dxa"/>
                  <w:tcBorders>
                    <w:right w:val="nil"/>
                  </w:tcBorders>
                  <w:vAlign w:val="center"/>
                </w:tcPr>
                <w:p w14:paraId="7DB2061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依托+新建</w:t>
                  </w:r>
                </w:p>
              </w:tc>
            </w:tr>
          </w:tbl>
          <w:p w14:paraId="70068049">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b/>
                <w:bCs/>
                <w:color w:val="auto"/>
                <w:sz w:val="24"/>
                <w:lang w:val="en-US" w:eastAsia="zh-CN"/>
              </w:rPr>
            </w:pPr>
            <w:r>
              <w:rPr>
                <w:rFonts w:hint="eastAsia"/>
                <w:b/>
                <w:bCs/>
                <w:color w:val="auto"/>
                <w:sz w:val="24"/>
                <w:lang w:val="en-US" w:eastAsia="zh-CN"/>
              </w:rPr>
              <w:t>2.2依托工程</w:t>
            </w:r>
          </w:p>
          <w:p w14:paraId="49490C1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hint="default"/>
                <w:b/>
                <w:bCs/>
                <w:color w:val="auto"/>
                <w:sz w:val="24"/>
                <w:lang w:val="en-US" w:eastAsia="zh-CN"/>
              </w:rPr>
            </w:pPr>
            <w:r>
              <w:rPr>
                <w:rFonts w:hint="eastAsia" w:ascii="黑体" w:hAnsi="黑体" w:eastAsia="黑体" w:cs="黑体"/>
                <w:b w:val="0"/>
                <w:bCs/>
                <w:color w:val="auto"/>
                <w:spacing w:val="8"/>
                <w:sz w:val="21"/>
                <w:szCs w:val="21"/>
                <w:highlight w:val="none"/>
              </w:rPr>
              <w:t>表2-</w:t>
            </w:r>
            <w:r>
              <w:rPr>
                <w:rFonts w:hint="eastAsia" w:ascii="黑体" w:hAnsi="黑体" w:eastAsia="黑体" w:cs="黑体"/>
                <w:b w:val="0"/>
                <w:bCs/>
                <w:color w:val="auto"/>
                <w:spacing w:val="8"/>
                <w:sz w:val="21"/>
                <w:szCs w:val="21"/>
                <w:highlight w:val="none"/>
                <w:lang w:val="en-US" w:eastAsia="zh-CN"/>
              </w:rPr>
              <w:t>2</w:t>
            </w:r>
            <w:r>
              <w:rPr>
                <w:rFonts w:hint="eastAsia" w:ascii="黑体" w:hAnsi="黑体" w:eastAsia="黑体" w:cs="黑体"/>
                <w:b w:val="0"/>
                <w:bCs/>
                <w:color w:val="auto"/>
                <w:spacing w:val="8"/>
                <w:sz w:val="21"/>
                <w:szCs w:val="21"/>
                <w:highlight w:val="none"/>
              </w:rPr>
              <w:t xml:space="preserve">  </w:t>
            </w:r>
            <w:r>
              <w:rPr>
                <w:rFonts w:hint="eastAsia" w:ascii="黑体" w:hAnsi="黑体" w:eastAsia="黑体" w:cs="黑体"/>
                <w:b w:val="0"/>
                <w:bCs/>
                <w:color w:val="auto"/>
                <w:spacing w:val="8"/>
                <w:sz w:val="21"/>
                <w:szCs w:val="21"/>
                <w:highlight w:val="none"/>
                <w:lang w:val="en-US" w:eastAsia="zh-CN"/>
              </w:rPr>
              <w:t>依托</w:t>
            </w:r>
            <w:r>
              <w:rPr>
                <w:rFonts w:hint="eastAsia" w:ascii="黑体" w:hAnsi="黑体" w:eastAsia="黑体" w:cs="黑体"/>
                <w:b w:val="0"/>
                <w:bCs/>
                <w:color w:val="auto"/>
                <w:spacing w:val="8"/>
                <w:sz w:val="21"/>
                <w:szCs w:val="21"/>
                <w:highlight w:val="none"/>
              </w:rPr>
              <w:t>工程内容组成一览表</w:t>
            </w:r>
          </w:p>
          <w:tbl>
            <w:tblPr>
              <w:tblStyle w:val="21"/>
              <w:tblW w:w="499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479"/>
              <w:gridCol w:w="9"/>
              <w:gridCol w:w="133"/>
              <w:gridCol w:w="669"/>
              <w:gridCol w:w="5829"/>
            </w:tblGrid>
            <w:tr w14:paraId="6F31745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465" w:type="pct"/>
                  <w:tcBorders>
                    <w:tl2br w:val="nil"/>
                    <w:tr2bl w:val="nil"/>
                  </w:tcBorders>
                  <w:noWrap w:val="0"/>
                  <w:vAlign w:val="center"/>
                </w:tcPr>
                <w:p w14:paraId="12D7782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工程名称</w:t>
                  </w:r>
                </w:p>
              </w:tc>
              <w:tc>
                <w:tcPr>
                  <w:tcW w:w="4534" w:type="pct"/>
                  <w:gridSpan w:val="5"/>
                  <w:tcBorders>
                    <w:tl2br w:val="nil"/>
                    <w:tr2bl w:val="nil"/>
                  </w:tcBorders>
                  <w:noWrap w:val="0"/>
                  <w:vAlign w:val="center"/>
                </w:tcPr>
                <w:p w14:paraId="444374E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工程内容及规模</w:t>
                  </w:r>
                </w:p>
              </w:tc>
            </w:tr>
            <w:tr w14:paraId="7A699B1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restart"/>
                  <w:tcBorders>
                    <w:tl2br w:val="nil"/>
                    <w:tr2bl w:val="nil"/>
                  </w:tcBorders>
                  <w:noWrap w:val="0"/>
                  <w:vAlign w:val="center"/>
                </w:tcPr>
                <w:p w14:paraId="1695957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主体工程</w:t>
                  </w:r>
                </w:p>
              </w:tc>
              <w:tc>
                <w:tcPr>
                  <w:tcW w:w="822" w:type="pct"/>
                  <w:gridSpan w:val="4"/>
                  <w:tcBorders>
                    <w:tl2br w:val="nil"/>
                    <w:tr2bl w:val="nil"/>
                  </w:tcBorders>
                  <w:noWrap w:val="0"/>
                  <w:vAlign w:val="center"/>
                </w:tcPr>
                <w:p w14:paraId="521A584B">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缓冷场</w:t>
                  </w:r>
                </w:p>
              </w:tc>
              <w:tc>
                <w:tcPr>
                  <w:tcW w:w="3712" w:type="pct"/>
                  <w:tcBorders>
                    <w:tl2br w:val="nil"/>
                    <w:tr2bl w:val="nil"/>
                  </w:tcBorders>
                  <w:noWrap w:val="0"/>
                  <w:vAlign w:val="center"/>
                </w:tcPr>
                <w:p w14:paraId="56CC93D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设置1个露天缓冷场对易门铜业有限公司底吹炉熔炼渣进行冷却，占地面积为1500m</w:t>
                  </w:r>
                  <w:r>
                    <w:rPr>
                      <w:rFonts w:hint="eastAsia" w:cs="Times New Roman"/>
                      <w:color w:val="auto"/>
                      <w:sz w:val="18"/>
                      <w:szCs w:val="18"/>
                      <w:highlight w:val="none"/>
                      <w:vertAlign w:val="superscript"/>
                      <w:lang w:val="en-US" w:eastAsia="zh-CN"/>
                    </w:rPr>
                    <w:t>2</w:t>
                  </w:r>
                  <w:r>
                    <w:rPr>
                      <w:rFonts w:hint="eastAsia" w:cs="Times New Roman"/>
                      <w:color w:val="auto"/>
                      <w:sz w:val="18"/>
                      <w:szCs w:val="18"/>
                      <w:highlight w:val="none"/>
                      <w:vertAlign w:val="baseline"/>
                      <w:lang w:val="en-US" w:eastAsia="zh-CN"/>
                    </w:rPr>
                    <w:t>，位于选厂南侧，设置110个容积为12m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渣包，地面进行了硬化、防渗处理；冷却冷熔炼渣倒至翻包区域，设置移动式液压机进初级破碎，将大块熔炼渣破碎至</w:t>
                  </w:r>
                  <w:r>
                    <w:rPr>
                      <w:rFonts w:hint="eastAsia" w:ascii="Times New Roman" w:hAnsi="Times New Roman" w:eastAsia="宋体" w:cs="Times New Roman"/>
                      <w:color w:val="auto"/>
                      <w:sz w:val="18"/>
                      <w:szCs w:val="18"/>
                      <w:highlight w:val="none"/>
                    </w:rPr>
                    <w:t>300mm以下粒度</w:t>
                  </w:r>
                  <w:r>
                    <w:rPr>
                      <w:rFonts w:hint="eastAsia" w:cs="Times New Roman"/>
                      <w:color w:val="auto"/>
                      <w:sz w:val="18"/>
                      <w:szCs w:val="18"/>
                      <w:highlight w:val="none"/>
                      <w:vertAlign w:val="baseline"/>
                      <w:lang w:val="en-US" w:eastAsia="zh-CN"/>
                    </w:rPr>
                    <w:t>。</w:t>
                  </w:r>
                </w:p>
              </w:tc>
            </w:tr>
            <w:tr w14:paraId="6012AB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noWrap w:val="0"/>
                  <w:vAlign w:val="center"/>
                </w:tcPr>
                <w:p w14:paraId="2C48CCC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22" w:type="pct"/>
                  <w:gridSpan w:val="4"/>
                  <w:tcBorders>
                    <w:tl2br w:val="nil"/>
                    <w:tr2bl w:val="nil"/>
                  </w:tcBorders>
                  <w:noWrap w:val="0"/>
                  <w:vAlign w:val="center"/>
                </w:tcPr>
                <w:p w14:paraId="7374E1E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铜冶炼渣堆场</w:t>
                  </w:r>
                </w:p>
              </w:tc>
              <w:tc>
                <w:tcPr>
                  <w:tcW w:w="3712" w:type="pct"/>
                  <w:tcBorders>
                    <w:tl2br w:val="nil"/>
                    <w:tr2bl w:val="nil"/>
                  </w:tcBorders>
                  <w:noWrap w:val="0"/>
                  <w:vAlign w:val="center"/>
                </w:tcPr>
                <w:p w14:paraId="7746890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设有1个铜冶炼渣堆场对初级破碎后的铜冶炼渣进行暂存，占地1500m</w:t>
                  </w:r>
                  <w:r>
                    <w:rPr>
                      <w:rFonts w:hint="eastAsia" w:cs="Times New Roman"/>
                      <w:color w:val="auto"/>
                      <w:sz w:val="18"/>
                      <w:szCs w:val="18"/>
                      <w:highlight w:val="none"/>
                      <w:vertAlign w:val="superscript"/>
                      <w:lang w:val="en-US" w:eastAsia="zh-CN"/>
                    </w:rPr>
                    <w:t>2</w:t>
                  </w:r>
                  <w:r>
                    <w:rPr>
                      <w:rFonts w:hint="eastAsia" w:cs="Times New Roman"/>
                      <w:color w:val="auto"/>
                      <w:sz w:val="18"/>
                      <w:szCs w:val="18"/>
                      <w:highlight w:val="none"/>
                      <w:vertAlign w:val="baseline"/>
                      <w:lang w:val="en-US" w:eastAsia="zh-CN"/>
                    </w:rPr>
                    <w:t>，位于选厂南侧，紧邻缓冷场，地面进行了硬化、防渗处理，设计堆存量1300m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、3000t，可满足改建后约1.7d的储存需求。堆场区域设置1台颚式破碎机（粗碎）对铜冶炼渣进行破碎。</w:t>
                  </w:r>
                </w:p>
              </w:tc>
            </w:tr>
            <w:tr w14:paraId="023E577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noWrap w:val="0"/>
                  <w:vAlign w:val="center"/>
                </w:tcPr>
                <w:p w14:paraId="6793CFE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22" w:type="pct"/>
                  <w:gridSpan w:val="4"/>
                  <w:tcBorders>
                    <w:tl2br w:val="nil"/>
                    <w:tr2bl w:val="nil"/>
                  </w:tcBorders>
                  <w:noWrap w:val="0"/>
                  <w:vAlign w:val="center"/>
                </w:tcPr>
                <w:p w14:paraId="478F325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粗碎车间</w:t>
                  </w:r>
                </w:p>
              </w:tc>
              <w:tc>
                <w:tcPr>
                  <w:tcW w:w="3712" w:type="pct"/>
                  <w:tcBorders>
                    <w:tl2br w:val="nil"/>
                    <w:tr2bl w:val="nil"/>
                  </w:tcBorders>
                  <w:noWrap w:val="0"/>
                  <w:vAlign w:val="center"/>
                </w:tcPr>
                <w:p w14:paraId="0D1912D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依托现有粗碎车间</w:t>
                  </w:r>
                  <w:r>
                    <w:rPr>
                      <w:rFonts w:hint="eastAsia" w:ascii="Times New Roman" w:hAnsi="Times New Roman" w:eastAsia="宋体" w:cs="Times New Roman"/>
                      <w:color w:val="auto"/>
                      <w:sz w:val="18"/>
                      <w:szCs w:val="18"/>
                      <w:highlight w:val="none"/>
                      <w:vertAlign w:val="baseline"/>
                      <w:lang w:val="en-US" w:eastAsia="zh-CN"/>
                    </w:rPr>
                    <w:t>，位于铜冶炼渣堆场旁，车间内布置1台颚式破碎机（粗碎）。</w:t>
                  </w:r>
                </w:p>
              </w:tc>
            </w:tr>
            <w:tr w14:paraId="36AD50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noWrap w:val="0"/>
                  <w:vAlign w:val="center"/>
                </w:tcPr>
                <w:p w14:paraId="4289807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22" w:type="pct"/>
                  <w:gridSpan w:val="4"/>
                  <w:tcBorders>
                    <w:tl2br w:val="nil"/>
                    <w:tr2bl w:val="nil"/>
                  </w:tcBorders>
                  <w:noWrap w:val="0"/>
                  <w:vAlign w:val="center"/>
                </w:tcPr>
                <w:p w14:paraId="657ED33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铜冶炼渣矿仓</w:t>
                  </w:r>
                </w:p>
              </w:tc>
              <w:tc>
                <w:tcPr>
                  <w:tcW w:w="3712" w:type="pct"/>
                  <w:tcBorders>
                    <w:tl2br w:val="nil"/>
                    <w:tr2bl w:val="nil"/>
                  </w:tcBorders>
                  <w:noWrap w:val="0"/>
                  <w:vAlign w:val="center"/>
                </w:tcPr>
                <w:p w14:paraId="14F22EF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紧邻铜冶炼渣堆场设置有钢筋砼框架结构封闭式铜冶炼渣矿仓1座，</w:t>
                  </w:r>
                  <w:r>
                    <w:rPr>
                      <w:rFonts w:hint="eastAsia" w:cs="Times New Roman"/>
                      <w:color w:val="auto"/>
                      <w:sz w:val="18"/>
                      <w:szCs w:val="18"/>
                      <w:highlight w:val="none"/>
                      <w:vertAlign w:val="baseline"/>
                      <w:lang w:val="en-US" w:eastAsia="zh-CN"/>
                    </w:rPr>
                    <w:t>对粗碎后的铜冶炼渣进行暂存，</w:t>
                  </w:r>
                  <w:r>
                    <w:rPr>
                      <w:rFonts w:hint="eastAsia" w:ascii="Times New Roman" w:hAnsi="Times New Roman" w:eastAsia="宋体" w:cs="Times New Roman"/>
                      <w:color w:val="auto"/>
                      <w:sz w:val="18"/>
                      <w:szCs w:val="18"/>
                      <w:highlight w:val="none"/>
                      <w:vertAlign w:val="baseline"/>
                      <w:lang w:val="en-US" w:eastAsia="zh-CN"/>
                    </w:rPr>
                    <w:t>建筑面积55.34m</w:t>
                  </w:r>
                  <w:r>
                    <w:rPr>
                      <w:rFonts w:hint="eastAsia" w:ascii="Times New Roman" w:hAnsi="Times New Roman" w:eastAsia="宋体" w:cs="Times New Roman"/>
                      <w:color w:val="auto"/>
                      <w:sz w:val="18"/>
                      <w:szCs w:val="18"/>
                      <w:highlight w:val="none"/>
                      <w:vertAlign w:val="superscript"/>
                      <w:lang w:val="en-US" w:eastAsia="zh-CN"/>
                    </w:rPr>
                    <w:t>2</w:t>
                  </w:r>
                  <w:r>
                    <w:rPr>
                      <w:rFonts w:hint="eastAsia" w:ascii="Times New Roman" w:hAnsi="Times New Roman" w:eastAsia="宋体" w:cs="Times New Roman"/>
                      <w:color w:val="auto"/>
                      <w:sz w:val="18"/>
                      <w:szCs w:val="18"/>
                      <w:highlight w:val="none"/>
                      <w:vertAlign w:val="baseline"/>
                      <w:lang w:val="en-US" w:eastAsia="zh-CN"/>
                    </w:rPr>
                    <w:t>，为地面堆场，有效容积约270m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，设计储存量650.7t</w:t>
                  </w:r>
                  <w:r>
                    <w:rPr>
                      <w:rFonts w:hint="eastAsia" w:cs="Times New Roman"/>
                      <w:color w:val="auto"/>
                      <w:sz w:val="18"/>
                      <w:szCs w:val="18"/>
                      <w:highlight w:val="none"/>
                      <w:vertAlign w:val="baseline"/>
                      <w:lang w:val="en-US" w:eastAsia="zh-CN"/>
                    </w:rPr>
                    <w:t>，可满足改建后约9h的储存需求</w:t>
                  </w:r>
                  <w:r>
                    <w:rPr>
                      <w:rFonts w:hint="eastAsia" w:ascii="Times New Roman" w:hAnsi="Times New Roman" w:eastAsia="宋体" w:cs="Times New Roman"/>
                      <w:color w:val="auto"/>
                      <w:sz w:val="18"/>
                      <w:szCs w:val="18"/>
                      <w:highlight w:val="none"/>
                      <w:vertAlign w:val="baseline"/>
                      <w:lang w:val="en-US" w:eastAsia="zh-CN"/>
                    </w:rPr>
                    <w:t>。</w:t>
                  </w:r>
                </w:p>
              </w:tc>
            </w:tr>
            <w:tr w14:paraId="7F2952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noWrap w:val="0"/>
                  <w:vAlign w:val="center"/>
                </w:tcPr>
                <w:p w14:paraId="7EBCB184">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22" w:type="pct"/>
                  <w:gridSpan w:val="4"/>
                  <w:tcBorders>
                    <w:tl2br w:val="nil"/>
                    <w:tr2bl w:val="nil"/>
                  </w:tcBorders>
                  <w:noWrap w:val="0"/>
                  <w:vAlign w:val="center"/>
                </w:tcPr>
                <w:p w14:paraId="17BA36D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中细碎车间</w:t>
                  </w:r>
                </w:p>
              </w:tc>
              <w:tc>
                <w:tcPr>
                  <w:tcW w:w="3712" w:type="pct"/>
                  <w:tcBorders>
                    <w:tl2br w:val="nil"/>
                    <w:tr2bl w:val="nil"/>
                  </w:tcBorders>
                  <w:noWrap w:val="0"/>
                  <w:vAlign w:val="center"/>
                </w:tcPr>
                <w:p w14:paraId="0CC1EDE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依托现有中细碎</w:t>
                  </w:r>
                  <w:r>
                    <w:rPr>
                      <w:rFonts w:hint="eastAsia" w:ascii="Times New Roman" w:hAnsi="Times New Roman" w:eastAsia="宋体" w:cs="Times New Roman"/>
                      <w:color w:val="auto"/>
                      <w:sz w:val="18"/>
                      <w:szCs w:val="18"/>
                      <w:highlight w:val="none"/>
                      <w:vertAlign w:val="baseline"/>
                      <w:lang w:val="en-US" w:eastAsia="zh-CN"/>
                    </w:rPr>
                    <w:t>车间，为层高13m的封闭式钢筋砼框架结构建筑，建筑面积185.72m</w:t>
                  </w:r>
                  <w:r>
                    <w:rPr>
                      <w:rFonts w:hint="eastAsia" w:ascii="Times New Roman" w:hAnsi="Times New Roman" w:eastAsia="宋体" w:cs="Times New Roman"/>
                      <w:color w:val="auto"/>
                      <w:sz w:val="18"/>
                      <w:szCs w:val="18"/>
                      <w:highlight w:val="none"/>
                      <w:vertAlign w:val="superscript"/>
                      <w:lang w:val="en-US" w:eastAsia="zh-CN"/>
                    </w:rPr>
                    <w:t>2</w:t>
                  </w:r>
                  <w:r>
                    <w:rPr>
                      <w:rFonts w:hint="eastAsia" w:ascii="Times New Roman" w:hAnsi="Times New Roman" w:eastAsia="宋体" w:cs="Times New Roman"/>
                      <w:color w:val="auto"/>
                      <w:sz w:val="18"/>
                      <w:szCs w:val="18"/>
                      <w:highlight w:val="none"/>
                      <w:vertAlign w:val="baseline"/>
                      <w:lang w:val="en-US" w:eastAsia="zh-CN"/>
                    </w:rPr>
                    <w:t>，车间内布置1台鄂式破碎（中碎）</w:t>
                  </w:r>
                  <w:r>
                    <w:rPr>
                      <w:rFonts w:hint="eastAsia" w:cs="Times New Roman"/>
                      <w:color w:val="auto"/>
                      <w:sz w:val="18"/>
                      <w:szCs w:val="18"/>
                      <w:highlight w:val="none"/>
                      <w:vertAlign w:val="baseline"/>
                      <w:lang w:val="en-US" w:eastAsia="zh-CN"/>
                    </w:rPr>
                    <w:t>、2</w:t>
                  </w:r>
                  <w:r>
                    <w:rPr>
                      <w:rFonts w:hint="eastAsia" w:ascii="Times New Roman" w:hAnsi="Times New Roman" w:eastAsia="宋体" w:cs="Times New Roman"/>
                      <w:color w:val="auto"/>
                      <w:sz w:val="18"/>
                      <w:szCs w:val="18"/>
                      <w:highlight w:val="none"/>
                      <w:vertAlign w:val="baseline"/>
                      <w:lang w:val="en-US" w:eastAsia="zh-CN"/>
                    </w:rPr>
                    <w:t>台圆锥破碎机（细碎）</w:t>
                  </w:r>
                  <w:r>
                    <w:rPr>
                      <w:rFonts w:hint="eastAsia" w:cs="Times New Roman"/>
                      <w:color w:val="auto"/>
                      <w:sz w:val="18"/>
                      <w:szCs w:val="18"/>
                      <w:highlight w:val="none"/>
                      <w:vertAlign w:val="baseline"/>
                      <w:lang w:val="en-US" w:eastAsia="zh-CN"/>
                    </w:rPr>
                    <w:t>以及</w:t>
                  </w:r>
                  <w:r>
                    <w:rPr>
                      <w:rFonts w:hint="eastAsia" w:ascii="Times New Roman" w:hAnsi="Times New Roman" w:eastAsia="宋体" w:cs="Times New Roman"/>
                      <w:color w:val="auto"/>
                      <w:sz w:val="18"/>
                      <w:szCs w:val="18"/>
                      <w:highlight w:val="none"/>
                      <w:vertAlign w:val="baseline"/>
                      <w:lang w:val="en-US" w:eastAsia="zh-CN"/>
                    </w:rPr>
                    <w:t>2台板式给料机。</w:t>
                  </w:r>
                </w:p>
              </w:tc>
            </w:tr>
            <w:tr w14:paraId="54893B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noWrap w:val="0"/>
                  <w:vAlign w:val="center"/>
                </w:tcPr>
                <w:p w14:paraId="0966637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22" w:type="pct"/>
                  <w:gridSpan w:val="4"/>
                  <w:tcBorders>
                    <w:tl2br w:val="nil"/>
                    <w:tr2bl w:val="nil"/>
                  </w:tcBorders>
                  <w:noWrap w:val="0"/>
                  <w:vAlign w:val="center"/>
                </w:tcPr>
                <w:p w14:paraId="15ADB7B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筛分车间及粉矿仓</w:t>
                  </w:r>
                </w:p>
              </w:tc>
              <w:tc>
                <w:tcPr>
                  <w:tcW w:w="3712" w:type="pct"/>
                  <w:tcBorders>
                    <w:tl2br w:val="nil"/>
                    <w:tr2bl w:val="nil"/>
                  </w:tcBorders>
                  <w:noWrap w:val="0"/>
                  <w:vAlign w:val="center"/>
                </w:tcPr>
                <w:p w14:paraId="7815167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设有1座筛分车间，建筑面积147.66m</w:t>
                  </w:r>
                  <w:r>
                    <w:rPr>
                      <w:rFonts w:hint="eastAsia" w:ascii="Times New Roman" w:hAnsi="Times New Roman" w:eastAsia="宋体" w:cs="Times New Roman"/>
                      <w:color w:val="auto"/>
                      <w:sz w:val="18"/>
                      <w:szCs w:val="18"/>
                      <w:highlight w:val="none"/>
                      <w:vertAlign w:val="superscript"/>
                      <w:lang w:val="en-US" w:eastAsia="zh-CN"/>
                    </w:rPr>
                    <w:t>2</w:t>
                  </w:r>
                  <w:r>
                    <w:rPr>
                      <w:rFonts w:hint="eastAsia" w:ascii="Times New Roman" w:hAnsi="Times New Roman" w:eastAsia="宋体" w:cs="Times New Roman"/>
                      <w:color w:val="auto"/>
                      <w:sz w:val="18"/>
                      <w:szCs w:val="18"/>
                      <w:highlight w:val="none"/>
                      <w:vertAlign w:val="baseline"/>
                      <w:lang w:val="en-US" w:eastAsia="zh-CN"/>
                    </w:rPr>
                    <w:t>，车间布置1台圆振动筛</w:t>
                  </w:r>
                  <w:r>
                    <w:rPr>
                      <w:rFonts w:hint="eastAsia" w:cs="Times New Roman"/>
                      <w:color w:val="auto"/>
                      <w:sz w:val="18"/>
                      <w:szCs w:val="18"/>
                      <w:highlight w:val="none"/>
                      <w:vertAlign w:val="baseline"/>
                      <w:lang w:val="en-US" w:eastAsia="zh-CN"/>
                    </w:rPr>
                    <w:t>和1座有效容积为110m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的粉矿仓</w:t>
                  </w:r>
                  <w:r>
                    <w:rPr>
                      <w:rFonts w:hint="eastAsia" w:ascii="Times New Roman" w:hAnsi="Times New Roman" w:eastAsia="宋体" w:cs="Times New Roman"/>
                      <w:color w:val="auto"/>
                      <w:sz w:val="18"/>
                      <w:szCs w:val="18"/>
                      <w:highlight w:val="none"/>
                      <w:vertAlign w:val="baseline"/>
                      <w:lang w:val="en-US" w:eastAsia="zh-CN"/>
                    </w:rPr>
                    <w:t>，筛分车间旁设置</w:t>
                  </w:r>
                  <w:r>
                    <w:rPr>
                      <w:rFonts w:hint="eastAsia" w:cs="Times New Roman"/>
                      <w:color w:val="auto"/>
                      <w:sz w:val="18"/>
                      <w:szCs w:val="18"/>
                      <w:highlight w:val="none"/>
                      <w:vertAlign w:val="baseline"/>
                      <w:lang w:val="en-US" w:eastAsia="zh-CN"/>
                    </w:rPr>
                    <w:t>1座有效容积为</w:t>
                  </w:r>
                  <w:r>
                    <w:rPr>
                      <w:rFonts w:hint="eastAsia" w:ascii="Times New Roman" w:hAnsi="Times New Roman" w:eastAsia="宋体" w:cs="Times New Roman"/>
                      <w:color w:val="auto"/>
                      <w:sz w:val="18"/>
                      <w:szCs w:val="18"/>
                      <w:highlight w:val="none"/>
                      <w:vertAlign w:val="baseline"/>
                      <w:lang w:val="en-US" w:eastAsia="zh-CN"/>
                    </w:rPr>
                    <w:t>470m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的粉矿仓，改建后依托现有总容积为580</w:t>
                  </w:r>
                  <w:r>
                    <w:rPr>
                      <w:rFonts w:hint="eastAsia" w:ascii="Times New Roman" w:hAnsi="Times New Roman" w:eastAsia="宋体" w:cs="Times New Roman"/>
                      <w:color w:val="auto"/>
                      <w:sz w:val="18"/>
                      <w:szCs w:val="18"/>
                      <w:highlight w:val="none"/>
                      <w:vertAlign w:val="baseline"/>
                      <w:lang w:val="en-US" w:eastAsia="zh-CN"/>
                    </w:rPr>
                    <w:t>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的粉矿仓</w:t>
                  </w:r>
                  <w:r>
                    <w:rPr>
                      <w:rFonts w:hint="eastAsia" w:ascii="Times New Roman" w:hAnsi="Times New Roman" w:eastAsia="宋体" w:cs="Times New Roman"/>
                      <w:color w:val="auto"/>
                      <w:sz w:val="18"/>
                      <w:szCs w:val="18"/>
                      <w:highlight w:val="none"/>
                      <w:vertAlign w:val="baseline"/>
                      <w:lang w:val="en-US" w:eastAsia="zh-CN"/>
                    </w:rPr>
                    <w:t>。</w:t>
                  </w:r>
                </w:p>
              </w:tc>
            </w:tr>
            <w:tr w14:paraId="2541974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noWrap w:val="0"/>
                  <w:vAlign w:val="center"/>
                </w:tcPr>
                <w:p w14:paraId="6665683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22" w:type="pct"/>
                  <w:gridSpan w:val="4"/>
                  <w:tcBorders>
                    <w:tl2br w:val="nil"/>
                    <w:tr2bl w:val="nil"/>
                  </w:tcBorders>
                  <w:noWrap w:val="0"/>
                  <w:vAlign w:val="center"/>
                </w:tcPr>
                <w:p w14:paraId="21120A8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铜</w:t>
                  </w:r>
                  <w:r>
                    <w:rPr>
                      <w:rFonts w:hint="eastAsia" w:ascii="Times New Roman" w:hAnsi="Times New Roman" w:eastAsia="宋体" w:cs="Times New Roman"/>
                      <w:color w:val="auto"/>
                      <w:sz w:val="18"/>
                      <w:szCs w:val="18"/>
                      <w:highlight w:val="none"/>
                      <w:vertAlign w:val="baseline"/>
                      <w:lang w:val="en-US" w:eastAsia="zh-CN"/>
                    </w:rPr>
                    <w:t>精矿仓</w:t>
                  </w:r>
                </w:p>
              </w:tc>
              <w:tc>
                <w:tcPr>
                  <w:tcW w:w="3712" w:type="pct"/>
                  <w:tcBorders>
                    <w:tl2br w:val="nil"/>
                    <w:tr2bl w:val="nil"/>
                  </w:tcBorders>
                  <w:noWrap w:val="0"/>
                  <w:vAlign w:val="center"/>
                </w:tcPr>
                <w:p w14:paraId="6CDEAE6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w:t>
                  </w:r>
                  <w:r>
                    <w:rPr>
                      <w:rFonts w:hint="eastAsia" w:ascii="Times New Roman" w:hAnsi="Times New Roman" w:eastAsia="宋体" w:cs="Times New Roman"/>
                      <w:color w:val="auto"/>
                      <w:sz w:val="18"/>
                      <w:szCs w:val="18"/>
                      <w:highlight w:val="none"/>
                      <w:vertAlign w:val="baseline"/>
                      <w:lang w:val="en-US" w:eastAsia="zh-CN"/>
                    </w:rPr>
                    <w:t>现有</w:t>
                  </w:r>
                  <w:r>
                    <w:rPr>
                      <w:rFonts w:hint="eastAsia" w:cs="Times New Roman"/>
                      <w:color w:val="auto"/>
                      <w:sz w:val="18"/>
                      <w:szCs w:val="18"/>
                      <w:highlight w:val="none"/>
                      <w:vertAlign w:val="baseline"/>
                      <w:lang w:val="en-US" w:eastAsia="zh-CN"/>
                    </w:rPr>
                    <w:t>铜精矿仓1座，有效容积为210</w:t>
                  </w: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p>
              </w:tc>
            </w:tr>
            <w:tr w14:paraId="142CA4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noWrap w:val="0"/>
                  <w:vAlign w:val="center"/>
                </w:tcPr>
                <w:p w14:paraId="6F75612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22" w:type="pct"/>
                  <w:gridSpan w:val="4"/>
                  <w:tcBorders>
                    <w:tl2br w:val="nil"/>
                    <w:tr2bl w:val="nil"/>
                  </w:tcBorders>
                  <w:noWrap w:val="0"/>
                  <w:vAlign w:val="center"/>
                </w:tcPr>
                <w:p w14:paraId="161B771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铁精矿仓</w:t>
                  </w:r>
                </w:p>
              </w:tc>
              <w:tc>
                <w:tcPr>
                  <w:tcW w:w="3712" w:type="pct"/>
                  <w:tcBorders>
                    <w:tl2br w:val="nil"/>
                    <w:tr2bl w:val="nil"/>
                  </w:tcBorders>
                  <w:noWrap w:val="0"/>
                  <w:vAlign w:val="center"/>
                </w:tcPr>
                <w:p w14:paraId="29B4A48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依托现有铁精矿仓1座，有效容积为600</w:t>
                  </w: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p>
              </w:tc>
            </w:tr>
            <w:tr w14:paraId="1C53C4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65" w:type="pct"/>
                  <w:vMerge w:val="continue"/>
                  <w:tcBorders>
                    <w:tl2br w:val="nil"/>
                    <w:tr2bl w:val="nil"/>
                  </w:tcBorders>
                  <w:noWrap w:val="0"/>
                  <w:vAlign w:val="center"/>
                </w:tcPr>
                <w:p w14:paraId="67585C49">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22" w:type="pct"/>
                  <w:gridSpan w:val="4"/>
                  <w:tcBorders>
                    <w:tl2br w:val="nil"/>
                    <w:tr2bl w:val="nil"/>
                  </w:tcBorders>
                  <w:noWrap w:val="0"/>
                  <w:vAlign w:val="center"/>
                </w:tcPr>
                <w:p w14:paraId="6502881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尾矿仓</w:t>
                  </w:r>
                </w:p>
              </w:tc>
              <w:tc>
                <w:tcPr>
                  <w:tcW w:w="3712" w:type="pct"/>
                  <w:tcBorders>
                    <w:tl2br w:val="nil"/>
                    <w:tr2bl w:val="nil"/>
                  </w:tcBorders>
                  <w:noWrap w:val="0"/>
                  <w:vAlign w:val="center"/>
                </w:tcPr>
                <w:p w14:paraId="75C78B4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依托</w:t>
                  </w:r>
                  <w:r>
                    <w:rPr>
                      <w:rFonts w:hint="default" w:ascii="Times New Roman" w:hAnsi="Times New Roman" w:eastAsia="宋体" w:cs="Times New Roman"/>
                      <w:color w:val="auto"/>
                      <w:sz w:val="18"/>
                      <w:szCs w:val="18"/>
                      <w:highlight w:val="none"/>
                      <w:vertAlign w:val="baseline"/>
                      <w:lang w:val="en-US" w:eastAsia="zh-CN"/>
                    </w:rPr>
                    <w:t>1</w:t>
                  </w:r>
                  <w:r>
                    <w:rPr>
                      <w:rFonts w:hint="eastAsia" w:ascii="Times New Roman" w:hAnsi="Times New Roman" w:eastAsia="宋体" w:cs="Times New Roman"/>
                      <w:color w:val="auto"/>
                      <w:sz w:val="18"/>
                      <w:szCs w:val="18"/>
                      <w:highlight w:val="none"/>
                      <w:vertAlign w:val="baseline"/>
                      <w:lang w:val="en-US" w:eastAsia="zh-CN"/>
                    </w:rPr>
                    <w:t>座有效容积为</w:t>
                  </w:r>
                  <w:r>
                    <w:rPr>
                      <w:rFonts w:hint="default" w:ascii="Times New Roman" w:hAnsi="Times New Roman" w:eastAsia="宋体" w:cs="Times New Roman"/>
                      <w:color w:val="auto"/>
                      <w:sz w:val="18"/>
                      <w:szCs w:val="18"/>
                      <w:highlight w:val="none"/>
                      <w:vertAlign w:val="baseline"/>
                      <w:lang w:val="en-US" w:eastAsia="zh-CN"/>
                    </w:rPr>
                    <w:t>430m</w:t>
                  </w:r>
                  <w:r>
                    <w:rPr>
                      <w:rFonts w:hint="default"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的尾渣仓，设计储存量</w:t>
                  </w:r>
                  <w:r>
                    <w:rPr>
                      <w:rFonts w:hint="default" w:ascii="Times New Roman" w:hAnsi="Times New Roman" w:eastAsia="宋体" w:cs="Times New Roman"/>
                      <w:color w:val="auto"/>
                      <w:sz w:val="18"/>
                      <w:szCs w:val="18"/>
                      <w:highlight w:val="none"/>
                      <w:vertAlign w:val="baseline"/>
                      <w:lang w:val="en-US" w:eastAsia="zh-CN"/>
                    </w:rPr>
                    <w:t>1010.50t</w:t>
                  </w:r>
                  <w:r>
                    <w:rPr>
                      <w:rFonts w:hint="eastAsia" w:ascii="Times New Roman" w:hAnsi="Times New Roman" w:eastAsia="宋体" w:cs="Times New Roman"/>
                      <w:color w:val="auto"/>
                      <w:sz w:val="18"/>
                      <w:szCs w:val="18"/>
                      <w:highlight w:val="none"/>
                      <w:vertAlign w:val="baseline"/>
                      <w:lang w:val="en-US" w:eastAsia="zh-CN"/>
                    </w:rPr>
                    <w:t>，另有</w:t>
                  </w:r>
                  <w:r>
                    <w:rPr>
                      <w:rFonts w:hint="default" w:ascii="Times New Roman" w:hAnsi="Times New Roman" w:eastAsia="宋体" w:cs="Times New Roman"/>
                      <w:color w:val="auto"/>
                      <w:sz w:val="18"/>
                      <w:szCs w:val="18"/>
                      <w:highlight w:val="none"/>
                      <w:vertAlign w:val="baseline"/>
                      <w:lang w:val="en-US" w:eastAsia="zh-CN"/>
                    </w:rPr>
                    <w:t>1</w:t>
                  </w:r>
                  <w:r>
                    <w:rPr>
                      <w:rFonts w:hint="eastAsia" w:ascii="Times New Roman" w:hAnsi="Times New Roman" w:eastAsia="宋体" w:cs="Times New Roman"/>
                      <w:color w:val="auto"/>
                      <w:sz w:val="18"/>
                      <w:szCs w:val="18"/>
                      <w:highlight w:val="none"/>
                      <w:vertAlign w:val="baseline"/>
                      <w:lang w:val="en-US" w:eastAsia="zh-CN"/>
                    </w:rPr>
                    <w:t>座有效容积</w:t>
                  </w:r>
                  <w:r>
                    <w:rPr>
                      <w:rFonts w:hint="eastAsia" w:cs="Times New Roman"/>
                      <w:color w:val="auto"/>
                      <w:sz w:val="18"/>
                      <w:szCs w:val="18"/>
                      <w:highlight w:val="none"/>
                      <w:vertAlign w:val="baseline"/>
                      <w:lang w:val="en-US" w:eastAsia="zh-CN"/>
                    </w:rPr>
                    <w:t>2400</w:t>
                  </w:r>
                  <w:r>
                    <w:rPr>
                      <w:rFonts w:hint="default" w:ascii="Times New Roman" w:hAnsi="Times New Roman" w:eastAsia="宋体" w:cs="Times New Roman"/>
                      <w:color w:val="auto"/>
                      <w:sz w:val="18"/>
                      <w:szCs w:val="18"/>
                      <w:highlight w:val="none"/>
                      <w:vertAlign w:val="baseli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，设计储存量</w:t>
                  </w:r>
                  <w:r>
                    <w:rPr>
                      <w:rFonts w:hint="eastAsia" w:cs="Times New Roman"/>
                      <w:color w:val="auto"/>
                      <w:sz w:val="18"/>
                      <w:szCs w:val="18"/>
                      <w:highlight w:val="none"/>
                      <w:vertAlign w:val="baseline"/>
                      <w:lang w:val="en-US" w:eastAsia="zh-CN"/>
                    </w:rPr>
                    <w:t>9960</w:t>
                  </w:r>
                  <w:r>
                    <w:rPr>
                      <w:rFonts w:hint="default" w:ascii="Times New Roman" w:hAnsi="Times New Roman" w:eastAsia="宋体" w:cs="Times New Roman"/>
                      <w:color w:val="auto"/>
                      <w:sz w:val="18"/>
                      <w:szCs w:val="18"/>
                      <w:highlight w:val="none"/>
                      <w:vertAlign w:val="baseline"/>
                      <w:lang w:val="en-US" w:eastAsia="zh-CN"/>
                    </w:rPr>
                    <w:t>t</w:t>
                  </w:r>
                  <w:r>
                    <w:rPr>
                      <w:rFonts w:hint="eastAsia" w:ascii="Times New Roman" w:hAnsi="Times New Roman" w:eastAsia="宋体" w:cs="Times New Roman"/>
                      <w:color w:val="auto"/>
                      <w:sz w:val="18"/>
                      <w:szCs w:val="18"/>
                      <w:highlight w:val="none"/>
                      <w:vertAlign w:val="baseline"/>
                      <w:lang w:val="en-US" w:eastAsia="zh-CN"/>
                    </w:rPr>
                    <w:t>，总暂存量达到</w:t>
                  </w:r>
                  <w:r>
                    <w:rPr>
                      <w:rFonts w:hint="eastAsia" w:cs="Times New Roman"/>
                      <w:color w:val="auto"/>
                      <w:sz w:val="18"/>
                      <w:szCs w:val="18"/>
                      <w:highlight w:val="none"/>
                      <w:vertAlign w:val="baseline"/>
                      <w:lang w:val="en-US" w:eastAsia="zh-CN"/>
                    </w:rPr>
                    <w:t>10970.5</w:t>
                  </w:r>
                  <w:r>
                    <w:rPr>
                      <w:rFonts w:hint="default" w:ascii="Times New Roman" w:hAnsi="Times New Roman" w:eastAsia="宋体" w:cs="Times New Roman"/>
                      <w:color w:val="auto"/>
                      <w:sz w:val="18"/>
                      <w:szCs w:val="18"/>
                      <w:highlight w:val="none"/>
                      <w:vertAlign w:val="baseline"/>
                      <w:lang w:val="en-US" w:eastAsia="zh-CN"/>
                    </w:rPr>
                    <w:t>t</w:t>
                  </w:r>
                </w:p>
              </w:tc>
            </w:tr>
            <w:tr w14:paraId="313F13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465" w:type="pct"/>
                  <w:vMerge w:val="restart"/>
                  <w:tcBorders>
                    <w:tl2br w:val="nil"/>
                    <w:tr2bl w:val="nil"/>
                  </w:tcBorders>
                  <w:noWrap w:val="0"/>
                  <w:vAlign w:val="center"/>
                </w:tcPr>
                <w:p w14:paraId="46645233">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辅助工程</w:t>
                  </w:r>
                </w:p>
              </w:tc>
              <w:tc>
                <w:tcPr>
                  <w:tcW w:w="822" w:type="pct"/>
                  <w:gridSpan w:val="4"/>
                  <w:tcBorders>
                    <w:tl2br w:val="nil"/>
                    <w:tr2bl w:val="nil"/>
                  </w:tcBorders>
                  <w:noWrap w:val="0"/>
                  <w:vAlign w:val="center"/>
                </w:tcPr>
                <w:p w14:paraId="025FBA9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运输皮带</w:t>
                  </w:r>
                </w:p>
              </w:tc>
              <w:tc>
                <w:tcPr>
                  <w:tcW w:w="3712" w:type="pct"/>
                  <w:tcBorders>
                    <w:tl2br w:val="nil"/>
                    <w:tr2bl w:val="nil"/>
                  </w:tcBorders>
                  <w:noWrap w:val="0"/>
                  <w:vAlign w:val="center"/>
                </w:tcPr>
                <w:p w14:paraId="36871F0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桥架采用钢结构桥架形式，侧面附带检修走道，弧形压型钢板全封闭防雨顶盖，建筑面积430.70m</w:t>
                  </w:r>
                  <w:r>
                    <w:rPr>
                      <w:rFonts w:hint="eastAsia" w:ascii="Times New Roman" w:hAnsi="Times New Roman" w:eastAsia="宋体" w:cs="Times New Roman"/>
                      <w:color w:val="auto"/>
                      <w:sz w:val="18"/>
                      <w:szCs w:val="18"/>
                      <w:highlight w:val="none"/>
                      <w:vertAlign w:val="superscript"/>
                      <w:lang w:val="en-US" w:eastAsia="zh-CN"/>
                    </w:rPr>
                    <w:t>2</w:t>
                  </w:r>
                  <w:r>
                    <w:rPr>
                      <w:rFonts w:hint="eastAsia" w:ascii="Times New Roman" w:hAnsi="Times New Roman" w:eastAsia="宋体" w:cs="Times New Roman"/>
                      <w:color w:val="auto"/>
                      <w:sz w:val="18"/>
                      <w:szCs w:val="18"/>
                      <w:highlight w:val="none"/>
                      <w:vertAlign w:val="baseline"/>
                      <w:lang w:val="en-US" w:eastAsia="zh-CN"/>
                    </w:rPr>
                    <w:t>，皮带输送长度为91m。</w:t>
                  </w:r>
                </w:p>
              </w:tc>
            </w:tr>
            <w:tr w14:paraId="4E590E7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18" w:hRule="atLeast"/>
                <w:jc w:val="center"/>
              </w:trPr>
              <w:tc>
                <w:tcPr>
                  <w:tcW w:w="465" w:type="pct"/>
                  <w:vMerge w:val="continue"/>
                  <w:tcBorders>
                    <w:tl2br w:val="nil"/>
                    <w:tr2bl w:val="nil"/>
                  </w:tcBorders>
                  <w:noWrap w:val="0"/>
                  <w:vAlign w:val="center"/>
                </w:tcPr>
                <w:p w14:paraId="1F08DC68">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2" w:type="pct"/>
                  <w:gridSpan w:val="4"/>
                  <w:tcBorders>
                    <w:tl2br w:val="nil"/>
                    <w:tr2bl w:val="nil"/>
                  </w:tcBorders>
                  <w:noWrap w:val="0"/>
                  <w:vAlign w:val="center"/>
                </w:tcPr>
                <w:p w14:paraId="7AD3D82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缓冷场循环水池</w:t>
                  </w:r>
                </w:p>
              </w:tc>
              <w:tc>
                <w:tcPr>
                  <w:tcW w:w="3712" w:type="pct"/>
                  <w:tcBorders>
                    <w:tl2br w:val="nil"/>
                    <w:tr2bl w:val="nil"/>
                  </w:tcBorders>
                  <w:noWrap w:val="0"/>
                  <w:vAlign w:val="center"/>
                </w:tcPr>
                <w:p w14:paraId="31E2126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依托现有的</w:t>
                  </w:r>
                  <w:r>
                    <w:rPr>
                      <w:rFonts w:hint="eastAsia" w:ascii="Times New Roman" w:hAnsi="Times New Roman" w:eastAsia="宋体" w:cs="Times New Roman"/>
                      <w:color w:val="auto"/>
                      <w:sz w:val="18"/>
                      <w:szCs w:val="18"/>
                      <w:highlight w:val="none"/>
                      <w:vertAlign w:val="baseline"/>
                      <w:lang w:val="en-US" w:eastAsia="zh-CN"/>
                    </w:rPr>
                    <w:t>缓冷场建有的1座600m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循环水池及现有的回水设施，</w:t>
                  </w:r>
                  <w:r>
                    <w:rPr>
                      <w:rFonts w:hint="eastAsia" w:cs="Times New Roman"/>
                      <w:color w:val="auto"/>
                      <w:sz w:val="18"/>
                      <w:szCs w:val="18"/>
                      <w:highlight w:val="none"/>
                      <w:vertAlign w:val="baseline"/>
                      <w:lang w:val="en-US" w:eastAsia="zh-CN"/>
                    </w:rPr>
                    <w:t>并配有</w:t>
                  </w:r>
                  <w:r>
                    <w:rPr>
                      <w:rFonts w:hint="eastAsia" w:ascii="Times New Roman" w:hAnsi="Times New Roman" w:eastAsia="宋体" w:cs="Times New Roman"/>
                      <w:color w:val="auto"/>
                      <w:sz w:val="18"/>
                      <w:szCs w:val="18"/>
                      <w:highlight w:val="none"/>
                      <w:vertAlign w:val="baseline"/>
                      <w:lang w:val="en-US" w:eastAsia="zh-CN"/>
                    </w:rPr>
                    <w:t>ISG100-200型水泵2台（1用1备），</w:t>
                  </w:r>
                  <w:r>
                    <w:rPr>
                      <w:rFonts w:hint="eastAsia" w:cs="Times New Roman"/>
                      <w:color w:val="auto"/>
                      <w:sz w:val="18"/>
                      <w:szCs w:val="18"/>
                      <w:highlight w:val="none"/>
                      <w:vertAlign w:val="baseline"/>
                      <w:lang w:val="en-US" w:eastAsia="zh-CN"/>
                    </w:rPr>
                    <w:t>设置</w:t>
                  </w:r>
                  <w:r>
                    <w:rPr>
                      <w:rFonts w:hint="eastAsia" w:ascii="Times New Roman" w:hAnsi="Times New Roman" w:eastAsia="宋体" w:cs="Times New Roman"/>
                      <w:color w:val="auto"/>
                      <w:sz w:val="18"/>
                      <w:szCs w:val="18"/>
                      <w:highlight w:val="none"/>
                      <w:vertAlign w:val="baseline"/>
                      <w:lang w:val="en-US" w:eastAsia="zh-CN"/>
                    </w:rPr>
                    <w:t>300m长的D219×6钢管回水管</w:t>
                  </w:r>
                  <w:r>
                    <w:rPr>
                      <w:rFonts w:hint="eastAsia" w:cs="Times New Roman"/>
                      <w:color w:val="auto"/>
                      <w:sz w:val="18"/>
                      <w:szCs w:val="18"/>
                      <w:highlight w:val="none"/>
                      <w:vertAlign w:val="baseline"/>
                      <w:lang w:val="en-US" w:eastAsia="zh-CN"/>
                    </w:rPr>
                    <w:t>，满足改建后生产需求</w:t>
                  </w:r>
                  <w:r>
                    <w:rPr>
                      <w:rFonts w:hint="eastAsia" w:ascii="Times New Roman" w:hAnsi="Times New Roman" w:eastAsia="宋体" w:cs="Times New Roman"/>
                      <w:color w:val="auto"/>
                      <w:sz w:val="18"/>
                      <w:szCs w:val="18"/>
                      <w:highlight w:val="none"/>
                      <w:vertAlign w:val="baseline"/>
                      <w:lang w:val="en-US" w:eastAsia="zh-CN"/>
                    </w:rPr>
                    <w:t>。</w:t>
                  </w:r>
                </w:p>
              </w:tc>
            </w:tr>
            <w:tr w14:paraId="59D91F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18" w:hRule="atLeast"/>
                <w:jc w:val="center"/>
              </w:trPr>
              <w:tc>
                <w:tcPr>
                  <w:tcW w:w="465" w:type="pct"/>
                  <w:vMerge w:val="continue"/>
                  <w:tcBorders>
                    <w:tl2br w:val="nil"/>
                    <w:tr2bl w:val="nil"/>
                  </w:tcBorders>
                  <w:noWrap w:val="0"/>
                  <w:vAlign w:val="center"/>
                </w:tcPr>
                <w:p w14:paraId="1DD82712">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2" w:type="pct"/>
                  <w:gridSpan w:val="4"/>
                  <w:tcBorders>
                    <w:tl2br w:val="nil"/>
                    <w:tr2bl w:val="nil"/>
                  </w:tcBorders>
                  <w:noWrap w:val="0"/>
                  <w:vAlign w:val="center"/>
                </w:tcPr>
                <w:p w14:paraId="69A75D3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回水池</w:t>
                  </w:r>
                </w:p>
              </w:tc>
              <w:tc>
                <w:tcPr>
                  <w:tcW w:w="3712" w:type="pct"/>
                  <w:tcBorders>
                    <w:tl2br w:val="nil"/>
                    <w:tr2bl w:val="nil"/>
                  </w:tcBorders>
                  <w:noWrap w:val="0"/>
                  <w:vAlign w:val="center"/>
                </w:tcPr>
                <w:p w14:paraId="2D7A085B">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依托现有1座容积为693m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的精矿回水池及配套的回水设施等，项目铜精矿回水和铁精矿回水分别从原Ø18m、Ø24m浓缩池溢流至693m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厂前回水池，再由厂前现有回水泵站内的回水泵打回磨浮车间循环利用；依托现有的1座容积为122.5m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的尾矿回水池及配套的回水设施等，项目尾矿回水从原Ø30m浓缩池溢流至122.5m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厂前回水池，再由厂前现有回水泵站内的回水泵打回磨浮车间循环利用，不外排。</w:t>
                  </w:r>
                </w:p>
              </w:tc>
            </w:tr>
            <w:tr w14:paraId="28A5961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465" w:type="pct"/>
                  <w:vMerge w:val="continue"/>
                  <w:tcBorders>
                    <w:tl2br w:val="nil"/>
                    <w:tr2bl w:val="nil"/>
                  </w:tcBorders>
                  <w:noWrap w:val="0"/>
                  <w:vAlign w:val="center"/>
                </w:tcPr>
                <w:p w14:paraId="3B15F15B">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2" w:type="pct"/>
                  <w:gridSpan w:val="4"/>
                  <w:tcBorders>
                    <w:tl2br w:val="nil"/>
                    <w:tr2bl w:val="nil"/>
                  </w:tcBorders>
                  <w:noWrap w:val="0"/>
                  <w:vAlign w:val="center"/>
                </w:tcPr>
                <w:p w14:paraId="7A109CC4">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办公生活区</w:t>
                  </w:r>
                </w:p>
              </w:tc>
              <w:tc>
                <w:tcPr>
                  <w:tcW w:w="3712" w:type="pct"/>
                  <w:tcBorders>
                    <w:tl2br w:val="nil"/>
                    <w:tr2bl w:val="nil"/>
                  </w:tcBorders>
                  <w:noWrap w:val="0"/>
                  <w:vAlign w:val="center"/>
                </w:tcPr>
                <w:p w14:paraId="1E36EC8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依托易门铜业有限公司厂区内现有办公生活区。</w:t>
                  </w:r>
                </w:p>
              </w:tc>
            </w:tr>
            <w:tr w14:paraId="74F040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465" w:type="pct"/>
                  <w:vMerge w:val="continue"/>
                  <w:tcBorders>
                    <w:tl2br w:val="nil"/>
                    <w:tr2bl w:val="nil"/>
                  </w:tcBorders>
                  <w:noWrap w:val="0"/>
                  <w:vAlign w:val="center"/>
                </w:tcPr>
                <w:p w14:paraId="0F67223C">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2" w:type="pct"/>
                  <w:gridSpan w:val="4"/>
                  <w:tcBorders>
                    <w:tl2br w:val="nil"/>
                    <w:tr2bl w:val="nil"/>
                  </w:tcBorders>
                  <w:noWrap w:val="0"/>
                  <w:vAlign w:val="center"/>
                </w:tcPr>
                <w:p w14:paraId="03E3378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实验室和化验室</w:t>
                  </w:r>
                </w:p>
              </w:tc>
              <w:tc>
                <w:tcPr>
                  <w:tcW w:w="3712" w:type="pct"/>
                  <w:tcBorders>
                    <w:tl2br w:val="nil"/>
                    <w:tr2bl w:val="nil"/>
                  </w:tcBorders>
                  <w:noWrap w:val="0"/>
                  <w:vAlign w:val="center"/>
                </w:tcPr>
                <w:p w14:paraId="30240C6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试验室和化验室均利用企业</w:t>
                  </w:r>
                  <w:r>
                    <w:rPr>
                      <w:rFonts w:hint="eastAsia" w:cs="Times New Roman"/>
                      <w:color w:val="auto"/>
                      <w:sz w:val="18"/>
                      <w:szCs w:val="18"/>
                      <w:highlight w:val="none"/>
                      <w:vertAlign w:val="baseline"/>
                      <w:lang w:val="en-US" w:eastAsia="zh-CN"/>
                    </w:rPr>
                    <w:t>现</w:t>
                  </w:r>
                  <w:r>
                    <w:rPr>
                      <w:rFonts w:hint="eastAsia" w:ascii="Times New Roman" w:hAnsi="Times New Roman" w:eastAsia="宋体" w:cs="Times New Roman"/>
                      <w:color w:val="auto"/>
                      <w:sz w:val="18"/>
                      <w:szCs w:val="18"/>
                      <w:highlight w:val="none"/>
                      <w:vertAlign w:val="baseline"/>
                      <w:lang w:val="en-US" w:eastAsia="zh-CN"/>
                    </w:rPr>
                    <w:t>有设施。</w:t>
                  </w:r>
                </w:p>
              </w:tc>
            </w:tr>
            <w:tr w14:paraId="72A37F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465" w:type="pct"/>
                  <w:vMerge w:val="continue"/>
                  <w:tcBorders>
                    <w:tl2br w:val="nil"/>
                    <w:tr2bl w:val="nil"/>
                  </w:tcBorders>
                  <w:noWrap w:val="0"/>
                  <w:vAlign w:val="center"/>
                </w:tcPr>
                <w:p w14:paraId="20513C59">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822" w:type="pct"/>
                  <w:gridSpan w:val="4"/>
                  <w:tcBorders>
                    <w:tl2br w:val="nil"/>
                    <w:tr2bl w:val="nil"/>
                  </w:tcBorders>
                  <w:noWrap w:val="0"/>
                  <w:vAlign w:val="center"/>
                </w:tcPr>
                <w:p w14:paraId="412CDEB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药剂储存间</w:t>
                  </w:r>
                </w:p>
              </w:tc>
              <w:tc>
                <w:tcPr>
                  <w:tcW w:w="3712" w:type="pct"/>
                  <w:tcBorders>
                    <w:tl2br w:val="nil"/>
                    <w:tr2bl w:val="nil"/>
                  </w:tcBorders>
                  <w:noWrap w:val="0"/>
                  <w:vAlign w:val="center"/>
                </w:tcPr>
                <w:p w14:paraId="4D6D3A2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依托现有的一间药剂储存间，主要用于堆存浮选所用的药剂。</w:t>
                  </w:r>
                </w:p>
              </w:tc>
            </w:tr>
            <w:tr w14:paraId="5CD0401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465" w:type="pct"/>
                  <w:vMerge w:val="restart"/>
                  <w:tcBorders>
                    <w:tl2br w:val="nil"/>
                    <w:tr2bl w:val="nil"/>
                  </w:tcBorders>
                  <w:noWrap w:val="0"/>
                  <w:vAlign w:val="center"/>
                </w:tcPr>
                <w:p w14:paraId="428DF40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公用工程</w:t>
                  </w:r>
                </w:p>
              </w:tc>
              <w:tc>
                <w:tcPr>
                  <w:tcW w:w="396" w:type="pct"/>
                  <w:gridSpan w:val="3"/>
                  <w:vMerge w:val="restart"/>
                  <w:tcBorders>
                    <w:tl2br w:val="nil"/>
                    <w:tr2bl w:val="nil"/>
                  </w:tcBorders>
                  <w:noWrap w:val="0"/>
                  <w:vAlign w:val="center"/>
                </w:tcPr>
                <w:p w14:paraId="3DBA17E5">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给水</w:t>
                  </w:r>
                </w:p>
              </w:tc>
              <w:tc>
                <w:tcPr>
                  <w:tcW w:w="425" w:type="pct"/>
                  <w:tcBorders>
                    <w:tl2br w:val="nil"/>
                    <w:tr2bl w:val="nil"/>
                  </w:tcBorders>
                  <w:noWrap w:val="0"/>
                  <w:vAlign w:val="center"/>
                </w:tcPr>
                <w:p w14:paraId="0A4D6BE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生产用水</w:t>
                  </w:r>
                </w:p>
              </w:tc>
              <w:tc>
                <w:tcPr>
                  <w:tcW w:w="3712" w:type="pct"/>
                  <w:tcBorders>
                    <w:tl2br w:val="nil"/>
                    <w:tr2bl w:val="nil"/>
                  </w:tcBorders>
                  <w:noWrap w:val="0"/>
                  <w:vAlign w:val="center"/>
                </w:tcPr>
                <w:p w14:paraId="06C38BD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sz w:val="18"/>
                      <w:szCs w:val="18"/>
                    </w:rPr>
                    <w:t>新水由易门冶炼厂原有管网与原选厂新水高位水池（500m</w:t>
                  </w:r>
                  <w:r>
                    <w:rPr>
                      <w:rFonts w:hint="eastAsia"/>
                      <w:sz w:val="18"/>
                      <w:szCs w:val="18"/>
                      <w:vertAlign w:val="superscript"/>
                      <w:lang w:val="en-US" w:eastAsia="zh-CN"/>
                    </w:rPr>
                    <w:t>3</w:t>
                  </w:r>
                  <w:r>
                    <w:rPr>
                      <w:rFonts w:hint="eastAsia"/>
                      <w:sz w:val="18"/>
                      <w:szCs w:val="18"/>
                    </w:rPr>
                    <w:t>）供应。设计充分利用现有磨浮车间的变频加压供水系统，以满足本项目生产用水量及水压需求。</w:t>
                  </w:r>
                </w:p>
              </w:tc>
            </w:tr>
            <w:tr w14:paraId="0B6FB6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465" w:type="pct"/>
                  <w:vMerge w:val="continue"/>
                  <w:tcBorders>
                    <w:tl2br w:val="nil"/>
                    <w:tr2bl w:val="nil"/>
                  </w:tcBorders>
                  <w:noWrap w:val="0"/>
                  <w:vAlign w:val="center"/>
                </w:tcPr>
                <w:p w14:paraId="293C4EC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396" w:type="pct"/>
                  <w:gridSpan w:val="3"/>
                  <w:vMerge w:val="continue"/>
                  <w:tcBorders>
                    <w:tl2br w:val="nil"/>
                    <w:tr2bl w:val="nil"/>
                  </w:tcBorders>
                  <w:noWrap w:val="0"/>
                  <w:vAlign w:val="center"/>
                </w:tcPr>
                <w:p w14:paraId="7E217942">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425" w:type="pct"/>
                  <w:tcBorders>
                    <w:tl2br w:val="nil"/>
                    <w:tr2bl w:val="nil"/>
                  </w:tcBorders>
                  <w:noWrap w:val="0"/>
                  <w:vAlign w:val="center"/>
                </w:tcPr>
                <w:p w14:paraId="6F0E3F94">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vertAlign w:val="baseline"/>
                      <w:lang w:val="en-US" w:eastAsia="zh-CN"/>
                    </w:rPr>
                    <w:t>生活用水</w:t>
                  </w:r>
                </w:p>
              </w:tc>
              <w:tc>
                <w:tcPr>
                  <w:tcW w:w="3712" w:type="pct"/>
                  <w:tcBorders>
                    <w:tl2br w:val="nil"/>
                    <w:tr2bl w:val="nil"/>
                  </w:tcBorders>
                  <w:noWrap w:val="0"/>
                  <w:vAlign w:val="center"/>
                </w:tcPr>
                <w:p w14:paraId="1F9290E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vertAlign w:val="baseline"/>
                      <w:lang w:val="en-US" w:eastAsia="zh-CN"/>
                    </w:rPr>
                    <w:t>生活水水源为自来水，依托公司现有生活给水管网，配备有全厂生活高位水池1座、容积500m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w:t>
                  </w:r>
                </w:p>
              </w:tc>
            </w:tr>
            <w:tr w14:paraId="13F109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continue"/>
                  <w:tcBorders>
                    <w:tl2br w:val="nil"/>
                    <w:tr2bl w:val="nil"/>
                  </w:tcBorders>
                  <w:noWrap w:val="0"/>
                  <w:vAlign w:val="center"/>
                </w:tcPr>
                <w:p w14:paraId="72B0E518">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822" w:type="pct"/>
                  <w:gridSpan w:val="4"/>
                  <w:tcBorders>
                    <w:tl2br w:val="nil"/>
                    <w:tr2bl w:val="nil"/>
                  </w:tcBorders>
                  <w:noWrap w:val="0"/>
                  <w:vAlign w:val="center"/>
                </w:tcPr>
                <w:p w14:paraId="7DFFFAC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排水</w:t>
                  </w:r>
                </w:p>
              </w:tc>
              <w:tc>
                <w:tcPr>
                  <w:tcW w:w="3712" w:type="pct"/>
                  <w:tcBorders>
                    <w:tl2br w:val="nil"/>
                    <w:tr2bl w:val="nil"/>
                  </w:tcBorders>
                  <w:noWrap w:val="0"/>
                  <w:vAlign w:val="center"/>
                </w:tcPr>
                <w:p w14:paraId="0686FC7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厂区内采用</w:t>
                  </w:r>
                  <w:r>
                    <w:rPr>
                      <w:rFonts w:hint="eastAsia" w:cs="Times New Roman"/>
                      <w:color w:val="auto"/>
                      <w:sz w:val="18"/>
                      <w:szCs w:val="18"/>
                      <w:highlight w:val="none"/>
                      <w:vertAlign w:val="baseline"/>
                      <w:lang w:val="en-US" w:eastAsia="zh-CN"/>
                    </w:rPr>
                    <w:t>“</w:t>
                  </w:r>
                  <w:r>
                    <w:rPr>
                      <w:rFonts w:hint="eastAsia" w:ascii="Times New Roman" w:hAnsi="Times New Roman" w:eastAsia="宋体" w:cs="Times New Roman"/>
                      <w:color w:val="auto"/>
                      <w:sz w:val="18"/>
                      <w:szCs w:val="18"/>
                      <w:highlight w:val="none"/>
                      <w:vertAlign w:val="baseline"/>
                      <w:lang w:val="en-US" w:eastAsia="zh-CN"/>
                    </w:rPr>
                    <w:t>雨污分流制</w:t>
                  </w:r>
                  <w:r>
                    <w:rPr>
                      <w:rFonts w:hint="eastAsia" w:cs="Times New Roman"/>
                      <w:color w:val="auto"/>
                      <w:sz w:val="18"/>
                      <w:szCs w:val="18"/>
                      <w:highlight w:val="none"/>
                      <w:vertAlign w:val="baseline"/>
                      <w:lang w:val="en-US" w:eastAsia="zh-CN"/>
                    </w:rPr>
                    <w:t>”</w:t>
                  </w:r>
                  <w:r>
                    <w:rPr>
                      <w:rFonts w:hint="eastAsia" w:ascii="Times New Roman" w:hAnsi="Times New Roman" w:eastAsia="宋体" w:cs="Times New Roman"/>
                      <w:color w:val="auto"/>
                      <w:sz w:val="18"/>
                      <w:szCs w:val="18"/>
                      <w:highlight w:val="none"/>
                      <w:vertAlign w:val="baseline"/>
                      <w:lang w:val="en-US" w:eastAsia="zh-CN"/>
                    </w:rPr>
                    <w:t>，截洪沟拦截雨季项目区周边雨水，公司全厂（含选厂）初期雨水收集后进入全厂有效容积为</w:t>
                  </w:r>
                  <w:r>
                    <w:rPr>
                      <w:rFonts w:hint="eastAsia" w:cs="Times New Roman"/>
                      <w:color w:val="auto"/>
                      <w:sz w:val="18"/>
                      <w:szCs w:val="18"/>
                      <w:highlight w:val="none"/>
                      <w:vertAlign w:val="baseline"/>
                      <w:lang w:val="en-US" w:eastAsia="zh-CN"/>
                    </w:rPr>
                    <w:t>4388</w:t>
                  </w:r>
                  <w:r>
                    <w:rPr>
                      <w:rFonts w:hint="eastAsia" w:ascii="Times New Roman" w:hAnsi="Times New Roman" w:eastAsia="宋体" w:cs="Times New Roman"/>
                      <w:color w:val="auto"/>
                      <w:sz w:val="18"/>
                      <w:szCs w:val="18"/>
                      <w:highlight w:val="none"/>
                      <w:vertAlign w:val="baseli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vertAlign w:val="baseline"/>
                      <w:lang w:val="en-US" w:eastAsia="zh-CN"/>
                    </w:rPr>
                    <w:t>的初期雨水收集池；选厂生产废水经絮凝、沉淀后循环使用不外排，</w:t>
                  </w:r>
                  <w:r>
                    <w:rPr>
                      <w:rFonts w:hint="eastAsia" w:ascii="Times New Roman" w:hAnsi="Times New Roman" w:eastAsia="宋体" w:cs="Times New Roman"/>
                      <w:color w:val="000000"/>
                      <w:kern w:val="0"/>
                      <w:sz w:val="18"/>
                      <w:szCs w:val="18"/>
                      <w:lang w:val="en-US" w:eastAsia="zh-CN" w:bidi="ar"/>
                    </w:rPr>
                    <w:t>生活污水收集后进入生活污水处理站（</w:t>
                  </w:r>
                  <w:r>
                    <w:rPr>
                      <w:rFonts w:hint="eastAsia" w:cs="Times New Roman"/>
                      <w:color w:val="000000"/>
                      <w:kern w:val="0"/>
                      <w:sz w:val="18"/>
                      <w:szCs w:val="18"/>
                      <w:lang w:val="en-US" w:eastAsia="zh-CN" w:bidi="ar"/>
                    </w:rPr>
                    <w:t>处理规模为</w:t>
                  </w:r>
                  <w:r>
                    <w:rPr>
                      <w:rFonts w:hint="eastAsia" w:ascii="Times New Roman" w:hAnsi="Times New Roman" w:eastAsia="宋体" w:cs="Times New Roman"/>
                      <w:color w:val="000000"/>
                      <w:kern w:val="0"/>
                      <w:sz w:val="18"/>
                      <w:szCs w:val="18"/>
                      <w:lang w:val="en-US" w:eastAsia="zh-CN" w:bidi="ar"/>
                    </w:rPr>
                    <w:t>200m</w:t>
                  </w:r>
                  <w:r>
                    <w:rPr>
                      <w:rFonts w:hint="eastAsia" w:ascii="Times New Roman" w:hAnsi="Times New Roman" w:eastAsia="宋体" w:cs="Times New Roman"/>
                      <w:color w:val="000000"/>
                      <w:kern w:val="0"/>
                      <w:sz w:val="18"/>
                      <w:szCs w:val="18"/>
                      <w:vertAlign w:val="superscript"/>
                      <w:lang w:val="en-US" w:eastAsia="zh-CN" w:bidi="ar"/>
                    </w:rPr>
                    <w:t>3</w:t>
                  </w:r>
                  <w:r>
                    <w:rPr>
                      <w:rFonts w:hint="eastAsia" w:ascii="Times New Roman" w:hAnsi="Times New Roman" w:eastAsia="宋体" w:cs="Times New Roman"/>
                      <w:color w:val="000000"/>
                      <w:kern w:val="0"/>
                      <w:sz w:val="18"/>
                      <w:szCs w:val="18"/>
                      <w:lang w:val="en-US" w:eastAsia="zh-CN" w:bidi="ar"/>
                    </w:rPr>
                    <w:t>/d），处理后回用于厂区绿化、道路洒水，不外排。</w:t>
                  </w:r>
                </w:p>
              </w:tc>
            </w:tr>
            <w:tr w14:paraId="439BF9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continue"/>
                  <w:tcBorders>
                    <w:tl2br w:val="nil"/>
                    <w:tr2bl w:val="nil"/>
                  </w:tcBorders>
                  <w:noWrap w:val="0"/>
                  <w:vAlign w:val="center"/>
                </w:tcPr>
                <w:p w14:paraId="43C8D07E">
                  <w:pPr>
                    <w:keepNext w:val="0"/>
                    <w:keepLines w:val="0"/>
                    <w:pageBreakBefore w:val="0"/>
                    <w:widowControl w:val="0"/>
                    <w:kinsoku/>
                    <w:wordWrap/>
                    <w:overflowPunct/>
                    <w:topLinePunct w:val="0"/>
                    <w:bidi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822" w:type="pct"/>
                  <w:gridSpan w:val="4"/>
                  <w:tcBorders>
                    <w:tl2br w:val="nil"/>
                    <w:tr2bl w:val="nil"/>
                  </w:tcBorders>
                  <w:noWrap w:val="0"/>
                  <w:vAlign w:val="center"/>
                </w:tcPr>
                <w:p w14:paraId="122579D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供电</w:t>
                  </w:r>
                </w:p>
              </w:tc>
              <w:tc>
                <w:tcPr>
                  <w:tcW w:w="3712" w:type="pct"/>
                  <w:tcBorders>
                    <w:tl2br w:val="nil"/>
                    <w:tr2bl w:val="nil"/>
                  </w:tcBorders>
                  <w:noWrap w:val="0"/>
                  <w:vAlign w:val="center"/>
                </w:tcPr>
                <w:p w14:paraId="28F49BD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高压电源分别从厂区内现有的1#总降压站（35kV/6kV）和2#总降压站（35kV/10kV）引接，本项目不新建上级电源设施。</w:t>
                  </w:r>
                </w:p>
              </w:tc>
            </w:tr>
            <w:tr w14:paraId="03BDEDC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restart"/>
                  <w:tcBorders>
                    <w:tl2br w:val="nil"/>
                    <w:tr2bl w:val="nil"/>
                  </w:tcBorders>
                  <w:noWrap w:val="0"/>
                  <w:vAlign w:val="center"/>
                </w:tcPr>
                <w:p w14:paraId="7D44D2C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环保工程</w:t>
                  </w:r>
                </w:p>
              </w:tc>
              <w:tc>
                <w:tcPr>
                  <w:tcW w:w="822" w:type="pct"/>
                  <w:gridSpan w:val="4"/>
                  <w:vMerge w:val="restart"/>
                  <w:tcBorders>
                    <w:tl2br w:val="nil"/>
                    <w:tr2bl w:val="nil"/>
                  </w:tcBorders>
                  <w:noWrap w:val="0"/>
                  <w:vAlign w:val="center"/>
                </w:tcPr>
                <w:p w14:paraId="54B5B50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废气</w:t>
                  </w:r>
                </w:p>
              </w:tc>
              <w:tc>
                <w:tcPr>
                  <w:tcW w:w="3712" w:type="pct"/>
                  <w:tcBorders>
                    <w:tl2br w:val="nil"/>
                    <w:tr2bl w:val="nil"/>
                  </w:tcBorders>
                  <w:noWrap w:val="0"/>
                  <w:vAlign w:val="center"/>
                </w:tcPr>
                <w:p w14:paraId="61822E1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原料堆场、铜冶炼渣仓、粉矿仓设置洒水喷淋装置，铜冶炼渣运输皮带头部设有漏斗罩，皮带落矿处</w:t>
                  </w:r>
                  <w:r>
                    <w:rPr>
                      <w:rFonts w:hint="eastAsia" w:cs="Times New Roman"/>
                      <w:color w:val="auto"/>
                      <w:sz w:val="18"/>
                      <w:szCs w:val="18"/>
                      <w:highlight w:val="none"/>
                      <w:vertAlign w:val="baseline"/>
                      <w:lang w:val="en-US" w:eastAsia="zh-CN"/>
                    </w:rPr>
                    <w:t>设置</w:t>
                  </w:r>
                  <w:r>
                    <w:rPr>
                      <w:rFonts w:hint="eastAsia" w:ascii="Times New Roman" w:hAnsi="Times New Roman" w:eastAsia="宋体" w:cs="Times New Roman"/>
                      <w:color w:val="auto"/>
                      <w:sz w:val="18"/>
                      <w:szCs w:val="18"/>
                      <w:highlight w:val="none"/>
                      <w:vertAlign w:val="baseline"/>
                      <w:lang w:val="en-US" w:eastAsia="zh-CN"/>
                    </w:rPr>
                    <w:t>防尘罩</w:t>
                  </w:r>
                  <w:r>
                    <w:rPr>
                      <w:rFonts w:hint="eastAsia" w:cs="Times New Roman"/>
                      <w:color w:val="auto"/>
                      <w:sz w:val="18"/>
                      <w:szCs w:val="18"/>
                      <w:highlight w:val="none"/>
                      <w:vertAlign w:val="baseline"/>
                      <w:lang w:val="en-US" w:eastAsia="zh-CN"/>
                    </w:rPr>
                    <w:t>。</w:t>
                  </w:r>
                </w:p>
              </w:tc>
            </w:tr>
            <w:tr w14:paraId="7298791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continue"/>
                  <w:tcBorders>
                    <w:tl2br w:val="nil"/>
                    <w:tr2bl w:val="nil"/>
                  </w:tcBorders>
                  <w:noWrap w:val="0"/>
                  <w:vAlign w:val="center"/>
                </w:tcPr>
                <w:p w14:paraId="68293D9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822" w:type="pct"/>
                  <w:gridSpan w:val="4"/>
                  <w:vMerge w:val="continue"/>
                  <w:tcBorders>
                    <w:tl2br w:val="nil"/>
                    <w:tr2bl w:val="nil"/>
                  </w:tcBorders>
                  <w:noWrap w:val="0"/>
                  <w:vAlign w:val="center"/>
                </w:tcPr>
                <w:p w14:paraId="1ED8287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18"/>
                      <w:szCs w:val="18"/>
                      <w:lang w:val="en-US" w:eastAsia="zh-CN"/>
                    </w:rPr>
                  </w:pPr>
                </w:p>
              </w:tc>
              <w:tc>
                <w:tcPr>
                  <w:tcW w:w="3712" w:type="pct"/>
                  <w:tcBorders>
                    <w:tl2br w:val="nil"/>
                    <w:tr2bl w:val="nil"/>
                  </w:tcBorders>
                  <w:noWrap w:val="0"/>
                  <w:vAlign w:val="center"/>
                </w:tcPr>
                <w:p w14:paraId="6F19E18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粗碎车间废气：振动给料机、颚式破碎机排矿点及皮带受料点的粉尘经集气罩收集，</w:t>
                  </w:r>
                  <w:r>
                    <w:rPr>
                      <w:rFonts w:hint="eastAsia" w:cs="Times New Roman"/>
                      <w:color w:val="auto"/>
                      <w:sz w:val="18"/>
                      <w:szCs w:val="18"/>
                      <w:highlight w:val="none"/>
                      <w:vertAlign w:val="baseline"/>
                      <w:lang w:val="en-US" w:eastAsia="zh-CN"/>
                    </w:rPr>
                    <w:t>布袋除尘器处理后，通过1根高17.5m，内径为0.8m的排气筒（DA004）排放（原有项目建成至2026年4月使用多管式湿式除尘器，2026年5月更换为布袋除尘器，目前已更换完成，本项目改建完成后依托布袋除尘器除尘）。</w:t>
                  </w:r>
                </w:p>
              </w:tc>
            </w:tr>
            <w:tr w14:paraId="635EA82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continue"/>
                  <w:tcBorders>
                    <w:tl2br w:val="nil"/>
                    <w:tr2bl w:val="nil"/>
                  </w:tcBorders>
                  <w:noWrap w:val="0"/>
                  <w:vAlign w:val="center"/>
                </w:tcPr>
                <w:p w14:paraId="3DF0959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822" w:type="pct"/>
                  <w:gridSpan w:val="4"/>
                  <w:vMerge w:val="continue"/>
                  <w:tcBorders>
                    <w:tl2br w:val="nil"/>
                    <w:tr2bl w:val="nil"/>
                  </w:tcBorders>
                  <w:noWrap w:val="0"/>
                  <w:vAlign w:val="center"/>
                </w:tcPr>
                <w:p w14:paraId="666FC3A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18"/>
                      <w:szCs w:val="18"/>
                      <w:lang w:val="en-US" w:eastAsia="zh-CN"/>
                    </w:rPr>
                  </w:pPr>
                </w:p>
              </w:tc>
              <w:tc>
                <w:tcPr>
                  <w:tcW w:w="3712" w:type="pct"/>
                  <w:tcBorders>
                    <w:tl2br w:val="nil"/>
                    <w:tr2bl w:val="nil"/>
                  </w:tcBorders>
                  <w:noWrap w:val="0"/>
                  <w:vAlign w:val="center"/>
                </w:tcPr>
                <w:p w14:paraId="4671F28B">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中细碎车间废气：移动胶带给料机、颚式破碎机、圆锥破碎机排矿点及皮带受料点的粉尘经集气罩收集，</w:t>
                  </w:r>
                  <w:r>
                    <w:rPr>
                      <w:rFonts w:hint="eastAsia" w:cs="Times New Roman"/>
                      <w:color w:val="auto"/>
                      <w:sz w:val="18"/>
                      <w:szCs w:val="18"/>
                      <w:highlight w:val="none"/>
                      <w:vertAlign w:val="baseline"/>
                      <w:lang w:val="en-US" w:eastAsia="zh-CN"/>
                    </w:rPr>
                    <w:t>布袋除尘器处理后，通过1根高17.5m，内径0.8m的排气筒（DA005）排放（原有项目建成至2026年4月使用多管式湿式除尘器，2026年5月更换为布袋除尘器，目前已更换完成，本项目改建完成后依托布袋除尘器除尘）。</w:t>
                  </w:r>
                </w:p>
              </w:tc>
            </w:tr>
            <w:tr w14:paraId="635875C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continue"/>
                  <w:tcBorders>
                    <w:tl2br w:val="nil"/>
                    <w:tr2bl w:val="nil"/>
                  </w:tcBorders>
                  <w:noWrap w:val="0"/>
                  <w:vAlign w:val="center"/>
                </w:tcPr>
                <w:p w14:paraId="1B2DAAE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822" w:type="pct"/>
                  <w:gridSpan w:val="4"/>
                  <w:vMerge w:val="continue"/>
                  <w:tcBorders>
                    <w:tl2br w:val="nil"/>
                    <w:tr2bl w:val="nil"/>
                  </w:tcBorders>
                  <w:noWrap w:val="0"/>
                  <w:vAlign w:val="center"/>
                </w:tcPr>
                <w:p w14:paraId="383CFBA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18"/>
                      <w:szCs w:val="18"/>
                      <w:lang w:val="en-US" w:eastAsia="zh-CN"/>
                    </w:rPr>
                  </w:pPr>
                </w:p>
              </w:tc>
              <w:tc>
                <w:tcPr>
                  <w:tcW w:w="3712" w:type="pct"/>
                  <w:tcBorders>
                    <w:tl2br w:val="nil"/>
                    <w:tr2bl w:val="nil"/>
                  </w:tcBorders>
                  <w:noWrap w:val="0"/>
                  <w:vAlign w:val="center"/>
                </w:tcPr>
                <w:p w14:paraId="4083313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筛分车间废气：粉矿仓中振动给料机、振动筛排矿点及皮带受料点粉尘经集气罩收集</w:t>
                  </w:r>
                  <w:r>
                    <w:rPr>
                      <w:rFonts w:hint="eastAsia" w:cs="Times New Roman"/>
                      <w:color w:val="auto"/>
                      <w:sz w:val="18"/>
                      <w:szCs w:val="18"/>
                      <w:highlight w:val="none"/>
                      <w:vertAlign w:val="baseline"/>
                      <w:lang w:val="en-US" w:eastAsia="zh-CN"/>
                    </w:rPr>
                    <w:t>，布袋除尘器处理后，通过1根高23.5m，内径1.0m的排气筒（DA006）排放（原有项目建成至2026年4月使用多管式湿式除尘器，2026年5月更换为布袋除尘器，目前已更换完成，本项目改建完成后依托布袋除尘器除尘）。</w:t>
                  </w:r>
                </w:p>
              </w:tc>
            </w:tr>
            <w:tr w14:paraId="7A7DE9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465" w:type="pct"/>
                  <w:vMerge w:val="continue"/>
                  <w:tcBorders>
                    <w:tl2br w:val="nil"/>
                    <w:tr2bl w:val="nil"/>
                  </w:tcBorders>
                  <w:noWrap w:val="0"/>
                  <w:vAlign w:val="center"/>
                </w:tcPr>
                <w:p w14:paraId="78CC1DB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305" w:type="pct"/>
                  <w:vMerge w:val="restart"/>
                  <w:tcBorders>
                    <w:tl2br w:val="nil"/>
                    <w:tr2bl w:val="nil"/>
                  </w:tcBorders>
                  <w:noWrap w:val="0"/>
                  <w:vAlign w:val="center"/>
                </w:tcPr>
                <w:p w14:paraId="56D6238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废水</w:t>
                  </w:r>
                </w:p>
              </w:tc>
              <w:tc>
                <w:tcPr>
                  <w:tcW w:w="516" w:type="pct"/>
                  <w:gridSpan w:val="3"/>
                  <w:tcBorders>
                    <w:tl2br w:val="nil"/>
                    <w:tr2bl w:val="nil"/>
                  </w:tcBorders>
                  <w:noWrap w:val="0"/>
                  <w:vAlign w:val="center"/>
                </w:tcPr>
                <w:p w14:paraId="75B691C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cs="Times New Roman"/>
                      <w:color w:val="auto"/>
                      <w:sz w:val="18"/>
                      <w:szCs w:val="18"/>
                      <w:highlight w:val="none"/>
                      <w:vertAlign w:val="baseline"/>
                      <w:lang w:val="en-US" w:eastAsia="zh-CN"/>
                    </w:rPr>
                    <w:t>生产废水</w:t>
                  </w:r>
                </w:p>
              </w:tc>
              <w:tc>
                <w:tcPr>
                  <w:tcW w:w="3712" w:type="pct"/>
                  <w:tcBorders>
                    <w:tl2br w:val="nil"/>
                    <w:tr2bl w:val="nil"/>
                  </w:tcBorders>
                  <w:noWrap w:val="0"/>
                  <w:vAlign w:val="center"/>
                </w:tcPr>
                <w:p w14:paraId="4962C42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sz w:val="18"/>
                      <w:szCs w:val="18"/>
                    </w:rPr>
                    <w:t>本项目铜精矿回水</w:t>
                  </w:r>
                  <w:r>
                    <w:rPr>
                      <w:rFonts w:hint="eastAsia"/>
                      <w:sz w:val="18"/>
                      <w:szCs w:val="18"/>
                      <w:lang w:val="en-US" w:eastAsia="zh-CN"/>
                    </w:rPr>
                    <w:t>和</w:t>
                  </w:r>
                  <w:r>
                    <w:rPr>
                      <w:rFonts w:hint="eastAsia"/>
                      <w:sz w:val="18"/>
                      <w:szCs w:val="18"/>
                    </w:rPr>
                    <w:t>铁精矿回水分别从Ø18m、Ø24m浓缩</w:t>
                  </w:r>
                  <w:r>
                    <w:rPr>
                      <w:rFonts w:hint="eastAsia"/>
                      <w:sz w:val="18"/>
                      <w:szCs w:val="18"/>
                      <w:lang w:val="en-US" w:eastAsia="zh-CN"/>
                    </w:rPr>
                    <w:t>池</w:t>
                  </w:r>
                  <w:r>
                    <w:rPr>
                      <w:rFonts w:hint="eastAsia"/>
                      <w:sz w:val="18"/>
                      <w:szCs w:val="18"/>
                    </w:rPr>
                    <w:t>溢流至</w:t>
                  </w:r>
                  <w:r>
                    <w:rPr>
                      <w:rFonts w:hint="eastAsia"/>
                      <w:sz w:val="18"/>
                      <w:szCs w:val="18"/>
                      <w:lang w:val="en-US" w:eastAsia="zh-CN"/>
                    </w:rPr>
                    <w:t>现有693</w:t>
                  </w:r>
                  <w:r>
                    <w:rPr>
                      <w:rFonts w:hint="eastAsia"/>
                      <w:sz w:val="18"/>
                      <w:szCs w:val="18"/>
                    </w:rPr>
                    <w:t>m</w:t>
                  </w:r>
                  <w:r>
                    <w:rPr>
                      <w:rFonts w:hint="eastAsia"/>
                      <w:sz w:val="18"/>
                      <w:szCs w:val="18"/>
                      <w:vertAlign w:val="superscript"/>
                    </w:rPr>
                    <w:t>3</w:t>
                  </w:r>
                  <w:r>
                    <w:rPr>
                      <w:rFonts w:hint="eastAsia"/>
                      <w:sz w:val="18"/>
                      <w:szCs w:val="18"/>
                    </w:rPr>
                    <w:t>厂前</w:t>
                  </w:r>
                  <w:r>
                    <w:rPr>
                      <w:rFonts w:hint="eastAsia"/>
                      <w:sz w:val="18"/>
                      <w:szCs w:val="18"/>
                      <w:lang w:val="en-US" w:eastAsia="zh-CN"/>
                    </w:rPr>
                    <w:t>精矿</w:t>
                  </w:r>
                  <w:r>
                    <w:rPr>
                      <w:rFonts w:hint="eastAsia"/>
                      <w:sz w:val="18"/>
                      <w:szCs w:val="18"/>
                    </w:rPr>
                    <w:t>回水池，再由厂前</w:t>
                  </w:r>
                  <w:r>
                    <w:rPr>
                      <w:rFonts w:hint="eastAsia"/>
                      <w:sz w:val="18"/>
                      <w:szCs w:val="18"/>
                      <w:lang w:val="en-US" w:eastAsia="zh-CN"/>
                    </w:rPr>
                    <w:t>现有</w:t>
                  </w:r>
                  <w:r>
                    <w:rPr>
                      <w:rFonts w:hint="eastAsia"/>
                      <w:sz w:val="18"/>
                      <w:szCs w:val="18"/>
                    </w:rPr>
                    <w:t>回水泵站内的回水泵打回</w:t>
                  </w:r>
                  <w:r>
                    <w:rPr>
                      <w:rFonts w:hint="eastAsia"/>
                      <w:sz w:val="18"/>
                      <w:szCs w:val="18"/>
                      <w:lang w:val="en-US" w:eastAsia="zh-CN"/>
                    </w:rPr>
                    <w:t>磨浮</w:t>
                  </w:r>
                  <w:r>
                    <w:rPr>
                      <w:rFonts w:hint="eastAsia"/>
                      <w:sz w:val="18"/>
                      <w:szCs w:val="18"/>
                    </w:rPr>
                    <w:t>车间</w:t>
                  </w:r>
                  <w:r>
                    <w:rPr>
                      <w:rFonts w:hint="eastAsia"/>
                      <w:sz w:val="18"/>
                      <w:szCs w:val="18"/>
                      <w:lang w:val="en-US" w:eastAsia="zh-CN"/>
                    </w:rPr>
                    <w:t>回用，不外排；</w:t>
                  </w:r>
                  <w:r>
                    <w:rPr>
                      <w:rFonts w:hint="eastAsia"/>
                      <w:sz w:val="18"/>
                      <w:szCs w:val="18"/>
                    </w:rPr>
                    <w:t>尾矿厂前回水从Ø30m浓缩</w:t>
                  </w:r>
                  <w:r>
                    <w:rPr>
                      <w:rFonts w:hint="eastAsia"/>
                      <w:sz w:val="18"/>
                      <w:szCs w:val="18"/>
                      <w:lang w:val="en-US" w:eastAsia="zh-CN"/>
                    </w:rPr>
                    <w:t>池</w:t>
                  </w:r>
                  <w:r>
                    <w:rPr>
                      <w:rFonts w:hint="eastAsia"/>
                      <w:sz w:val="18"/>
                      <w:szCs w:val="18"/>
                    </w:rPr>
                    <w:t>溢流</w:t>
                  </w:r>
                  <w:r>
                    <w:rPr>
                      <w:rFonts w:hint="eastAsia"/>
                      <w:sz w:val="18"/>
                      <w:szCs w:val="18"/>
                      <w:lang w:val="en-US" w:eastAsia="zh-CN"/>
                    </w:rPr>
                    <w:t>现有122.5m</w:t>
                  </w:r>
                  <w:r>
                    <w:rPr>
                      <w:rFonts w:hint="eastAsia"/>
                      <w:sz w:val="18"/>
                      <w:szCs w:val="18"/>
                      <w:vertAlign w:val="superscript"/>
                      <w:lang w:val="en-US" w:eastAsia="zh-CN"/>
                    </w:rPr>
                    <w:t>3</w:t>
                  </w:r>
                  <w:r>
                    <w:rPr>
                      <w:rFonts w:hint="eastAsia"/>
                      <w:sz w:val="18"/>
                      <w:szCs w:val="18"/>
                      <w:vertAlign w:val="baseline"/>
                      <w:lang w:val="en-US" w:eastAsia="zh-CN"/>
                    </w:rPr>
                    <w:t>的尾矿回水池，</w:t>
                  </w:r>
                  <w:r>
                    <w:rPr>
                      <w:rFonts w:hint="eastAsia"/>
                      <w:sz w:val="18"/>
                      <w:szCs w:val="18"/>
                    </w:rPr>
                    <w:t>再由厂前</w:t>
                  </w:r>
                  <w:r>
                    <w:rPr>
                      <w:rFonts w:hint="eastAsia"/>
                      <w:sz w:val="18"/>
                      <w:szCs w:val="18"/>
                      <w:lang w:val="en-US" w:eastAsia="zh-CN"/>
                    </w:rPr>
                    <w:t>现有</w:t>
                  </w:r>
                  <w:r>
                    <w:rPr>
                      <w:rFonts w:hint="eastAsia"/>
                      <w:sz w:val="18"/>
                      <w:szCs w:val="18"/>
                    </w:rPr>
                    <w:t>回水泵站内的回水泵打回</w:t>
                  </w:r>
                  <w:r>
                    <w:rPr>
                      <w:rFonts w:hint="eastAsia"/>
                      <w:sz w:val="18"/>
                      <w:szCs w:val="18"/>
                      <w:lang w:val="en-US" w:eastAsia="zh-CN"/>
                    </w:rPr>
                    <w:t>磨浮</w:t>
                  </w:r>
                  <w:r>
                    <w:rPr>
                      <w:rFonts w:hint="eastAsia"/>
                      <w:sz w:val="18"/>
                      <w:szCs w:val="18"/>
                    </w:rPr>
                    <w:t>车间</w:t>
                  </w:r>
                  <w:r>
                    <w:rPr>
                      <w:rFonts w:hint="eastAsia"/>
                      <w:sz w:val="18"/>
                      <w:szCs w:val="18"/>
                      <w:lang w:val="en-US" w:eastAsia="zh-CN"/>
                    </w:rPr>
                    <w:t>回用，不外排。</w:t>
                  </w:r>
                </w:p>
              </w:tc>
            </w:tr>
            <w:tr w14:paraId="18B0F9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465" w:type="pct"/>
                  <w:vMerge w:val="continue"/>
                  <w:tcBorders>
                    <w:tl2br w:val="nil"/>
                    <w:tr2bl w:val="nil"/>
                  </w:tcBorders>
                  <w:noWrap w:val="0"/>
                  <w:vAlign w:val="center"/>
                </w:tcPr>
                <w:p w14:paraId="67CE134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305" w:type="pct"/>
                  <w:vMerge w:val="continue"/>
                  <w:tcBorders>
                    <w:tl2br w:val="nil"/>
                    <w:tr2bl w:val="nil"/>
                  </w:tcBorders>
                  <w:noWrap w:val="0"/>
                  <w:vAlign w:val="center"/>
                </w:tcPr>
                <w:p w14:paraId="5DAC4E3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516" w:type="pct"/>
                  <w:gridSpan w:val="3"/>
                  <w:tcBorders>
                    <w:tl2br w:val="nil"/>
                    <w:tr2bl w:val="nil"/>
                  </w:tcBorders>
                  <w:noWrap w:val="0"/>
                  <w:vAlign w:val="center"/>
                </w:tcPr>
                <w:p w14:paraId="12DF3576">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生活污水</w:t>
                  </w:r>
                </w:p>
              </w:tc>
              <w:tc>
                <w:tcPr>
                  <w:tcW w:w="3712" w:type="pct"/>
                  <w:tcBorders>
                    <w:tl2br w:val="nil"/>
                    <w:tr2bl w:val="nil"/>
                  </w:tcBorders>
                  <w:noWrap w:val="0"/>
                  <w:vAlign w:val="center"/>
                </w:tcPr>
                <w:p w14:paraId="7951129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本项目不新增劳动定员，选厂职工生活废水依托公司冶炼厂已建的处理规模为200m</w:t>
                  </w:r>
                  <w:r>
                    <w:rPr>
                      <w:rFonts w:hint="eastAsia" w:ascii="Times New Roman" w:hAnsi="Times New Roman" w:eastAsia="宋体" w:cs="Times New Roman"/>
                      <w:b w:val="0"/>
                      <w:bCs w:val="0"/>
                      <w:color w:val="auto"/>
                      <w:sz w:val="18"/>
                      <w:szCs w:val="18"/>
                      <w:vertAlign w:val="superscript"/>
                      <w:lang w:val="en-US" w:eastAsia="zh-CN"/>
                    </w:rPr>
                    <w:t>3</w:t>
                  </w:r>
                  <w:r>
                    <w:rPr>
                      <w:rFonts w:hint="eastAsia" w:ascii="Times New Roman" w:hAnsi="Times New Roman" w:eastAsia="宋体" w:cs="Times New Roman"/>
                      <w:b w:val="0"/>
                      <w:bCs w:val="0"/>
                      <w:color w:val="auto"/>
                      <w:sz w:val="18"/>
                      <w:szCs w:val="18"/>
                      <w:lang w:val="en-US" w:eastAsia="zh-CN"/>
                    </w:rPr>
                    <w:t>/d、处理工艺为“A/O+接触氧化+消毒”的生活污水处理设施，处理达到《城市污水再生利用 城市杂用水水质》（GB/T18920-2020）中“城市绿化”、“道路清扫、消防”水质标准后回用于绿化和道路清扫等，不外排。</w:t>
                  </w:r>
                </w:p>
              </w:tc>
            </w:tr>
            <w:tr w14:paraId="6E36BF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continue"/>
                  <w:tcBorders>
                    <w:tl2br w:val="nil"/>
                    <w:tr2bl w:val="nil"/>
                  </w:tcBorders>
                  <w:noWrap w:val="0"/>
                  <w:vAlign w:val="center"/>
                </w:tcPr>
                <w:p w14:paraId="346F861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305" w:type="pct"/>
                  <w:vMerge w:val="continue"/>
                  <w:tcBorders>
                    <w:tl2br w:val="nil"/>
                    <w:tr2bl w:val="nil"/>
                  </w:tcBorders>
                  <w:noWrap w:val="0"/>
                  <w:vAlign w:val="center"/>
                </w:tcPr>
                <w:p w14:paraId="04B5C0BD">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lang w:val="en-US" w:eastAsia="zh-CN"/>
                    </w:rPr>
                  </w:pPr>
                </w:p>
              </w:tc>
              <w:tc>
                <w:tcPr>
                  <w:tcW w:w="516" w:type="pct"/>
                  <w:gridSpan w:val="3"/>
                  <w:tcBorders>
                    <w:tl2br w:val="nil"/>
                    <w:tr2bl w:val="nil"/>
                  </w:tcBorders>
                  <w:noWrap w:val="0"/>
                  <w:vAlign w:val="center"/>
                </w:tcPr>
                <w:p w14:paraId="32BC27B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初期雨水</w:t>
                  </w:r>
                </w:p>
              </w:tc>
              <w:tc>
                <w:tcPr>
                  <w:tcW w:w="3712" w:type="pct"/>
                  <w:tcBorders>
                    <w:tl2br w:val="nil"/>
                    <w:tr2bl w:val="nil"/>
                  </w:tcBorders>
                  <w:noWrap w:val="0"/>
                  <w:vAlign w:val="center"/>
                </w:tcPr>
                <w:p w14:paraId="75EB169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厂区内采用“雨污分流”制，设置有截洪沟拦截雨季项目区周边雨水，厂区内初期雨水收集后进入全厂有效容积为</w:t>
                  </w:r>
                  <w:r>
                    <w:rPr>
                      <w:rFonts w:hint="eastAsia" w:cs="Times New Roman"/>
                      <w:b w:val="0"/>
                      <w:bCs w:val="0"/>
                      <w:color w:val="auto"/>
                      <w:sz w:val="18"/>
                      <w:szCs w:val="18"/>
                      <w:lang w:val="en-US" w:eastAsia="zh-CN"/>
                    </w:rPr>
                    <w:t>4388</w:t>
                  </w:r>
                  <w:r>
                    <w:rPr>
                      <w:rFonts w:hint="eastAsia" w:ascii="Times New Roman" w:hAnsi="Times New Roman" w:eastAsia="宋体" w:cs="Times New Roman"/>
                      <w:b w:val="0"/>
                      <w:bCs w:val="0"/>
                      <w:color w:val="auto"/>
                      <w:sz w:val="18"/>
                      <w:szCs w:val="18"/>
                      <w:lang w:val="en-US" w:eastAsia="zh-CN"/>
                    </w:rPr>
                    <w:t>m</w:t>
                  </w:r>
                  <w:r>
                    <w:rPr>
                      <w:rFonts w:hint="eastAsia" w:ascii="Times New Roman" w:hAnsi="Times New Roman" w:eastAsia="宋体" w:cs="Times New Roman"/>
                      <w:b w:val="0"/>
                      <w:bCs w:val="0"/>
                      <w:color w:val="auto"/>
                      <w:sz w:val="18"/>
                      <w:szCs w:val="18"/>
                      <w:vertAlign w:val="superscript"/>
                      <w:lang w:val="en-US" w:eastAsia="zh-CN"/>
                    </w:rPr>
                    <w:t>3</w:t>
                  </w:r>
                  <w:r>
                    <w:rPr>
                      <w:rFonts w:hint="eastAsia" w:ascii="Times New Roman" w:hAnsi="Times New Roman" w:eastAsia="宋体" w:cs="Times New Roman"/>
                      <w:b w:val="0"/>
                      <w:bCs w:val="0"/>
                      <w:color w:val="auto"/>
                      <w:sz w:val="18"/>
                      <w:szCs w:val="18"/>
                      <w:lang w:val="en-US" w:eastAsia="zh-CN"/>
                    </w:rPr>
                    <w:t>的初期雨水收集池，</w:t>
                  </w:r>
                  <w:r>
                    <w:rPr>
                      <w:rFonts w:hint="eastAsia" w:cs="Times New Roman"/>
                      <w:b w:val="0"/>
                      <w:bCs w:val="0"/>
                      <w:color w:val="auto"/>
                      <w:sz w:val="18"/>
                      <w:szCs w:val="18"/>
                      <w:lang w:val="en-US" w:eastAsia="zh-CN"/>
                    </w:rPr>
                    <w:t>处理后回用，不外排。</w:t>
                  </w:r>
                </w:p>
              </w:tc>
            </w:tr>
            <w:tr w14:paraId="0943A17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continue"/>
                  <w:tcBorders>
                    <w:tl2br w:val="nil"/>
                    <w:tr2bl w:val="nil"/>
                  </w:tcBorders>
                  <w:noWrap w:val="0"/>
                  <w:vAlign w:val="center"/>
                </w:tcPr>
                <w:p w14:paraId="4A316E2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305" w:type="pct"/>
                  <w:vMerge w:val="continue"/>
                  <w:tcBorders>
                    <w:tl2br w:val="nil"/>
                    <w:tr2bl w:val="nil"/>
                  </w:tcBorders>
                  <w:noWrap w:val="0"/>
                  <w:vAlign w:val="center"/>
                </w:tcPr>
                <w:p w14:paraId="4440B57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lang w:val="en-US" w:eastAsia="zh-CN"/>
                    </w:rPr>
                  </w:pPr>
                </w:p>
              </w:tc>
              <w:tc>
                <w:tcPr>
                  <w:tcW w:w="516" w:type="pct"/>
                  <w:gridSpan w:val="3"/>
                  <w:tcBorders>
                    <w:tl2br w:val="nil"/>
                    <w:tr2bl w:val="nil"/>
                  </w:tcBorders>
                  <w:noWrap w:val="0"/>
                  <w:vAlign w:val="center"/>
                </w:tcPr>
                <w:p w14:paraId="1B1CD78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车辆清洗废水</w:t>
                  </w:r>
                </w:p>
              </w:tc>
              <w:tc>
                <w:tcPr>
                  <w:tcW w:w="3712" w:type="pct"/>
                  <w:tcBorders>
                    <w:tl2br w:val="nil"/>
                    <w:tr2bl w:val="nil"/>
                  </w:tcBorders>
                  <w:noWrap w:val="0"/>
                  <w:vAlign w:val="center"/>
                </w:tcPr>
                <w:p w14:paraId="0A5DED3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在尾矿仓旁设置1个车辆清洗点，清洗废水直接用潜水泵抽回脱水工艺，如潜污泵损坏，废水收集到容积为600m</w:t>
                  </w:r>
                  <w:r>
                    <w:rPr>
                      <w:rFonts w:hint="eastAsia" w:cs="Times New Roman"/>
                      <w:b w:val="0"/>
                      <w:bCs w:val="0"/>
                      <w:color w:val="auto"/>
                      <w:sz w:val="18"/>
                      <w:szCs w:val="18"/>
                      <w:vertAlign w:val="superscript"/>
                      <w:lang w:val="en-US" w:eastAsia="zh-CN"/>
                    </w:rPr>
                    <w:t>3</w:t>
                  </w:r>
                  <w:r>
                    <w:rPr>
                      <w:rFonts w:hint="eastAsia" w:cs="Times New Roman"/>
                      <w:b w:val="0"/>
                      <w:bCs w:val="0"/>
                      <w:color w:val="auto"/>
                      <w:sz w:val="18"/>
                      <w:szCs w:val="18"/>
                      <w:vertAlign w:val="baseline"/>
                      <w:lang w:val="en-US" w:eastAsia="zh-CN"/>
                    </w:rPr>
                    <w:t>的</w:t>
                  </w:r>
                  <w:r>
                    <w:rPr>
                      <w:rFonts w:hint="eastAsia" w:cs="Times New Roman"/>
                      <w:b w:val="0"/>
                      <w:bCs w:val="0"/>
                      <w:color w:val="auto"/>
                      <w:sz w:val="18"/>
                      <w:szCs w:val="18"/>
                      <w:lang w:val="en-US" w:eastAsia="zh-CN"/>
                    </w:rPr>
                    <w:t>缓冷循环水池，</w:t>
                  </w:r>
                  <w:r>
                    <w:rPr>
                      <w:rFonts w:hint="default" w:ascii="Times New Roman" w:hAnsi="Times New Roman" w:cs="Times New Roman"/>
                      <w:color w:val="auto"/>
                      <w:kern w:val="0"/>
                      <w:sz w:val="18"/>
                      <w:szCs w:val="18"/>
                      <w:highlight w:val="none"/>
                    </w:rPr>
                    <w:t>车辆清洗废水</w:t>
                  </w:r>
                  <w:r>
                    <w:rPr>
                      <w:rFonts w:hint="default" w:ascii="Times New Roman" w:hAnsi="Times New Roman" w:cs="Times New Roman"/>
                      <w:color w:val="auto"/>
                      <w:kern w:val="0"/>
                      <w:sz w:val="18"/>
                      <w:szCs w:val="18"/>
                      <w:highlight w:val="none"/>
                      <w:lang w:val="en-US" w:eastAsia="zh-CN"/>
                    </w:rPr>
                    <w:t>经</w:t>
                  </w:r>
                  <w:r>
                    <w:rPr>
                      <w:rFonts w:hint="eastAsia" w:ascii="Times New Roman" w:hAnsi="Times New Roman" w:cs="Times New Roman"/>
                      <w:color w:val="auto"/>
                      <w:kern w:val="0"/>
                      <w:sz w:val="18"/>
                      <w:szCs w:val="18"/>
                      <w:highlight w:val="none"/>
                      <w:lang w:val="en-US" w:eastAsia="zh-CN"/>
                    </w:rPr>
                    <w:t>收集</w:t>
                  </w:r>
                  <w:r>
                    <w:rPr>
                      <w:rFonts w:hint="default" w:ascii="Times New Roman" w:hAnsi="Times New Roman" w:cs="Times New Roman"/>
                      <w:color w:val="auto"/>
                      <w:sz w:val="18"/>
                      <w:szCs w:val="18"/>
                      <w:highlight w:val="none"/>
                    </w:rPr>
                    <w:t>沉淀</w:t>
                  </w:r>
                  <w:r>
                    <w:rPr>
                      <w:rFonts w:hint="default" w:ascii="Times New Roman" w:hAnsi="Times New Roman" w:cs="Times New Roman"/>
                      <w:color w:val="auto"/>
                      <w:kern w:val="0"/>
                      <w:sz w:val="18"/>
                      <w:szCs w:val="18"/>
                      <w:highlight w:val="none"/>
                      <w:lang w:val="en-US" w:eastAsia="zh-CN"/>
                    </w:rPr>
                    <w:t>处理</w:t>
                  </w:r>
                  <w:r>
                    <w:rPr>
                      <w:rFonts w:hint="default" w:ascii="Times New Roman" w:hAnsi="Times New Roman" w:cs="Times New Roman"/>
                      <w:color w:val="auto"/>
                      <w:kern w:val="0"/>
                      <w:sz w:val="18"/>
                      <w:szCs w:val="18"/>
                      <w:highlight w:val="none"/>
                    </w:rPr>
                    <w:t>后</w:t>
                  </w:r>
                  <w:r>
                    <w:rPr>
                      <w:rFonts w:hint="default" w:ascii="Times New Roman" w:hAnsi="Times New Roman" w:cs="Times New Roman"/>
                      <w:color w:val="auto"/>
                      <w:sz w:val="18"/>
                      <w:szCs w:val="18"/>
                      <w:highlight w:val="none"/>
                    </w:rPr>
                    <w:t>回用于车辆冲洗，不外排。</w:t>
                  </w:r>
                </w:p>
              </w:tc>
            </w:tr>
            <w:tr w14:paraId="4DCB88F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465" w:type="pct"/>
                  <w:vMerge w:val="continue"/>
                  <w:tcBorders>
                    <w:tl2br w:val="nil"/>
                    <w:tr2bl w:val="nil"/>
                  </w:tcBorders>
                  <w:noWrap w:val="0"/>
                  <w:vAlign w:val="center"/>
                </w:tcPr>
                <w:p w14:paraId="435123A4">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311" w:type="pct"/>
                  <w:gridSpan w:val="2"/>
                  <w:vMerge w:val="restart"/>
                  <w:tcBorders>
                    <w:tl2br w:val="nil"/>
                    <w:tr2bl w:val="nil"/>
                  </w:tcBorders>
                  <w:noWrap w:val="0"/>
                  <w:vAlign w:val="center"/>
                </w:tcPr>
                <w:p w14:paraId="5044B2C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固废</w:t>
                  </w:r>
                </w:p>
              </w:tc>
              <w:tc>
                <w:tcPr>
                  <w:tcW w:w="510" w:type="pct"/>
                  <w:gridSpan w:val="2"/>
                  <w:tcBorders>
                    <w:tl2br w:val="nil"/>
                    <w:tr2bl w:val="nil"/>
                  </w:tcBorders>
                  <w:noWrap w:val="0"/>
                  <w:vAlign w:val="center"/>
                </w:tcPr>
                <w:p w14:paraId="7F523B6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尾矿渣</w:t>
                  </w:r>
                </w:p>
              </w:tc>
              <w:tc>
                <w:tcPr>
                  <w:tcW w:w="3712" w:type="pct"/>
                  <w:tcBorders>
                    <w:tl2br w:val="nil"/>
                    <w:tr2bl w:val="nil"/>
                  </w:tcBorders>
                  <w:noWrap w:val="0"/>
                  <w:vAlign w:val="center"/>
                </w:tcPr>
                <w:p w14:paraId="0AC752FD">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依托已建的1座有效容积为430m</w:t>
                  </w:r>
                  <w:r>
                    <w:rPr>
                      <w:rFonts w:hint="eastAsia" w:ascii="Times New Roman" w:hAnsi="Times New Roman" w:eastAsia="宋体" w:cs="Times New Roman"/>
                      <w:b w:val="0"/>
                      <w:bCs w:val="0"/>
                      <w:color w:val="auto"/>
                      <w:sz w:val="18"/>
                      <w:szCs w:val="18"/>
                      <w:vertAlign w:val="superscript"/>
                      <w:lang w:val="en-US" w:eastAsia="zh-CN"/>
                    </w:rPr>
                    <w:t>3</w:t>
                  </w:r>
                  <w:r>
                    <w:rPr>
                      <w:rFonts w:hint="eastAsia" w:ascii="Times New Roman" w:hAnsi="Times New Roman" w:eastAsia="宋体" w:cs="Times New Roman"/>
                      <w:b w:val="0"/>
                      <w:bCs w:val="0"/>
                      <w:color w:val="auto"/>
                      <w:sz w:val="18"/>
                      <w:szCs w:val="18"/>
                      <w:lang w:val="en-US" w:eastAsia="zh-CN"/>
                    </w:rPr>
                    <w:t>的</w:t>
                  </w:r>
                  <w:r>
                    <w:rPr>
                      <w:rFonts w:hint="eastAsia" w:cs="Times New Roman"/>
                      <w:b w:val="0"/>
                      <w:bCs w:val="0"/>
                      <w:color w:val="auto"/>
                      <w:sz w:val="18"/>
                      <w:szCs w:val="18"/>
                      <w:lang w:val="en-US" w:eastAsia="zh-CN"/>
                    </w:rPr>
                    <w:t>尾矿仓</w:t>
                  </w:r>
                  <w:r>
                    <w:rPr>
                      <w:rFonts w:hint="eastAsia" w:ascii="Times New Roman" w:hAnsi="Times New Roman" w:eastAsia="宋体" w:cs="Times New Roman"/>
                      <w:b w:val="0"/>
                      <w:bCs w:val="0"/>
                      <w:color w:val="auto"/>
                      <w:sz w:val="18"/>
                      <w:szCs w:val="18"/>
                      <w:lang w:val="en-US" w:eastAsia="zh-CN"/>
                    </w:rPr>
                    <w:t>和</w:t>
                  </w:r>
                  <w:r>
                    <w:rPr>
                      <w:rFonts w:hint="eastAsia" w:cs="Times New Roman"/>
                      <w:b w:val="0"/>
                      <w:bCs w:val="0"/>
                      <w:color w:val="auto"/>
                      <w:sz w:val="18"/>
                      <w:szCs w:val="18"/>
                      <w:lang w:val="en-US" w:eastAsia="zh-CN"/>
                    </w:rPr>
                    <w:t>1座</w:t>
                  </w:r>
                  <w:r>
                    <w:rPr>
                      <w:rFonts w:hint="eastAsia" w:ascii="Times New Roman" w:hAnsi="Times New Roman" w:eastAsia="宋体" w:cs="Times New Roman"/>
                      <w:b w:val="0"/>
                      <w:bCs w:val="0"/>
                      <w:color w:val="auto"/>
                      <w:sz w:val="18"/>
                      <w:szCs w:val="18"/>
                      <w:lang w:val="en-US" w:eastAsia="zh-CN"/>
                    </w:rPr>
                    <w:t>有效容积为</w:t>
                  </w:r>
                  <w:r>
                    <w:rPr>
                      <w:rFonts w:hint="eastAsia" w:cs="Times New Roman"/>
                      <w:b w:val="0"/>
                      <w:bCs w:val="0"/>
                      <w:color w:val="auto"/>
                      <w:sz w:val="18"/>
                      <w:szCs w:val="18"/>
                      <w:lang w:val="en-US" w:eastAsia="zh-CN"/>
                    </w:rPr>
                    <w:t>2400</w:t>
                  </w:r>
                  <w:r>
                    <w:rPr>
                      <w:rFonts w:hint="eastAsia" w:ascii="Times New Roman" w:hAnsi="Times New Roman" w:eastAsia="宋体" w:cs="Times New Roman"/>
                      <w:b w:val="0"/>
                      <w:bCs w:val="0"/>
                      <w:color w:val="auto"/>
                      <w:sz w:val="18"/>
                      <w:szCs w:val="18"/>
                      <w:lang w:val="en-US" w:eastAsia="zh-CN"/>
                    </w:rPr>
                    <w:t>m</w:t>
                  </w:r>
                  <w:r>
                    <w:rPr>
                      <w:rFonts w:hint="eastAsia" w:ascii="Times New Roman" w:hAnsi="Times New Roman" w:eastAsia="宋体" w:cs="Times New Roman"/>
                      <w:b w:val="0"/>
                      <w:bCs w:val="0"/>
                      <w:color w:val="auto"/>
                      <w:sz w:val="18"/>
                      <w:szCs w:val="18"/>
                      <w:vertAlign w:val="superscript"/>
                      <w:lang w:val="en-US" w:eastAsia="zh-CN"/>
                    </w:rPr>
                    <w:t>3</w:t>
                  </w:r>
                  <w:r>
                    <w:rPr>
                      <w:rFonts w:hint="eastAsia" w:cs="Times New Roman"/>
                      <w:b w:val="0"/>
                      <w:bCs w:val="0"/>
                      <w:color w:val="auto"/>
                      <w:sz w:val="18"/>
                      <w:szCs w:val="18"/>
                      <w:vertAlign w:val="baseline"/>
                      <w:lang w:val="en-US" w:eastAsia="zh-CN"/>
                    </w:rPr>
                    <w:t>的尾矿仓</w:t>
                  </w:r>
                  <w:r>
                    <w:rPr>
                      <w:rFonts w:hint="eastAsia" w:ascii="Times New Roman" w:hAnsi="Times New Roman" w:eastAsia="宋体" w:cs="Times New Roman"/>
                      <w:b w:val="0"/>
                      <w:bCs w:val="0"/>
                      <w:color w:val="auto"/>
                      <w:sz w:val="18"/>
                      <w:szCs w:val="18"/>
                      <w:lang w:val="en-US" w:eastAsia="zh-CN"/>
                    </w:rPr>
                    <w:t>，设计储存量分</w:t>
                  </w:r>
                  <w:r>
                    <w:rPr>
                      <w:rFonts w:hint="eastAsia" w:cs="Times New Roman"/>
                      <w:b w:val="0"/>
                      <w:bCs w:val="0"/>
                      <w:color w:val="auto"/>
                      <w:sz w:val="18"/>
                      <w:szCs w:val="18"/>
                      <w:lang w:val="en-US" w:eastAsia="zh-CN"/>
                    </w:rPr>
                    <w:t>别为</w:t>
                  </w:r>
                  <w:r>
                    <w:rPr>
                      <w:rFonts w:hint="eastAsia" w:ascii="Times New Roman" w:hAnsi="Times New Roman" w:eastAsia="宋体" w:cs="Times New Roman"/>
                      <w:b w:val="0"/>
                      <w:bCs w:val="0"/>
                      <w:color w:val="auto"/>
                      <w:sz w:val="18"/>
                      <w:szCs w:val="18"/>
                      <w:lang w:val="en-US" w:eastAsia="zh-CN"/>
                    </w:rPr>
                    <w:t>1010.50t和</w:t>
                  </w:r>
                  <w:r>
                    <w:rPr>
                      <w:rFonts w:hint="eastAsia" w:cs="Times New Roman"/>
                      <w:b w:val="0"/>
                      <w:bCs w:val="0"/>
                      <w:color w:val="auto"/>
                      <w:sz w:val="18"/>
                      <w:szCs w:val="18"/>
                      <w:lang w:val="en-US" w:eastAsia="zh-CN"/>
                    </w:rPr>
                    <w:t>9960</w:t>
                  </w:r>
                  <w:r>
                    <w:rPr>
                      <w:rFonts w:hint="eastAsia" w:ascii="Times New Roman" w:hAnsi="Times New Roman" w:eastAsia="宋体" w:cs="Times New Roman"/>
                      <w:b w:val="0"/>
                      <w:bCs w:val="0"/>
                      <w:color w:val="auto"/>
                      <w:sz w:val="18"/>
                      <w:szCs w:val="18"/>
                      <w:lang w:val="en-US" w:eastAsia="zh-CN"/>
                    </w:rPr>
                    <w:t>t，总暂存量达到</w:t>
                  </w:r>
                  <w:r>
                    <w:rPr>
                      <w:rFonts w:hint="eastAsia" w:cs="Times New Roman"/>
                      <w:b w:val="0"/>
                      <w:bCs w:val="0"/>
                      <w:color w:val="auto"/>
                      <w:sz w:val="18"/>
                      <w:szCs w:val="18"/>
                      <w:lang w:val="en-US" w:eastAsia="zh-CN"/>
                    </w:rPr>
                    <w:t>10970.5</w:t>
                  </w:r>
                  <w:r>
                    <w:rPr>
                      <w:rFonts w:hint="default" w:ascii="Times New Roman" w:hAnsi="Times New Roman" w:eastAsia="宋体" w:cs="Times New Roman"/>
                      <w:b w:val="0"/>
                      <w:bCs w:val="0"/>
                      <w:color w:val="auto"/>
                      <w:sz w:val="18"/>
                      <w:szCs w:val="18"/>
                      <w:lang w:val="en-US" w:eastAsia="zh-CN"/>
                    </w:rPr>
                    <w:t>t</w:t>
                  </w:r>
                  <w:r>
                    <w:rPr>
                      <w:rFonts w:hint="eastAsia" w:ascii="Times New Roman" w:hAnsi="Times New Roman" w:eastAsia="宋体" w:cs="Times New Roman"/>
                      <w:b w:val="0"/>
                      <w:bCs w:val="0"/>
                      <w:color w:val="auto"/>
                      <w:sz w:val="18"/>
                      <w:szCs w:val="18"/>
                      <w:lang w:val="en-US" w:eastAsia="zh-CN"/>
                    </w:rPr>
                    <w:t>，尾矿仓结构为网架钢结构，屋面采用白色玻璃钢瓦屋面</w:t>
                  </w:r>
                  <w:r>
                    <w:rPr>
                      <w:rFonts w:hint="eastAsia" w:cs="Times New Roman"/>
                      <w:b w:val="0"/>
                      <w:bCs w:val="0"/>
                      <w:color w:val="auto"/>
                      <w:sz w:val="18"/>
                      <w:szCs w:val="18"/>
                      <w:lang w:val="en-US" w:eastAsia="zh-CN"/>
                    </w:rPr>
                    <w:t>，</w:t>
                  </w:r>
                  <w:r>
                    <w:rPr>
                      <w:rFonts w:hint="eastAsia" w:ascii="Times New Roman" w:hAnsi="Times New Roman" w:eastAsia="宋体" w:cs="Times New Roman"/>
                      <w:b w:val="0"/>
                      <w:bCs w:val="0"/>
                      <w:color w:val="auto"/>
                      <w:sz w:val="18"/>
                      <w:szCs w:val="18"/>
                      <w:lang w:val="en-US" w:eastAsia="zh-CN"/>
                    </w:rPr>
                    <w:t>地面采用加厚</w:t>
                  </w:r>
                  <w:r>
                    <w:rPr>
                      <w:rFonts w:hint="eastAsia" w:cs="Times New Roman"/>
                      <w:b w:val="0"/>
                      <w:bCs w:val="0"/>
                      <w:color w:val="auto"/>
                      <w:sz w:val="18"/>
                      <w:szCs w:val="18"/>
                      <w:lang w:val="en-US" w:eastAsia="zh-CN"/>
                    </w:rPr>
                    <w:t>混凝土</w:t>
                  </w:r>
                  <w:r>
                    <w:rPr>
                      <w:rFonts w:hint="eastAsia" w:ascii="Times New Roman" w:hAnsi="Times New Roman" w:eastAsia="宋体" w:cs="Times New Roman"/>
                      <w:b w:val="0"/>
                      <w:bCs w:val="0"/>
                      <w:color w:val="auto"/>
                      <w:sz w:val="18"/>
                      <w:szCs w:val="18"/>
                      <w:lang w:val="en-US" w:eastAsia="zh-CN"/>
                    </w:rPr>
                    <w:t>钢筋保护层进行防渗处理、不会产生淋浴水，尾矿渣外售用于水泥厂原料等综合利用。</w:t>
                  </w:r>
                </w:p>
              </w:tc>
            </w:tr>
            <w:tr w14:paraId="60BE615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14:paraId="0320B2D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311" w:type="pct"/>
                  <w:gridSpan w:val="2"/>
                  <w:vMerge w:val="continue"/>
                  <w:tcBorders>
                    <w:tl2br w:val="nil"/>
                    <w:tr2bl w:val="nil"/>
                  </w:tcBorders>
                  <w:noWrap w:val="0"/>
                  <w:vAlign w:val="center"/>
                </w:tcPr>
                <w:p w14:paraId="6CB5DB0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lang w:val="en-US" w:eastAsia="zh-CN"/>
                    </w:rPr>
                  </w:pPr>
                </w:p>
              </w:tc>
              <w:tc>
                <w:tcPr>
                  <w:tcW w:w="510" w:type="pct"/>
                  <w:gridSpan w:val="2"/>
                  <w:tcBorders>
                    <w:tl2br w:val="nil"/>
                    <w:tr2bl w:val="nil"/>
                  </w:tcBorders>
                  <w:noWrap w:val="0"/>
                  <w:vAlign w:val="center"/>
                </w:tcPr>
                <w:p w14:paraId="14BADB8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生活垃圾</w:t>
                  </w:r>
                </w:p>
              </w:tc>
              <w:tc>
                <w:tcPr>
                  <w:tcW w:w="3712" w:type="pct"/>
                  <w:tcBorders>
                    <w:tl2br w:val="nil"/>
                    <w:tr2bl w:val="nil"/>
                  </w:tcBorders>
                  <w:noWrap w:val="0"/>
                  <w:vAlign w:val="center"/>
                </w:tcPr>
                <w:p w14:paraId="0106B27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本项目不新增劳动定员，选厂职工生活垃圾依托公司冶炼厂已建的生活垃圾收集池</w:t>
                  </w:r>
                  <w:r>
                    <w:rPr>
                      <w:rFonts w:hint="eastAsia" w:cs="Times New Roman"/>
                      <w:b w:val="0"/>
                      <w:bCs w:val="0"/>
                      <w:color w:val="auto"/>
                      <w:sz w:val="18"/>
                      <w:szCs w:val="18"/>
                      <w:lang w:val="en-US" w:eastAsia="zh-CN"/>
                    </w:rPr>
                    <w:t>收集</w:t>
                  </w:r>
                  <w:r>
                    <w:rPr>
                      <w:rFonts w:hint="eastAsia" w:ascii="Times New Roman" w:hAnsi="Times New Roman" w:eastAsia="宋体" w:cs="Times New Roman"/>
                      <w:b w:val="0"/>
                      <w:bCs w:val="0"/>
                      <w:color w:val="auto"/>
                      <w:sz w:val="18"/>
                      <w:szCs w:val="18"/>
                      <w:lang w:val="en-US" w:eastAsia="zh-CN"/>
                    </w:rPr>
                    <w:t>后</w:t>
                  </w:r>
                  <w:r>
                    <w:rPr>
                      <w:rFonts w:hint="eastAsia" w:cs="Times New Roman"/>
                      <w:b w:val="0"/>
                      <w:bCs w:val="0"/>
                      <w:color w:val="auto"/>
                      <w:sz w:val="18"/>
                      <w:szCs w:val="18"/>
                      <w:lang w:val="en-US" w:eastAsia="zh-CN"/>
                    </w:rPr>
                    <w:t>，</w:t>
                  </w:r>
                  <w:r>
                    <w:rPr>
                      <w:rFonts w:hint="eastAsia" w:ascii="Times New Roman" w:hAnsi="Times New Roman" w:eastAsia="宋体" w:cs="Times New Roman"/>
                      <w:b w:val="0"/>
                      <w:bCs w:val="0"/>
                      <w:color w:val="auto"/>
                      <w:sz w:val="18"/>
                      <w:szCs w:val="18"/>
                      <w:lang w:val="en-US" w:eastAsia="zh-CN"/>
                    </w:rPr>
                    <w:t>委托环卫部门清运。</w:t>
                  </w:r>
                </w:p>
              </w:tc>
            </w:tr>
            <w:tr w14:paraId="1F15431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465" w:type="pct"/>
                  <w:vMerge w:val="continue"/>
                  <w:tcBorders>
                    <w:tl2br w:val="nil"/>
                    <w:tr2bl w:val="nil"/>
                  </w:tcBorders>
                  <w:noWrap w:val="0"/>
                  <w:vAlign w:val="center"/>
                </w:tcPr>
                <w:p w14:paraId="37098299">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311" w:type="pct"/>
                  <w:gridSpan w:val="2"/>
                  <w:vMerge w:val="continue"/>
                  <w:tcBorders>
                    <w:tl2br w:val="nil"/>
                    <w:tr2bl w:val="nil"/>
                  </w:tcBorders>
                  <w:noWrap w:val="0"/>
                  <w:vAlign w:val="center"/>
                </w:tcPr>
                <w:p w14:paraId="55B536A4">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lang w:val="en-US" w:eastAsia="zh-CN"/>
                    </w:rPr>
                  </w:pPr>
                </w:p>
              </w:tc>
              <w:tc>
                <w:tcPr>
                  <w:tcW w:w="510" w:type="pct"/>
                  <w:gridSpan w:val="2"/>
                  <w:tcBorders>
                    <w:tl2br w:val="nil"/>
                    <w:tr2bl w:val="nil"/>
                  </w:tcBorders>
                  <w:noWrap w:val="0"/>
                  <w:vAlign w:val="center"/>
                </w:tcPr>
                <w:p w14:paraId="691F468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color w:val="auto"/>
                      <w:kern w:val="0"/>
                      <w:sz w:val="18"/>
                      <w:szCs w:val="18"/>
                      <w:lang w:val="en-US" w:eastAsia="zh-CN"/>
                    </w:rPr>
                    <w:t>废润滑油</w:t>
                  </w:r>
                </w:p>
              </w:tc>
              <w:tc>
                <w:tcPr>
                  <w:tcW w:w="3712" w:type="pct"/>
                  <w:tcBorders>
                    <w:tl2br w:val="nil"/>
                    <w:tr2bl w:val="nil"/>
                  </w:tcBorders>
                  <w:noWrap w:val="0"/>
                  <w:vAlign w:val="center"/>
                </w:tcPr>
                <w:p w14:paraId="780309B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eastAsia="宋体" w:cs="Times New Roman"/>
                      <w:b w:val="0"/>
                      <w:bCs w:val="0"/>
                      <w:color w:val="auto"/>
                      <w:sz w:val="18"/>
                      <w:szCs w:val="18"/>
                      <w:lang w:val="en-US" w:eastAsia="zh-CN"/>
                    </w:rPr>
                    <w:t>统一收集后暂存于公司现有的5＃危险废物贮存库，委托云南广莱再生资源回收有限公司清运处置。</w:t>
                  </w:r>
                  <w:r>
                    <w:rPr>
                      <w:rFonts w:hint="eastAsia" w:ascii="Times New Roman" w:hAnsi="Times New Roman" w:cs="Times New Roman"/>
                      <w:color w:val="auto"/>
                      <w:sz w:val="18"/>
                      <w:szCs w:val="18"/>
                      <w:highlight w:val="none"/>
                      <w:lang w:val="en-US" w:eastAsia="zh-CN"/>
                    </w:rPr>
                    <w:t>依托的危废暂存间占地面积为</w:t>
                  </w:r>
                  <w:r>
                    <w:rPr>
                      <w:rFonts w:hint="eastAsia" w:cs="Times New Roman"/>
                      <w:color w:val="auto"/>
                      <w:sz w:val="18"/>
                      <w:szCs w:val="18"/>
                      <w:highlight w:val="none"/>
                      <w:lang w:val="en-US" w:eastAsia="zh-CN"/>
                    </w:rPr>
                    <w:t>99</w:t>
                  </w:r>
                  <w:r>
                    <w:rPr>
                      <w:rFonts w:hint="eastAsia" w:ascii="Times New Roman" w:hAnsi="Times New Roman" w:cs="Times New Roman"/>
                      <w:color w:val="auto"/>
                      <w:sz w:val="18"/>
                      <w:szCs w:val="18"/>
                      <w:highlight w:val="none"/>
                      <w:lang w:val="en-US" w:eastAsia="zh-CN"/>
                    </w:rPr>
                    <w:t>m</w:t>
                  </w:r>
                  <w:r>
                    <w:rPr>
                      <w:rFonts w:hint="eastAsia" w:ascii="Times New Roman" w:hAnsi="Times New Roman" w:cs="Times New Roman"/>
                      <w:color w:val="auto"/>
                      <w:sz w:val="18"/>
                      <w:szCs w:val="18"/>
                      <w:highlight w:val="none"/>
                      <w:vertAlign w:val="superscript"/>
                      <w:lang w:val="en-US" w:eastAsia="zh-CN"/>
                    </w:rPr>
                    <w:t>2</w:t>
                  </w:r>
                  <w:r>
                    <w:rPr>
                      <w:rFonts w:hint="eastAsia" w:ascii="Times New Roman" w:hAnsi="Times New Roman" w:cs="Times New Roman"/>
                      <w:color w:val="auto"/>
                      <w:sz w:val="18"/>
                      <w:szCs w:val="18"/>
                      <w:highlight w:val="none"/>
                      <w:lang w:val="en-US" w:eastAsia="zh-CN"/>
                    </w:rPr>
                    <w:t>，已采取了以下防渗措施：侧壁（自内向外）：环库挡墙壁+GCL（钠基膨润土毯）+2mm厚HDPE膜+C2细石混凝土压重墙+建筑防腐层；库底（自下向上）：场地平整基础+GCL（钠基膨润土毯）+2mm厚HDPE膜+复合土工排水网+300mm厚天然砂砾石层（内设DN160HDPE花孔管）+建筑防腐层，满足重点防渗要求。</w:t>
                  </w:r>
                </w:p>
              </w:tc>
            </w:tr>
            <w:tr w14:paraId="052593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465" w:type="pct"/>
                  <w:vMerge w:val="continue"/>
                  <w:tcBorders>
                    <w:tl2br w:val="nil"/>
                    <w:tr2bl w:val="nil"/>
                  </w:tcBorders>
                  <w:noWrap w:val="0"/>
                  <w:vAlign w:val="center"/>
                </w:tcPr>
                <w:p w14:paraId="19E1205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822" w:type="pct"/>
                  <w:gridSpan w:val="4"/>
                  <w:tcBorders>
                    <w:tl2br w:val="nil"/>
                    <w:tr2bl w:val="nil"/>
                  </w:tcBorders>
                  <w:noWrap w:val="0"/>
                  <w:vAlign w:val="center"/>
                </w:tcPr>
                <w:p w14:paraId="39754B7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环境风险</w:t>
                  </w:r>
                </w:p>
              </w:tc>
              <w:tc>
                <w:tcPr>
                  <w:tcW w:w="3712" w:type="pct"/>
                  <w:tcBorders>
                    <w:tl2br w:val="nil"/>
                    <w:tr2bl w:val="nil"/>
                  </w:tcBorders>
                  <w:noWrap w:val="0"/>
                  <w:vAlign w:val="center"/>
                </w:tcPr>
                <w:p w14:paraId="2C5F3EC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lang w:val="en-US" w:eastAsia="zh-CN"/>
                    </w:rPr>
                    <w:t>依托已有的1个容积为300m</w:t>
                  </w:r>
                  <w:r>
                    <w:rPr>
                      <w:rFonts w:hint="eastAsia" w:cs="Times New Roman"/>
                      <w:color w:val="auto"/>
                      <w:sz w:val="18"/>
                      <w:szCs w:val="18"/>
                      <w:vertAlign w:val="superscript"/>
                      <w:lang w:val="en-US" w:eastAsia="zh-CN"/>
                    </w:rPr>
                    <w:t>3</w:t>
                  </w:r>
                  <w:r>
                    <w:rPr>
                      <w:rFonts w:hint="eastAsia" w:cs="Times New Roman"/>
                      <w:color w:val="auto"/>
                      <w:sz w:val="18"/>
                      <w:szCs w:val="18"/>
                      <w:vertAlign w:val="baseline"/>
                      <w:lang w:val="en-US" w:eastAsia="zh-CN"/>
                    </w:rPr>
                    <w:t>尾矿事故池和1个容积为</w:t>
                  </w:r>
                  <w:r>
                    <w:rPr>
                      <w:rFonts w:hint="eastAsia" w:cs="Times New Roman"/>
                      <w:color w:val="auto"/>
                      <w:sz w:val="18"/>
                      <w:szCs w:val="18"/>
                      <w:lang w:val="en-US" w:eastAsia="zh-CN"/>
                    </w:rPr>
                    <w:t>200m</w:t>
                  </w:r>
                  <w:r>
                    <w:rPr>
                      <w:rFonts w:hint="eastAsia" w:cs="Times New Roman"/>
                      <w:color w:val="auto"/>
                      <w:sz w:val="18"/>
                      <w:szCs w:val="18"/>
                      <w:vertAlign w:val="superscript"/>
                      <w:lang w:val="en-US" w:eastAsia="zh-CN"/>
                    </w:rPr>
                    <w:t>3</w:t>
                  </w:r>
                  <w:r>
                    <w:rPr>
                      <w:rFonts w:hint="eastAsia" w:cs="Times New Roman"/>
                      <w:color w:val="auto"/>
                      <w:sz w:val="18"/>
                      <w:szCs w:val="18"/>
                      <w:vertAlign w:val="baseline"/>
                      <w:lang w:val="en-US" w:eastAsia="zh-CN"/>
                    </w:rPr>
                    <w:t>的精矿事故池，已按要求进行了防渗处置。</w:t>
                  </w:r>
                </w:p>
              </w:tc>
            </w:tr>
          </w:tbl>
          <w:p w14:paraId="4402A38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default" w:ascii="Times New Roman" w:hAnsi="Times New Roman" w:eastAsia="宋体" w:cs="Times New Roman"/>
                <w:b/>
                <w:color w:val="auto"/>
                <w:sz w:val="24"/>
                <w:highlight w:val="none"/>
                <w:lang w:val="en-US"/>
              </w:rPr>
            </w:pPr>
            <w:r>
              <w:rPr>
                <w:rFonts w:hint="eastAsia" w:cs="Times New Roman"/>
                <w:b/>
                <w:color w:val="auto"/>
                <w:sz w:val="24"/>
                <w:highlight w:val="none"/>
                <w:lang w:val="en-US" w:eastAsia="zh-CN"/>
              </w:rPr>
              <w:t>3</w:t>
            </w:r>
            <w:r>
              <w:rPr>
                <w:rFonts w:hint="eastAsia" w:ascii="Times New Roman" w:hAnsi="Times New Roman" w:cs="Times New Roman"/>
                <w:b/>
                <w:color w:val="auto"/>
                <w:sz w:val="24"/>
                <w:highlight w:val="none"/>
                <w:lang w:val="en-US" w:eastAsia="zh-CN"/>
              </w:rPr>
              <w:t>、</w:t>
            </w:r>
            <w:r>
              <w:rPr>
                <w:rFonts w:hint="eastAsia" w:cs="Times New Roman"/>
                <w:b/>
                <w:color w:val="auto"/>
                <w:sz w:val="24"/>
                <w:highlight w:val="none"/>
                <w:lang w:val="en-US" w:eastAsia="zh-CN"/>
              </w:rPr>
              <w:t>产品方案及规模</w:t>
            </w:r>
          </w:p>
          <w:p w14:paraId="7D6862E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设计</w:t>
            </w:r>
            <w:r>
              <w:rPr>
                <w:rFonts w:hint="eastAsia" w:ascii="Times New Roman" w:hAnsi="Times New Roman" w:eastAsia="宋体" w:cs="Times New Roman"/>
                <w:color w:val="000000"/>
                <w:kern w:val="0"/>
                <w:sz w:val="24"/>
                <w:szCs w:val="24"/>
                <w:lang w:val="en-US" w:eastAsia="zh-CN" w:bidi="ar"/>
              </w:rPr>
              <w:t>处理</w:t>
            </w:r>
            <w:r>
              <w:rPr>
                <w:rFonts w:hint="default" w:ascii="Times New Roman" w:hAnsi="Times New Roman" w:eastAsia="宋体" w:cs="Times New Roman"/>
                <w:color w:val="000000"/>
                <w:kern w:val="0"/>
                <w:sz w:val="24"/>
                <w:szCs w:val="24"/>
                <w:lang w:val="en-US" w:eastAsia="zh-CN" w:bidi="ar"/>
              </w:rPr>
              <w:t>规模为</w:t>
            </w:r>
            <w:r>
              <w:rPr>
                <w:rFonts w:hint="eastAsia" w:ascii="Times New Roman" w:hAnsi="Times New Roman" w:eastAsia="宋体" w:cs="Times New Roman"/>
                <w:color w:val="000000"/>
                <w:kern w:val="0"/>
                <w:sz w:val="24"/>
                <w:szCs w:val="24"/>
                <w:lang w:val="en-US" w:eastAsia="zh-CN" w:bidi="ar"/>
              </w:rPr>
              <w:t>1700</w:t>
            </w:r>
            <w:r>
              <w:rPr>
                <w:rFonts w:hint="default" w:ascii="Times New Roman" w:hAnsi="Times New Roman" w:eastAsia="宋体" w:cs="Times New Roman"/>
                <w:color w:val="000000"/>
                <w:kern w:val="0"/>
                <w:sz w:val="24"/>
                <w:szCs w:val="24"/>
                <w:lang w:val="en-US" w:eastAsia="zh-CN" w:bidi="ar"/>
              </w:rPr>
              <w:t>t/d，</w:t>
            </w:r>
            <w:r>
              <w:rPr>
                <w:rFonts w:hint="eastAsia" w:ascii="Times New Roman" w:hAnsi="Times New Roman" w:eastAsia="宋体" w:cs="Times New Roman"/>
                <w:color w:val="000000"/>
                <w:kern w:val="0"/>
                <w:sz w:val="24"/>
                <w:szCs w:val="24"/>
                <w:lang w:val="en-US" w:eastAsia="zh-CN" w:bidi="ar"/>
              </w:rPr>
              <w:t>以易门铜业有限公司底吹炉熔炼工艺产出的熔炼渣</w:t>
            </w:r>
            <w:r>
              <w:rPr>
                <w:rFonts w:hint="eastAsia" w:cs="Times New Roman"/>
                <w:color w:val="000000"/>
                <w:kern w:val="0"/>
                <w:sz w:val="24"/>
                <w:szCs w:val="24"/>
                <w:lang w:val="en-US" w:eastAsia="zh-CN" w:bidi="ar"/>
              </w:rPr>
              <w:t>为</w:t>
            </w:r>
            <w:r>
              <w:rPr>
                <w:rFonts w:hint="eastAsia" w:ascii="Times New Roman" w:hAnsi="Times New Roman" w:eastAsia="宋体" w:cs="Times New Roman"/>
                <w:color w:val="000000"/>
                <w:kern w:val="0"/>
                <w:sz w:val="24"/>
                <w:szCs w:val="24"/>
                <w:lang w:val="en-US" w:eastAsia="zh-CN" w:bidi="ar"/>
              </w:rPr>
              <w:t>原料，通</w:t>
            </w:r>
            <w:r>
              <w:rPr>
                <w:rFonts w:hint="eastAsia" w:cs="Times New Roman"/>
                <w:color w:val="000000"/>
                <w:kern w:val="0"/>
                <w:sz w:val="24"/>
                <w:szCs w:val="24"/>
                <w:lang w:val="en-US" w:eastAsia="zh-CN" w:bidi="ar"/>
              </w:rPr>
              <w:t>过</w:t>
            </w:r>
            <w:r>
              <w:rPr>
                <w:rFonts w:hint="eastAsia" w:ascii="Times New Roman" w:hAnsi="Times New Roman" w:eastAsia="宋体" w:cs="Times New Roman"/>
                <w:color w:val="000000"/>
                <w:kern w:val="0"/>
                <w:sz w:val="24"/>
                <w:szCs w:val="24"/>
                <w:lang w:val="en-US" w:eastAsia="zh-CN" w:bidi="ar"/>
              </w:rPr>
              <w:t>破碎、磨矿、浮选以及磁选，产出铜精矿和铁精矿</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铜精矿</w:t>
            </w:r>
            <w:r>
              <w:rPr>
                <w:rFonts w:hint="default" w:ascii="Times New Roman" w:hAnsi="Times New Roman" w:eastAsia="宋体" w:cs="Times New Roman"/>
                <w:color w:val="000000"/>
                <w:kern w:val="0"/>
                <w:sz w:val="24"/>
                <w:szCs w:val="24"/>
                <w:lang w:val="en-US" w:eastAsia="zh-CN" w:bidi="ar"/>
              </w:rPr>
              <w:t>通过汽车运输</w:t>
            </w:r>
            <w:r>
              <w:rPr>
                <w:rFonts w:hint="eastAsia" w:ascii="Times New Roman" w:hAnsi="Times New Roman" w:eastAsia="宋体" w:cs="Times New Roman"/>
                <w:color w:val="000000"/>
                <w:kern w:val="0"/>
                <w:sz w:val="24"/>
                <w:szCs w:val="24"/>
                <w:lang w:val="en-US" w:eastAsia="zh-CN" w:bidi="ar"/>
              </w:rPr>
              <w:t>至冶炼厂原料仓，作为底吹炉原料返回熔炼系统，</w:t>
            </w:r>
            <w:r>
              <w:rPr>
                <w:rFonts w:hint="default" w:ascii="Times New Roman" w:hAnsi="Times New Roman" w:eastAsia="宋体" w:cs="Times New Roman"/>
                <w:color w:val="000000"/>
                <w:kern w:val="0"/>
                <w:sz w:val="24"/>
                <w:szCs w:val="24"/>
                <w:lang w:val="en-US" w:eastAsia="zh-CN" w:bidi="ar"/>
              </w:rPr>
              <w:t>铁精矿通过汽车运输外售</w:t>
            </w:r>
            <w:r>
              <w:rPr>
                <w:rFonts w:hint="eastAsia" w:ascii="Times New Roman" w:hAnsi="Times New Roman" w:eastAsia="宋体" w:cs="Times New Roman"/>
                <w:color w:val="000000"/>
                <w:kern w:val="0"/>
                <w:sz w:val="24"/>
                <w:szCs w:val="24"/>
                <w:lang w:val="en-US" w:eastAsia="zh-CN" w:bidi="ar"/>
              </w:rPr>
              <w:t>，尾矿通过汽车外售。设计工艺指标见下表。</w:t>
            </w:r>
          </w:p>
          <w:p w14:paraId="759379D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firstLine="0" w:firstLineChars="0"/>
              <w:jc w:val="center"/>
              <w:textAlignment w:val="auto"/>
              <w:rPr>
                <w:rFonts w:hint="default"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highlight w:val="none"/>
              </w:rPr>
              <w:t xml:space="preserve">表2-3  </w:t>
            </w:r>
            <w:r>
              <w:rPr>
                <w:rFonts w:hint="eastAsia" w:ascii="黑体" w:hAnsi="黑体" w:eastAsia="黑体" w:cs="黑体"/>
                <w:b w:val="0"/>
                <w:bCs w:val="0"/>
                <w:color w:val="auto"/>
                <w:sz w:val="21"/>
                <w:szCs w:val="21"/>
                <w:highlight w:val="none"/>
                <w:lang w:val="en-US" w:eastAsia="zh-CN"/>
              </w:rPr>
              <w:t>设计工艺指标</w:t>
            </w:r>
          </w:p>
          <w:tbl>
            <w:tblPr>
              <w:tblStyle w:val="2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572"/>
              <w:gridCol w:w="1586"/>
              <w:gridCol w:w="757"/>
              <w:gridCol w:w="937"/>
              <w:gridCol w:w="876"/>
              <w:gridCol w:w="1184"/>
            </w:tblGrid>
            <w:tr w14:paraId="2930E4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vMerge w:val="restart"/>
                  <w:tcBorders>
                    <w:tl2br w:val="nil"/>
                    <w:tr2bl w:val="nil"/>
                  </w:tcBorders>
                  <w:vAlign w:val="center"/>
                </w:tcPr>
                <w:p w14:paraId="6F225B21">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产品</w:t>
                  </w:r>
                </w:p>
              </w:tc>
              <w:tc>
                <w:tcPr>
                  <w:tcW w:w="1001" w:type="pct"/>
                  <w:vMerge w:val="restart"/>
                  <w:tcBorders>
                    <w:tl2br w:val="nil"/>
                    <w:tr2bl w:val="nil"/>
                  </w:tcBorders>
                  <w:vAlign w:val="center"/>
                </w:tcPr>
                <w:p w14:paraId="273672A4">
                  <w:pPr>
                    <w:pStyle w:val="32"/>
                    <w:rPr>
                      <w:rFonts w:hint="default" w:cs="Times New Roman"/>
                      <w:b w:val="0"/>
                      <w:bCs w:val="0"/>
                      <w:sz w:val="18"/>
                      <w:szCs w:val="18"/>
                      <w:lang w:val="en-US" w:eastAsia="zh-CN"/>
                    </w:rPr>
                  </w:pPr>
                  <w:r>
                    <w:rPr>
                      <w:rFonts w:hint="default" w:cs="Times New Roman"/>
                      <w:b w:val="0"/>
                      <w:bCs w:val="0"/>
                      <w:sz w:val="18"/>
                      <w:szCs w:val="18"/>
                      <w:lang w:val="en-US" w:eastAsia="zh-CN"/>
                    </w:rPr>
                    <w:t>矿量（t/</w:t>
                  </w:r>
                  <w:r>
                    <w:rPr>
                      <w:rFonts w:hint="eastAsia" w:cs="Times New Roman"/>
                      <w:b w:val="0"/>
                      <w:bCs w:val="0"/>
                      <w:sz w:val="18"/>
                      <w:szCs w:val="18"/>
                      <w:lang w:val="en-US" w:eastAsia="zh-CN"/>
                    </w:rPr>
                    <w:t>d</w:t>
                  </w:r>
                  <w:r>
                    <w:rPr>
                      <w:rFonts w:hint="default" w:cs="Times New Roman"/>
                      <w:b w:val="0"/>
                      <w:bCs w:val="0"/>
                      <w:sz w:val="18"/>
                      <w:szCs w:val="18"/>
                      <w:lang w:val="en-US" w:eastAsia="zh-CN"/>
                    </w:rPr>
                    <w:t>）</w:t>
                  </w:r>
                </w:p>
              </w:tc>
              <w:tc>
                <w:tcPr>
                  <w:tcW w:w="1010" w:type="pct"/>
                  <w:vMerge w:val="restart"/>
                  <w:tcBorders>
                    <w:tl2br w:val="nil"/>
                    <w:tr2bl w:val="nil"/>
                  </w:tcBorders>
                  <w:vAlign w:val="center"/>
                </w:tcPr>
                <w:p w14:paraId="77B44267">
                  <w:pPr>
                    <w:pStyle w:val="32"/>
                    <w:rPr>
                      <w:rFonts w:hint="default" w:cs="Times New Roman"/>
                      <w:b w:val="0"/>
                      <w:bCs w:val="0"/>
                      <w:sz w:val="18"/>
                      <w:szCs w:val="18"/>
                      <w:lang w:val="en-US" w:eastAsia="zh-CN"/>
                    </w:rPr>
                  </w:pPr>
                  <w:r>
                    <w:rPr>
                      <w:rFonts w:hint="default" w:cs="Times New Roman"/>
                      <w:b w:val="0"/>
                      <w:bCs w:val="0"/>
                      <w:sz w:val="18"/>
                      <w:szCs w:val="18"/>
                      <w:lang w:val="en-US" w:eastAsia="zh-CN"/>
                    </w:rPr>
                    <w:t>矿量（t/</w:t>
                  </w:r>
                  <w:r>
                    <w:rPr>
                      <w:rFonts w:hint="eastAsia" w:cs="Times New Roman"/>
                      <w:b w:val="0"/>
                      <w:bCs w:val="0"/>
                      <w:sz w:val="18"/>
                      <w:szCs w:val="18"/>
                      <w:lang w:val="en-US" w:eastAsia="zh-CN"/>
                    </w:rPr>
                    <w:t>a</w:t>
                  </w:r>
                  <w:r>
                    <w:rPr>
                      <w:rFonts w:hint="default" w:cs="Times New Roman"/>
                      <w:b w:val="0"/>
                      <w:bCs w:val="0"/>
                      <w:sz w:val="18"/>
                      <w:szCs w:val="18"/>
                      <w:lang w:val="en-US" w:eastAsia="zh-CN"/>
                    </w:rPr>
                    <w:t>）</w:t>
                  </w:r>
                </w:p>
              </w:tc>
              <w:tc>
                <w:tcPr>
                  <w:tcW w:w="1079" w:type="pct"/>
                  <w:gridSpan w:val="2"/>
                  <w:tcBorders>
                    <w:tl2br w:val="nil"/>
                    <w:tr2bl w:val="nil"/>
                  </w:tcBorders>
                  <w:vAlign w:val="center"/>
                </w:tcPr>
                <w:p w14:paraId="20D6C193">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品位%</w:t>
                  </w:r>
                </w:p>
              </w:tc>
              <w:tc>
                <w:tcPr>
                  <w:tcW w:w="1312" w:type="pct"/>
                  <w:gridSpan w:val="2"/>
                  <w:tcBorders>
                    <w:tl2br w:val="nil"/>
                    <w:tr2bl w:val="nil"/>
                  </w:tcBorders>
                  <w:vAlign w:val="center"/>
                </w:tcPr>
                <w:p w14:paraId="0BA62161">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回收率%</w:t>
                  </w:r>
                </w:p>
              </w:tc>
            </w:tr>
            <w:tr w14:paraId="7AE8C5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vMerge w:val="continue"/>
                  <w:tcBorders>
                    <w:tl2br w:val="nil"/>
                    <w:tr2bl w:val="nil"/>
                  </w:tcBorders>
                  <w:vAlign w:val="center"/>
                </w:tcPr>
                <w:p w14:paraId="16C15A20">
                  <w:pPr>
                    <w:pStyle w:val="32"/>
                    <w:rPr>
                      <w:rFonts w:hint="default" w:ascii="Times New Roman" w:hAnsi="Times New Roman" w:eastAsia="宋体" w:cs="Times New Roman"/>
                      <w:b w:val="0"/>
                      <w:bCs w:val="0"/>
                      <w:sz w:val="18"/>
                      <w:szCs w:val="18"/>
                    </w:rPr>
                  </w:pPr>
                </w:p>
              </w:tc>
              <w:tc>
                <w:tcPr>
                  <w:tcW w:w="1001" w:type="pct"/>
                  <w:vMerge w:val="continue"/>
                  <w:tcBorders>
                    <w:tl2br w:val="nil"/>
                    <w:tr2bl w:val="nil"/>
                  </w:tcBorders>
                  <w:vAlign w:val="center"/>
                </w:tcPr>
                <w:p w14:paraId="65B02BBF">
                  <w:pPr>
                    <w:pStyle w:val="32"/>
                    <w:rPr>
                      <w:rFonts w:hint="default" w:ascii="Times New Roman" w:hAnsi="Times New Roman" w:eastAsia="宋体" w:cs="Times New Roman"/>
                      <w:b w:val="0"/>
                      <w:bCs w:val="0"/>
                      <w:sz w:val="18"/>
                      <w:szCs w:val="18"/>
                    </w:rPr>
                  </w:pPr>
                </w:p>
              </w:tc>
              <w:tc>
                <w:tcPr>
                  <w:tcW w:w="1010" w:type="pct"/>
                  <w:vMerge w:val="continue"/>
                  <w:tcBorders>
                    <w:tl2br w:val="nil"/>
                    <w:tr2bl w:val="nil"/>
                  </w:tcBorders>
                  <w:vAlign w:val="center"/>
                </w:tcPr>
                <w:p w14:paraId="399A7640">
                  <w:pPr>
                    <w:pStyle w:val="32"/>
                    <w:rPr>
                      <w:rFonts w:hint="default" w:ascii="Times New Roman" w:hAnsi="Times New Roman" w:eastAsia="宋体" w:cs="Times New Roman"/>
                      <w:b w:val="0"/>
                      <w:bCs w:val="0"/>
                      <w:sz w:val="18"/>
                      <w:szCs w:val="18"/>
                    </w:rPr>
                  </w:pPr>
                </w:p>
              </w:tc>
              <w:tc>
                <w:tcPr>
                  <w:tcW w:w="482" w:type="pct"/>
                  <w:tcBorders>
                    <w:tl2br w:val="nil"/>
                    <w:tr2bl w:val="nil"/>
                  </w:tcBorders>
                  <w:vAlign w:val="center"/>
                </w:tcPr>
                <w:p w14:paraId="29F1AB84">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Cu</w:t>
                  </w:r>
                </w:p>
              </w:tc>
              <w:tc>
                <w:tcPr>
                  <w:tcW w:w="597" w:type="pct"/>
                  <w:tcBorders>
                    <w:tl2br w:val="nil"/>
                    <w:tr2bl w:val="nil"/>
                  </w:tcBorders>
                  <w:vAlign w:val="center"/>
                </w:tcPr>
                <w:p w14:paraId="7D244575">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Fe</w:t>
                  </w:r>
                </w:p>
              </w:tc>
              <w:tc>
                <w:tcPr>
                  <w:tcW w:w="558" w:type="pct"/>
                  <w:tcBorders>
                    <w:tl2br w:val="nil"/>
                    <w:tr2bl w:val="nil"/>
                  </w:tcBorders>
                  <w:vAlign w:val="center"/>
                </w:tcPr>
                <w:p w14:paraId="40459C12">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Cu</w:t>
                  </w:r>
                </w:p>
              </w:tc>
              <w:tc>
                <w:tcPr>
                  <w:tcW w:w="754" w:type="pct"/>
                  <w:tcBorders>
                    <w:tl2br w:val="nil"/>
                    <w:tr2bl w:val="nil"/>
                  </w:tcBorders>
                  <w:vAlign w:val="center"/>
                </w:tcPr>
                <w:p w14:paraId="0DED13FE">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Fe</w:t>
                  </w:r>
                </w:p>
              </w:tc>
            </w:tr>
            <w:tr w14:paraId="0D1C12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08039977">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原矿</w:t>
                  </w:r>
                </w:p>
              </w:tc>
              <w:tc>
                <w:tcPr>
                  <w:tcW w:w="1001" w:type="pct"/>
                  <w:tcBorders>
                    <w:tl2br w:val="nil"/>
                    <w:tr2bl w:val="nil"/>
                  </w:tcBorders>
                  <w:vAlign w:val="center"/>
                </w:tcPr>
                <w:p w14:paraId="48B6DD22">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1700.00</w:t>
                  </w:r>
                </w:p>
              </w:tc>
              <w:tc>
                <w:tcPr>
                  <w:tcW w:w="1010" w:type="pct"/>
                  <w:tcBorders>
                    <w:tl2br w:val="nil"/>
                    <w:tr2bl w:val="nil"/>
                  </w:tcBorders>
                  <w:vAlign w:val="center"/>
                </w:tcPr>
                <w:p w14:paraId="13CC09B2">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561000</w:t>
                  </w:r>
                </w:p>
              </w:tc>
              <w:tc>
                <w:tcPr>
                  <w:tcW w:w="482" w:type="pct"/>
                  <w:tcBorders>
                    <w:tl2br w:val="nil"/>
                    <w:tr2bl w:val="nil"/>
                  </w:tcBorders>
                  <w:vAlign w:val="center"/>
                </w:tcPr>
                <w:p w14:paraId="2CAF3F05">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3.16</w:t>
                  </w:r>
                </w:p>
              </w:tc>
              <w:tc>
                <w:tcPr>
                  <w:tcW w:w="597" w:type="pct"/>
                  <w:tcBorders>
                    <w:tl2br w:val="nil"/>
                    <w:tr2bl w:val="nil"/>
                  </w:tcBorders>
                  <w:vAlign w:val="center"/>
                </w:tcPr>
                <w:p w14:paraId="5D0D89FE">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40.50</w:t>
                  </w:r>
                </w:p>
              </w:tc>
              <w:tc>
                <w:tcPr>
                  <w:tcW w:w="558" w:type="pct"/>
                  <w:tcBorders>
                    <w:tl2br w:val="nil"/>
                    <w:tr2bl w:val="nil"/>
                  </w:tcBorders>
                  <w:vAlign w:val="center"/>
                </w:tcPr>
                <w:p w14:paraId="76AD5C7B">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100.00</w:t>
                  </w:r>
                </w:p>
              </w:tc>
              <w:tc>
                <w:tcPr>
                  <w:tcW w:w="754" w:type="pct"/>
                  <w:tcBorders>
                    <w:tl2br w:val="nil"/>
                    <w:tr2bl w:val="nil"/>
                  </w:tcBorders>
                  <w:vAlign w:val="center"/>
                </w:tcPr>
                <w:p w14:paraId="21A1EE66">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100.00</w:t>
                  </w:r>
                </w:p>
              </w:tc>
            </w:tr>
            <w:tr w14:paraId="27FC6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7F30C990">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铜精矿</w:t>
                  </w:r>
                </w:p>
              </w:tc>
              <w:tc>
                <w:tcPr>
                  <w:tcW w:w="1001" w:type="pct"/>
                  <w:tcBorders>
                    <w:tl2br w:val="nil"/>
                    <w:tr2bl w:val="nil"/>
                  </w:tcBorders>
                  <w:vAlign w:val="center"/>
                </w:tcPr>
                <w:p w14:paraId="67A9D880">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198.22</w:t>
                  </w:r>
                </w:p>
              </w:tc>
              <w:tc>
                <w:tcPr>
                  <w:tcW w:w="1010" w:type="pct"/>
                  <w:tcBorders>
                    <w:tl2br w:val="nil"/>
                    <w:tr2bl w:val="nil"/>
                  </w:tcBorders>
                  <w:vAlign w:val="center"/>
                </w:tcPr>
                <w:p w14:paraId="10016BB7">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65412.6</w:t>
                  </w:r>
                </w:p>
              </w:tc>
              <w:tc>
                <w:tcPr>
                  <w:tcW w:w="482" w:type="pct"/>
                  <w:tcBorders>
                    <w:tl2br w:val="nil"/>
                    <w:tr2bl w:val="nil"/>
                  </w:tcBorders>
                  <w:vAlign w:val="center"/>
                </w:tcPr>
                <w:p w14:paraId="7D177E5B">
                  <w:pPr>
                    <w:pStyle w:val="32"/>
                    <w:rPr>
                      <w:rFonts w:hint="default" w:ascii="Times New Roman" w:hAnsi="Times New Roman" w:eastAsia="宋体" w:cs="Times New Roman"/>
                      <w:b w:val="0"/>
                      <w:bCs w:val="0"/>
                      <w:color w:val="FF0000"/>
                      <w:sz w:val="18"/>
                      <w:szCs w:val="18"/>
                    </w:rPr>
                  </w:pPr>
                  <w:r>
                    <w:rPr>
                      <w:rFonts w:hint="default" w:ascii="Times New Roman" w:hAnsi="Times New Roman" w:eastAsia="宋体" w:cs="Times New Roman"/>
                      <w:b w:val="0"/>
                      <w:bCs w:val="0"/>
                      <w:sz w:val="18"/>
                      <w:szCs w:val="18"/>
                    </w:rPr>
                    <w:t>26.06</w:t>
                  </w:r>
                </w:p>
              </w:tc>
              <w:tc>
                <w:tcPr>
                  <w:tcW w:w="597" w:type="pct"/>
                  <w:tcBorders>
                    <w:tl2br w:val="nil"/>
                    <w:tr2bl w:val="nil"/>
                  </w:tcBorders>
                  <w:vAlign w:val="center"/>
                </w:tcPr>
                <w:p w14:paraId="710FDCA4">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22.82</w:t>
                  </w:r>
                </w:p>
              </w:tc>
              <w:tc>
                <w:tcPr>
                  <w:tcW w:w="558" w:type="pct"/>
                  <w:tcBorders>
                    <w:tl2br w:val="nil"/>
                    <w:tr2bl w:val="nil"/>
                  </w:tcBorders>
                  <w:vAlign w:val="center"/>
                </w:tcPr>
                <w:p w14:paraId="0247C198">
                  <w:pPr>
                    <w:pStyle w:val="32"/>
                    <w:rPr>
                      <w:rFonts w:hint="default" w:ascii="Times New Roman" w:hAnsi="Times New Roman" w:eastAsia="宋体" w:cs="Times New Roman"/>
                      <w:b w:val="0"/>
                      <w:bCs w:val="0"/>
                      <w:color w:val="FF0000"/>
                      <w:sz w:val="18"/>
                      <w:szCs w:val="18"/>
                    </w:rPr>
                  </w:pPr>
                  <w:r>
                    <w:rPr>
                      <w:rFonts w:hint="default" w:ascii="Times New Roman" w:hAnsi="Times New Roman" w:eastAsia="宋体" w:cs="Times New Roman"/>
                      <w:b w:val="0"/>
                      <w:bCs w:val="0"/>
                      <w:sz w:val="18"/>
                      <w:szCs w:val="18"/>
                    </w:rPr>
                    <w:t>96.16</w:t>
                  </w:r>
                </w:p>
              </w:tc>
              <w:tc>
                <w:tcPr>
                  <w:tcW w:w="754" w:type="pct"/>
                  <w:tcBorders>
                    <w:tl2br w:val="nil"/>
                    <w:tr2bl w:val="nil"/>
                  </w:tcBorders>
                  <w:vAlign w:val="center"/>
                </w:tcPr>
                <w:p w14:paraId="017124DB">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6.57</w:t>
                  </w:r>
                </w:p>
              </w:tc>
            </w:tr>
            <w:tr w14:paraId="57089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152AAA25">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铁精矿</w:t>
                  </w:r>
                </w:p>
              </w:tc>
              <w:tc>
                <w:tcPr>
                  <w:tcW w:w="1001" w:type="pct"/>
                  <w:tcBorders>
                    <w:tl2br w:val="nil"/>
                    <w:tr2bl w:val="nil"/>
                  </w:tcBorders>
                  <w:vAlign w:val="center"/>
                </w:tcPr>
                <w:p w14:paraId="67D732EB">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757.69</w:t>
                  </w:r>
                </w:p>
              </w:tc>
              <w:tc>
                <w:tcPr>
                  <w:tcW w:w="1010" w:type="pct"/>
                  <w:tcBorders>
                    <w:tl2br w:val="nil"/>
                    <w:tr2bl w:val="nil"/>
                  </w:tcBorders>
                  <w:vAlign w:val="center"/>
                </w:tcPr>
                <w:p w14:paraId="574546E8">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250037.7</w:t>
                  </w:r>
                </w:p>
              </w:tc>
              <w:tc>
                <w:tcPr>
                  <w:tcW w:w="482" w:type="pct"/>
                  <w:tcBorders>
                    <w:tl2br w:val="nil"/>
                    <w:tr2bl w:val="nil"/>
                  </w:tcBorders>
                  <w:vAlign w:val="center"/>
                </w:tcPr>
                <w:p w14:paraId="7F67E16B">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0.11</w:t>
                  </w:r>
                </w:p>
              </w:tc>
              <w:tc>
                <w:tcPr>
                  <w:tcW w:w="597" w:type="pct"/>
                  <w:tcBorders>
                    <w:tl2br w:val="nil"/>
                    <w:tr2bl w:val="nil"/>
                  </w:tcBorders>
                  <w:vAlign w:val="center"/>
                </w:tcPr>
                <w:p w14:paraId="2C6C99A5">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52.00</w:t>
                  </w:r>
                </w:p>
              </w:tc>
              <w:tc>
                <w:tcPr>
                  <w:tcW w:w="558" w:type="pct"/>
                  <w:tcBorders>
                    <w:tl2br w:val="nil"/>
                    <w:tr2bl w:val="nil"/>
                  </w:tcBorders>
                  <w:vAlign w:val="center"/>
                </w:tcPr>
                <w:p w14:paraId="31CF7E46">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1.49</w:t>
                  </w:r>
                </w:p>
              </w:tc>
              <w:tc>
                <w:tcPr>
                  <w:tcW w:w="754" w:type="pct"/>
                  <w:tcBorders>
                    <w:tl2br w:val="nil"/>
                    <w:tr2bl w:val="nil"/>
                  </w:tcBorders>
                  <w:vAlign w:val="center"/>
                </w:tcPr>
                <w:p w14:paraId="684DDCBC">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57.22</w:t>
                  </w:r>
                </w:p>
              </w:tc>
            </w:tr>
            <w:tr w14:paraId="2F835F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2B789640">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尾矿</w:t>
                  </w:r>
                </w:p>
              </w:tc>
              <w:tc>
                <w:tcPr>
                  <w:tcW w:w="1001" w:type="pct"/>
                  <w:tcBorders>
                    <w:tl2br w:val="nil"/>
                    <w:tr2bl w:val="nil"/>
                  </w:tcBorders>
                  <w:vAlign w:val="center"/>
                </w:tcPr>
                <w:p w14:paraId="4EC1C567">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745.73</w:t>
                  </w:r>
                </w:p>
              </w:tc>
              <w:tc>
                <w:tcPr>
                  <w:tcW w:w="1010" w:type="pct"/>
                  <w:tcBorders>
                    <w:tl2br w:val="nil"/>
                    <w:tr2bl w:val="nil"/>
                  </w:tcBorders>
                  <w:vAlign w:val="center"/>
                </w:tcPr>
                <w:p w14:paraId="5C1B47F2">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245549.7</w:t>
                  </w:r>
                </w:p>
              </w:tc>
              <w:tc>
                <w:tcPr>
                  <w:tcW w:w="482" w:type="pct"/>
                  <w:tcBorders>
                    <w:tl2br w:val="nil"/>
                    <w:tr2bl w:val="nil"/>
                  </w:tcBorders>
                  <w:vAlign w:val="center"/>
                </w:tcPr>
                <w:p w14:paraId="2429E87B">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0.165</w:t>
                  </w:r>
                </w:p>
              </w:tc>
              <w:tc>
                <w:tcPr>
                  <w:tcW w:w="597" w:type="pct"/>
                  <w:tcBorders>
                    <w:tl2br w:val="nil"/>
                    <w:tr2bl w:val="nil"/>
                  </w:tcBorders>
                  <w:vAlign w:val="center"/>
                </w:tcPr>
                <w:p w14:paraId="7239863B">
                  <w:pPr>
                    <w:pStyle w:val="32"/>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32.90</w:t>
                  </w:r>
                </w:p>
              </w:tc>
              <w:tc>
                <w:tcPr>
                  <w:tcW w:w="558" w:type="pct"/>
                  <w:tcBorders>
                    <w:tl2br w:val="nil"/>
                    <w:tr2bl w:val="nil"/>
                  </w:tcBorders>
                  <w:vAlign w:val="center"/>
                </w:tcPr>
                <w:p w14:paraId="22AF102E">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2.35</w:t>
                  </w:r>
                </w:p>
              </w:tc>
              <w:tc>
                <w:tcPr>
                  <w:tcW w:w="754" w:type="pct"/>
                  <w:tcBorders>
                    <w:tl2br w:val="nil"/>
                    <w:tr2bl w:val="nil"/>
                  </w:tcBorders>
                  <w:vAlign w:val="center"/>
                </w:tcPr>
                <w:p w14:paraId="350E0B4C">
                  <w:pPr>
                    <w:pStyle w:val="32"/>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36.21</w:t>
                  </w:r>
                </w:p>
              </w:tc>
            </w:tr>
          </w:tbl>
          <w:p w14:paraId="28AEE27A">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主要</w:t>
            </w:r>
            <w:r>
              <w:rPr>
                <w:rFonts w:hint="default" w:ascii="Times New Roman" w:hAnsi="Times New Roman" w:eastAsia="宋体" w:cs="Times New Roman"/>
                <w:b/>
                <w:bCs/>
                <w:color w:val="auto"/>
                <w:sz w:val="24"/>
                <w:highlight w:val="none"/>
                <w:lang w:val="en-US" w:eastAsia="zh-CN"/>
              </w:rPr>
              <w:t>生产设备</w:t>
            </w:r>
          </w:p>
          <w:p w14:paraId="7034898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bCs/>
                <w:color w:val="auto"/>
                <w:sz w:val="24"/>
                <w:highlight w:val="none"/>
              </w:rPr>
            </w:pPr>
            <w:r>
              <w:rPr>
                <w:rFonts w:hint="eastAsia" w:ascii="Times New Roman" w:hAnsi="Times New Roman"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rPr>
              <w:t>主要生产设备如下表所示：</w:t>
            </w:r>
          </w:p>
          <w:p w14:paraId="47467736">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firstLine="0" w:firstLineChars="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highlight w:val="none"/>
              </w:rPr>
              <w:t>表2-</w:t>
            </w:r>
            <w:r>
              <w:rPr>
                <w:rFonts w:hint="eastAsia" w:ascii="黑体" w:hAnsi="黑体" w:eastAsia="黑体" w:cs="黑体"/>
                <w:b w:val="0"/>
                <w:bCs w:val="0"/>
                <w:color w:val="auto"/>
                <w:sz w:val="21"/>
                <w:szCs w:val="21"/>
                <w:highlight w:val="none"/>
                <w:lang w:val="en-US" w:eastAsia="zh-CN"/>
              </w:rPr>
              <w:t>4</w:t>
            </w:r>
            <w:r>
              <w:rPr>
                <w:rFonts w:hint="eastAsia" w:ascii="黑体" w:hAnsi="黑体" w:eastAsia="黑体" w:cs="黑体"/>
                <w:b w:val="0"/>
                <w:bCs w:val="0"/>
                <w:color w:val="auto"/>
                <w:sz w:val="21"/>
                <w:szCs w:val="21"/>
                <w:highlight w:val="none"/>
              </w:rPr>
              <w:t xml:space="preserve">  </w:t>
            </w:r>
            <w:r>
              <w:rPr>
                <w:rFonts w:hint="eastAsia" w:ascii="黑体" w:hAnsi="黑体" w:eastAsia="黑体" w:cs="黑体"/>
                <w:b w:val="0"/>
                <w:bCs w:val="0"/>
                <w:color w:val="auto"/>
                <w:sz w:val="21"/>
                <w:szCs w:val="21"/>
                <w:highlight w:val="none"/>
                <w:lang w:val="en-US" w:eastAsia="zh-CN"/>
              </w:rPr>
              <w:t>主要生产设备一览表</w:t>
            </w:r>
          </w:p>
          <w:tbl>
            <w:tblPr>
              <w:tblStyle w:val="21"/>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390"/>
              <w:gridCol w:w="1959"/>
              <w:gridCol w:w="11"/>
              <w:gridCol w:w="2263"/>
              <w:gridCol w:w="221"/>
              <w:gridCol w:w="760"/>
              <w:gridCol w:w="13"/>
              <w:gridCol w:w="862"/>
              <w:gridCol w:w="1369"/>
            </w:tblGrid>
            <w:tr w14:paraId="590B59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3FDD4CCD">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1255" w:type="pct"/>
                  <w:gridSpan w:val="2"/>
                  <w:noWrap w:val="0"/>
                  <w:vAlign w:val="center"/>
                </w:tcPr>
                <w:p w14:paraId="5E2D0313">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设备名称</w:t>
                  </w:r>
                </w:p>
              </w:tc>
              <w:tc>
                <w:tcPr>
                  <w:tcW w:w="1583" w:type="pct"/>
                  <w:gridSpan w:val="2"/>
                  <w:noWrap w:val="0"/>
                  <w:vAlign w:val="center"/>
                </w:tcPr>
                <w:p w14:paraId="30773E77">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规格型</w:t>
                  </w:r>
                  <w:r>
                    <w:rPr>
                      <w:rFonts w:hint="default" w:ascii="Times New Roman" w:hAnsi="Times New Roman" w:eastAsia="宋体" w:cs="Times New Roman"/>
                      <w:color w:val="auto"/>
                      <w:sz w:val="18"/>
                      <w:szCs w:val="18"/>
                    </w:rPr>
                    <w:cr/>
                  </w:r>
                </w:p>
              </w:tc>
              <w:tc>
                <w:tcPr>
                  <w:tcW w:w="492" w:type="pct"/>
                  <w:gridSpan w:val="2"/>
                  <w:noWrap w:val="0"/>
                  <w:vAlign w:val="center"/>
                </w:tcPr>
                <w:p w14:paraId="360B33C7">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单位</w:t>
                  </w:r>
                </w:p>
              </w:tc>
              <w:tc>
                <w:tcPr>
                  <w:tcW w:w="549" w:type="pct"/>
                  <w:noWrap w:val="0"/>
                  <w:vAlign w:val="center"/>
                </w:tcPr>
                <w:p w14:paraId="33E4C367">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数量</w:t>
                  </w:r>
                </w:p>
              </w:tc>
              <w:tc>
                <w:tcPr>
                  <w:tcW w:w="870" w:type="pct"/>
                  <w:noWrap w:val="0"/>
                  <w:vAlign w:val="center"/>
                </w:tcPr>
                <w:p w14:paraId="2856F14C">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备注</w:t>
                  </w:r>
                </w:p>
              </w:tc>
            </w:tr>
            <w:tr w14:paraId="24600F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000" w:type="pct"/>
                  <w:gridSpan w:val="9"/>
                  <w:noWrap w:val="0"/>
                  <w:vAlign w:val="center"/>
                </w:tcPr>
                <w:p w14:paraId="6C188FDA">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依托设备</w:t>
                  </w:r>
                </w:p>
              </w:tc>
            </w:tr>
            <w:tr w14:paraId="079147C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249" w:type="pct"/>
                  <w:noWrap w:val="0"/>
                  <w:vAlign w:val="center"/>
                </w:tcPr>
                <w:p w14:paraId="63221B3F">
                  <w:pPr>
                    <w:pStyle w:val="30"/>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一</w:t>
                  </w:r>
                </w:p>
              </w:tc>
              <w:tc>
                <w:tcPr>
                  <w:tcW w:w="4750" w:type="pct"/>
                  <w:gridSpan w:val="8"/>
                  <w:noWrap w:val="0"/>
                  <w:vAlign w:val="center"/>
                </w:tcPr>
                <w:p w14:paraId="15592A6F">
                  <w:pPr>
                    <w:pStyle w:val="30"/>
                    <w:jc w:val="both"/>
                    <w:rPr>
                      <w:rFonts w:hint="eastAsia"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破碎筛分</w:t>
                  </w:r>
                </w:p>
              </w:tc>
            </w:tr>
            <w:tr w14:paraId="0D3F240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90" w:type="dxa"/>
                  <w:noWrap w:val="0"/>
                  <w:vAlign w:val="center"/>
                </w:tcPr>
                <w:p w14:paraId="4E9F09E8">
                  <w:pPr>
                    <w:pStyle w:val="30"/>
                    <w:ind w:firstLine="0" w:firstLineChars="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1255" w:type="pct"/>
                  <w:gridSpan w:val="2"/>
                  <w:noWrap w:val="0"/>
                  <w:vAlign w:val="center"/>
                </w:tcPr>
                <w:p w14:paraId="5C66DD1D">
                  <w:pPr>
                    <w:pStyle w:val="32"/>
                    <w:rPr>
                      <w:rFonts w:hint="eastAsia" w:eastAsia="宋体"/>
                      <w:sz w:val="18"/>
                      <w:szCs w:val="18"/>
                      <w:lang w:val="en-US" w:eastAsia="zh-CN"/>
                    </w:rPr>
                  </w:pPr>
                  <w:r>
                    <w:rPr>
                      <w:rFonts w:hint="eastAsia"/>
                      <w:sz w:val="18"/>
                      <w:szCs w:val="18"/>
                      <w:lang w:val="en-US" w:eastAsia="zh-CN"/>
                    </w:rPr>
                    <w:t>移动式液压机</w:t>
                  </w:r>
                  <w:r>
                    <w:rPr>
                      <w:rFonts w:hint="eastAsia"/>
                      <w:lang w:eastAsia="zh-CN"/>
                    </w:rPr>
                    <w:t>（</w:t>
                  </w:r>
                  <w:r>
                    <w:rPr>
                      <w:rFonts w:hint="eastAsia"/>
                      <w:lang w:val="en-US" w:eastAsia="zh-CN"/>
                    </w:rPr>
                    <w:t>挖机</w:t>
                  </w:r>
                  <w:r>
                    <w:rPr>
                      <w:rFonts w:hint="eastAsia"/>
                      <w:lang w:eastAsia="zh-CN"/>
                    </w:rPr>
                    <w:t>）</w:t>
                  </w:r>
                </w:p>
              </w:tc>
              <w:tc>
                <w:tcPr>
                  <w:tcW w:w="1583" w:type="pct"/>
                  <w:gridSpan w:val="2"/>
                  <w:noWrap w:val="0"/>
                  <w:vAlign w:val="center"/>
                </w:tcPr>
                <w:p w14:paraId="00024325">
                  <w:pPr>
                    <w:pStyle w:val="32"/>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92" w:type="pct"/>
                  <w:gridSpan w:val="2"/>
                  <w:noWrap w:val="0"/>
                  <w:vAlign w:val="center"/>
                </w:tcPr>
                <w:p w14:paraId="4A483E6C">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台</w:t>
                  </w:r>
                </w:p>
              </w:tc>
              <w:tc>
                <w:tcPr>
                  <w:tcW w:w="549" w:type="pct"/>
                  <w:noWrap w:val="0"/>
                  <w:vAlign w:val="center"/>
                </w:tcPr>
                <w:p w14:paraId="7C4D603C">
                  <w:pPr>
                    <w:pStyle w:val="32"/>
                    <w:rPr>
                      <w:rFonts w:hint="eastAsia" w:eastAsia="宋体"/>
                      <w:sz w:val="18"/>
                      <w:szCs w:val="18"/>
                      <w:lang w:val="en-US" w:eastAsia="zh-CN"/>
                    </w:rPr>
                  </w:pPr>
                  <w:r>
                    <w:rPr>
                      <w:rFonts w:hint="eastAsia"/>
                      <w:sz w:val="18"/>
                      <w:szCs w:val="18"/>
                      <w:lang w:val="en-US" w:eastAsia="zh-CN"/>
                    </w:rPr>
                    <w:t>1</w:t>
                  </w:r>
                </w:p>
              </w:tc>
              <w:tc>
                <w:tcPr>
                  <w:tcW w:w="870" w:type="pct"/>
                  <w:noWrap w:val="0"/>
                  <w:vAlign w:val="center"/>
                </w:tcPr>
                <w:p w14:paraId="5F4259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依托</w:t>
                  </w:r>
                </w:p>
              </w:tc>
            </w:tr>
            <w:tr w14:paraId="45260C1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90" w:type="dxa"/>
                  <w:noWrap w:val="0"/>
                  <w:vAlign w:val="center"/>
                </w:tcPr>
                <w:p w14:paraId="06A06639">
                  <w:pPr>
                    <w:pStyle w:val="3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255" w:type="pct"/>
                  <w:gridSpan w:val="2"/>
                  <w:noWrap w:val="0"/>
                  <w:vAlign w:val="center"/>
                </w:tcPr>
                <w:p w14:paraId="4F895CD2">
                  <w:pPr>
                    <w:pStyle w:val="32"/>
                    <w:rPr>
                      <w:rFonts w:hint="default" w:ascii="Times New Roman" w:hAnsi="Times New Roman" w:eastAsia="宋体" w:cs="Times New Roman"/>
                      <w:color w:val="auto"/>
                      <w:sz w:val="18"/>
                      <w:szCs w:val="18"/>
                      <w:lang w:val="en-US" w:eastAsia="zh-CN"/>
                    </w:rPr>
                  </w:pPr>
                  <w:r>
                    <w:rPr>
                      <w:rFonts w:hint="eastAsia"/>
                      <w:sz w:val="18"/>
                      <w:szCs w:val="18"/>
                    </w:rPr>
                    <w:t>颚式破碎机（粗碎）</w:t>
                  </w:r>
                </w:p>
              </w:tc>
              <w:tc>
                <w:tcPr>
                  <w:tcW w:w="1583" w:type="pct"/>
                  <w:gridSpan w:val="2"/>
                  <w:noWrap w:val="0"/>
                  <w:vAlign w:val="center"/>
                </w:tcPr>
                <w:p w14:paraId="388B0771">
                  <w:pPr>
                    <w:pStyle w:val="32"/>
                    <w:rPr>
                      <w:rFonts w:hint="default" w:ascii="Times New Roman" w:hAnsi="Times New Roman" w:eastAsia="宋体" w:cs="Times New Roman"/>
                      <w:color w:val="auto"/>
                      <w:sz w:val="18"/>
                      <w:szCs w:val="18"/>
                    </w:rPr>
                  </w:pPr>
                  <w:r>
                    <w:rPr>
                      <w:rFonts w:hint="default" w:ascii="Times New Roman" w:hAnsi="Times New Roman" w:eastAsia="宋体" w:cs="Times New Roman"/>
                      <w:sz w:val="18"/>
                      <w:szCs w:val="18"/>
                    </w:rPr>
                    <w:t>BH1000×4000</w:t>
                  </w:r>
                </w:p>
              </w:tc>
              <w:tc>
                <w:tcPr>
                  <w:tcW w:w="492" w:type="pct"/>
                  <w:gridSpan w:val="2"/>
                  <w:noWrap w:val="0"/>
                  <w:vAlign w:val="center"/>
                </w:tcPr>
                <w:p w14:paraId="1801B049">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549" w:type="pct"/>
                  <w:noWrap w:val="0"/>
                  <w:vAlign w:val="center"/>
                </w:tcPr>
                <w:p w14:paraId="6E21C27F">
                  <w:pPr>
                    <w:pStyle w:val="32"/>
                    <w:rPr>
                      <w:rFonts w:hint="eastAsia" w:ascii="Times New Roman" w:hAnsi="Times New Roman" w:eastAsia="宋体" w:cs="Times New Roman"/>
                      <w:color w:val="auto"/>
                      <w:sz w:val="18"/>
                      <w:szCs w:val="18"/>
                      <w:lang w:eastAsia="zh-CN"/>
                    </w:rPr>
                  </w:pPr>
                  <w:r>
                    <w:rPr>
                      <w:rFonts w:hint="eastAsia"/>
                      <w:sz w:val="18"/>
                      <w:szCs w:val="18"/>
                    </w:rPr>
                    <w:t>1</w:t>
                  </w:r>
                </w:p>
              </w:tc>
              <w:tc>
                <w:tcPr>
                  <w:tcW w:w="870" w:type="pct"/>
                  <w:noWrap w:val="0"/>
                  <w:vAlign w:val="center"/>
                </w:tcPr>
                <w:p w14:paraId="243887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依托</w:t>
                  </w:r>
                </w:p>
              </w:tc>
            </w:tr>
            <w:tr w14:paraId="01719C0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90" w:type="dxa"/>
                  <w:noWrap w:val="0"/>
                  <w:vAlign w:val="center"/>
                </w:tcPr>
                <w:p w14:paraId="3C2A653B">
                  <w:pPr>
                    <w:pStyle w:val="3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1255" w:type="pct"/>
                  <w:gridSpan w:val="2"/>
                  <w:noWrap w:val="0"/>
                  <w:vAlign w:val="center"/>
                </w:tcPr>
                <w:p w14:paraId="36F607D6">
                  <w:pPr>
                    <w:pStyle w:val="32"/>
                    <w:rPr>
                      <w:rFonts w:hint="default" w:ascii="Times New Roman" w:hAnsi="Times New Roman" w:eastAsia="宋体" w:cs="Times New Roman"/>
                      <w:color w:val="auto"/>
                      <w:sz w:val="18"/>
                      <w:szCs w:val="18"/>
                    </w:rPr>
                  </w:pPr>
                  <w:r>
                    <w:rPr>
                      <w:rFonts w:hint="eastAsia"/>
                      <w:sz w:val="18"/>
                      <w:szCs w:val="18"/>
                    </w:rPr>
                    <w:t>板式给料机</w:t>
                  </w:r>
                </w:p>
              </w:tc>
              <w:tc>
                <w:tcPr>
                  <w:tcW w:w="1583" w:type="pct"/>
                  <w:gridSpan w:val="2"/>
                  <w:noWrap w:val="0"/>
                  <w:vAlign w:val="center"/>
                </w:tcPr>
                <w:p w14:paraId="453756E5">
                  <w:pPr>
                    <w:pStyle w:val="32"/>
                    <w:rPr>
                      <w:rFonts w:hint="default" w:ascii="Times New Roman" w:hAnsi="Times New Roman" w:eastAsia="宋体" w:cs="Times New Roman"/>
                      <w:color w:val="auto"/>
                      <w:sz w:val="18"/>
                      <w:szCs w:val="18"/>
                    </w:rPr>
                  </w:pPr>
                  <w:r>
                    <w:rPr>
                      <w:rFonts w:hint="default" w:ascii="Times New Roman" w:hAnsi="Times New Roman" w:eastAsia="宋体" w:cs="Times New Roman"/>
                      <w:sz w:val="18"/>
                      <w:szCs w:val="18"/>
                    </w:rPr>
                    <w:t>CJ408</w:t>
                  </w:r>
                </w:p>
              </w:tc>
              <w:tc>
                <w:tcPr>
                  <w:tcW w:w="492" w:type="pct"/>
                  <w:gridSpan w:val="2"/>
                  <w:noWrap w:val="0"/>
                  <w:vAlign w:val="center"/>
                </w:tcPr>
                <w:p w14:paraId="486A6F32">
                  <w:pPr>
                    <w:pStyle w:val="30"/>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台</w:t>
                  </w:r>
                </w:p>
              </w:tc>
              <w:tc>
                <w:tcPr>
                  <w:tcW w:w="549" w:type="pct"/>
                  <w:noWrap w:val="0"/>
                  <w:vAlign w:val="center"/>
                </w:tcPr>
                <w:p w14:paraId="2AAB0404">
                  <w:pPr>
                    <w:pStyle w:val="32"/>
                    <w:rPr>
                      <w:rFonts w:hint="eastAsia" w:ascii="Times New Roman" w:hAnsi="Times New Roman" w:eastAsia="宋体" w:cs="Times New Roman"/>
                      <w:color w:val="auto"/>
                      <w:sz w:val="18"/>
                      <w:szCs w:val="18"/>
                      <w:lang w:eastAsia="zh-CN"/>
                    </w:rPr>
                  </w:pPr>
                  <w:r>
                    <w:rPr>
                      <w:rFonts w:hint="eastAsia"/>
                      <w:sz w:val="18"/>
                      <w:szCs w:val="18"/>
                    </w:rPr>
                    <w:t>2</w:t>
                  </w:r>
                </w:p>
              </w:tc>
              <w:tc>
                <w:tcPr>
                  <w:tcW w:w="870" w:type="pct"/>
                  <w:noWrap w:val="0"/>
                  <w:vAlign w:val="center"/>
                </w:tcPr>
                <w:p w14:paraId="06A844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332EDB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90" w:type="dxa"/>
                  <w:noWrap w:val="0"/>
                  <w:vAlign w:val="center"/>
                </w:tcPr>
                <w:p w14:paraId="4F8238AC">
                  <w:pPr>
                    <w:pStyle w:val="3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255" w:type="pct"/>
                  <w:gridSpan w:val="2"/>
                  <w:noWrap w:val="0"/>
                  <w:vAlign w:val="center"/>
                </w:tcPr>
                <w:p w14:paraId="4DE4C6A3">
                  <w:pPr>
                    <w:pStyle w:val="32"/>
                    <w:rPr>
                      <w:rFonts w:hint="eastAsia" w:ascii="Times New Roman" w:hAnsi="Times New Roman" w:eastAsia="宋体" w:cs="Times New Roman"/>
                      <w:color w:val="auto"/>
                      <w:sz w:val="18"/>
                      <w:szCs w:val="18"/>
                      <w:lang w:val="en-US" w:eastAsia="zh-CN"/>
                    </w:rPr>
                  </w:pPr>
                  <w:r>
                    <w:rPr>
                      <w:rFonts w:hint="eastAsia"/>
                      <w:sz w:val="18"/>
                      <w:szCs w:val="18"/>
                    </w:rPr>
                    <w:t>颚式破碎机（中碎）</w:t>
                  </w:r>
                </w:p>
              </w:tc>
              <w:tc>
                <w:tcPr>
                  <w:tcW w:w="1583" w:type="pct"/>
                  <w:gridSpan w:val="2"/>
                  <w:noWrap w:val="0"/>
                  <w:vAlign w:val="center"/>
                </w:tcPr>
                <w:p w14:paraId="58DAEEE6">
                  <w:pPr>
                    <w:pStyle w:val="32"/>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NH300</w:t>
                  </w:r>
                </w:p>
              </w:tc>
              <w:tc>
                <w:tcPr>
                  <w:tcW w:w="492" w:type="pct"/>
                  <w:gridSpan w:val="2"/>
                  <w:noWrap w:val="0"/>
                  <w:vAlign w:val="center"/>
                </w:tcPr>
                <w:p w14:paraId="7FE17482">
                  <w:pPr>
                    <w:pStyle w:val="3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台</w:t>
                  </w:r>
                </w:p>
              </w:tc>
              <w:tc>
                <w:tcPr>
                  <w:tcW w:w="549" w:type="pct"/>
                  <w:noWrap w:val="0"/>
                  <w:vAlign w:val="center"/>
                </w:tcPr>
                <w:p w14:paraId="77C212DA">
                  <w:pPr>
                    <w:pStyle w:val="32"/>
                    <w:rPr>
                      <w:rFonts w:hint="default" w:ascii="Times New Roman" w:hAnsi="Times New Roman" w:cs="Times New Roman"/>
                      <w:color w:val="auto"/>
                      <w:sz w:val="18"/>
                      <w:szCs w:val="18"/>
                      <w:highlight w:val="none"/>
                      <w:lang w:val="en-US" w:eastAsia="zh-CN"/>
                    </w:rPr>
                  </w:pPr>
                  <w:r>
                    <w:rPr>
                      <w:rFonts w:hint="eastAsia"/>
                      <w:sz w:val="18"/>
                      <w:szCs w:val="18"/>
                    </w:rPr>
                    <w:t>1</w:t>
                  </w:r>
                </w:p>
              </w:tc>
              <w:tc>
                <w:tcPr>
                  <w:tcW w:w="870" w:type="pct"/>
                  <w:noWrap w:val="0"/>
                  <w:vAlign w:val="center"/>
                </w:tcPr>
                <w:p w14:paraId="562A6E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0809079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90" w:type="dxa"/>
                  <w:noWrap w:val="0"/>
                  <w:vAlign w:val="center"/>
                </w:tcPr>
                <w:p w14:paraId="5B97555E">
                  <w:pPr>
                    <w:pStyle w:val="3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255" w:type="pct"/>
                  <w:gridSpan w:val="2"/>
                  <w:noWrap w:val="0"/>
                  <w:vAlign w:val="center"/>
                </w:tcPr>
                <w:p w14:paraId="3C1E11C4">
                  <w:pPr>
                    <w:pStyle w:val="32"/>
                    <w:rPr>
                      <w:rFonts w:hint="eastAsia" w:ascii="Times New Roman" w:hAnsi="Times New Roman" w:eastAsia="宋体" w:cs="Times New Roman"/>
                      <w:color w:val="auto"/>
                      <w:sz w:val="18"/>
                      <w:szCs w:val="18"/>
                      <w:lang w:val="en-US" w:eastAsia="zh-CN"/>
                    </w:rPr>
                  </w:pPr>
                  <w:r>
                    <w:rPr>
                      <w:rFonts w:hint="eastAsia"/>
                      <w:sz w:val="18"/>
                      <w:szCs w:val="18"/>
                    </w:rPr>
                    <w:t>圆锥破碎机（细碎）</w:t>
                  </w:r>
                </w:p>
              </w:tc>
              <w:tc>
                <w:tcPr>
                  <w:tcW w:w="1583" w:type="pct"/>
                  <w:gridSpan w:val="2"/>
                  <w:noWrap w:val="0"/>
                  <w:vAlign w:val="center"/>
                </w:tcPr>
                <w:p w14:paraId="1467A652">
                  <w:pPr>
                    <w:pStyle w:val="32"/>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2YA1848</w:t>
                  </w:r>
                </w:p>
              </w:tc>
              <w:tc>
                <w:tcPr>
                  <w:tcW w:w="492" w:type="pct"/>
                  <w:gridSpan w:val="2"/>
                  <w:noWrap w:val="0"/>
                  <w:vAlign w:val="center"/>
                </w:tcPr>
                <w:p w14:paraId="6AE4AD8B">
                  <w:pPr>
                    <w:pStyle w:val="3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台</w:t>
                  </w:r>
                </w:p>
              </w:tc>
              <w:tc>
                <w:tcPr>
                  <w:tcW w:w="549" w:type="pct"/>
                  <w:noWrap w:val="0"/>
                  <w:vAlign w:val="center"/>
                </w:tcPr>
                <w:p w14:paraId="302E1BDE">
                  <w:pPr>
                    <w:pStyle w:val="32"/>
                    <w:rPr>
                      <w:rFonts w:hint="default" w:ascii="Times New Roman" w:hAnsi="Times New Roman" w:cs="Times New Roman"/>
                      <w:color w:val="auto"/>
                      <w:sz w:val="18"/>
                      <w:szCs w:val="18"/>
                      <w:lang w:val="en-US" w:eastAsia="zh-CN"/>
                    </w:rPr>
                  </w:pPr>
                  <w:r>
                    <w:rPr>
                      <w:rFonts w:hint="eastAsia"/>
                      <w:sz w:val="18"/>
                      <w:szCs w:val="18"/>
                    </w:rPr>
                    <w:t>2</w:t>
                  </w:r>
                </w:p>
              </w:tc>
              <w:tc>
                <w:tcPr>
                  <w:tcW w:w="870" w:type="pct"/>
                  <w:noWrap w:val="0"/>
                  <w:vAlign w:val="center"/>
                </w:tcPr>
                <w:p w14:paraId="22F175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00862C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90" w:type="dxa"/>
                  <w:noWrap w:val="0"/>
                  <w:vAlign w:val="center"/>
                </w:tcPr>
                <w:p w14:paraId="72F54D83">
                  <w:pPr>
                    <w:pStyle w:val="30"/>
                    <w:ind w:firstLine="0" w:firstLineChars="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255" w:type="pct"/>
                  <w:gridSpan w:val="2"/>
                  <w:noWrap w:val="0"/>
                  <w:vAlign w:val="center"/>
                </w:tcPr>
                <w:p w14:paraId="548726C8">
                  <w:pPr>
                    <w:pStyle w:val="32"/>
                    <w:rPr>
                      <w:rFonts w:hint="eastAsia" w:ascii="Times New Roman" w:hAnsi="Times New Roman" w:eastAsia="宋体" w:cs="Times New Roman"/>
                      <w:color w:val="auto"/>
                      <w:sz w:val="18"/>
                      <w:szCs w:val="18"/>
                      <w:lang w:val="en-US" w:eastAsia="zh-CN"/>
                    </w:rPr>
                  </w:pPr>
                  <w:r>
                    <w:rPr>
                      <w:rFonts w:hint="eastAsia"/>
                      <w:sz w:val="18"/>
                      <w:szCs w:val="18"/>
                    </w:rPr>
                    <w:t>圆振动筛</w:t>
                  </w:r>
                </w:p>
              </w:tc>
              <w:tc>
                <w:tcPr>
                  <w:tcW w:w="1583" w:type="pct"/>
                  <w:gridSpan w:val="2"/>
                  <w:noWrap w:val="0"/>
                  <w:vAlign w:val="center"/>
                </w:tcPr>
                <w:p w14:paraId="5FCC2D6B">
                  <w:pPr>
                    <w:pStyle w:val="32"/>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LD型Q=10tH=18mLk=7.5m</w:t>
                  </w:r>
                </w:p>
              </w:tc>
              <w:tc>
                <w:tcPr>
                  <w:tcW w:w="492" w:type="pct"/>
                  <w:gridSpan w:val="2"/>
                  <w:noWrap w:val="0"/>
                  <w:vAlign w:val="center"/>
                </w:tcPr>
                <w:p w14:paraId="67C81B78">
                  <w:pPr>
                    <w:pStyle w:val="30"/>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台</w:t>
                  </w:r>
                </w:p>
              </w:tc>
              <w:tc>
                <w:tcPr>
                  <w:tcW w:w="549" w:type="pct"/>
                  <w:noWrap w:val="0"/>
                  <w:vAlign w:val="center"/>
                </w:tcPr>
                <w:p w14:paraId="72F1E6CB">
                  <w:pPr>
                    <w:pStyle w:val="32"/>
                    <w:rPr>
                      <w:rFonts w:hint="default" w:ascii="Times New Roman" w:hAnsi="Times New Roman" w:cs="Times New Roman"/>
                      <w:color w:val="auto"/>
                      <w:sz w:val="18"/>
                      <w:szCs w:val="18"/>
                      <w:lang w:val="en-US" w:eastAsia="zh-CN"/>
                    </w:rPr>
                  </w:pPr>
                  <w:r>
                    <w:rPr>
                      <w:rFonts w:hint="eastAsia"/>
                      <w:sz w:val="18"/>
                      <w:szCs w:val="18"/>
                    </w:rPr>
                    <w:t>1</w:t>
                  </w:r>
                </w:p>
              </w:tc>
              <w:tc>
                <w:tcPr>
                  <w:tcW w:w="870" w:type="pct"/>
                  <w:noWrap w:val="0"/>
                  <w:vAlign w:val="center"/>
                </w:tcPr>
                <w:p w14:paraId="605D47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36E301B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13EA7460">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7</w:t>
                  </w:r>
                </w:p>
              </w:tc>
              <w:tc>
                <w:tcPr>
                  <w:tcW w:w="1255" w:type="pct"/>
                  <w:gridSpan w:val="2"/>
                  <w:noWrap w:val="0"/>
                  <w:vAlign w:val="center"/>
                </w:tcPr>
                <w:p w14:paraId="408A0F67">
                  <w:pPr>
                    <w:pStyle w:val="32"/>
                    <w:rPr>
                      <w:rFonts w:hint="eastAsia" w:ascii="Times New Roman" w:hAnsi="Times New Roman" w:eastAsia="宋体" w:cs="Times New Roman"/>
                      <w:color w:val="auto"/>
                      <w:sz w:val="18"/>
                      <w:szCs w:val="18"/>
                      <w:lang w:val="en-US" w:eastAsia="zh-CN"/>
                    </w:rPr>
                  </w:pPr>
                  <w:r>
                    <w:rPr>
                      <w:rFonts w:hint="eastAsia"/>
                      <w:sz w:val="18"/>
                      <w:szCs w:val="18"/>
                    </w:rPr>
                    <w:t>电动单梁起重机</w:t>
                  </w:r>
                </w:p>
              </w:tc>
              <w:tc>
                <w:tcPr>
                  <w:tcW w:w="1583" w:type="pct"/>
                  <w:gridSpan w:val="2"/>
                  <w:noWrap w:val="0"/>
                  <w:vAlign w:val="center"/>
                </w:tcPr>
                <w:p w14:paraId="458CEAD0">
                  <w:pPr>
                    <w:pStyle w:val="32"/>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C100</w:t>
                  </w:r>
                </w:p>
              </w:tc>
              <w:tc>
                <w:tcPr>
                  <w:tcW w:w="492" w:type="pct"/>
                  <w:gridSpan w:val="2"/>
                  <w:noWrap w:val="0"/>
                  <w:vAlign w:val="center"/>
                </w:tcPr>
                <w:p w14:paraId="3E91F05C">
                  <w:pPr>
                    <w:pStyle w:val="3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台</w:t>
                  </w:r>
                </w:p>
              </w:tc>
              <w:tc>
                <w:tcPr>
                  <w:tcW w:w="549" w:type="pct"/>
                  <w:noWrap w:val="0"/>
                  <w:vAlign w:val="center"/>
                </w:tcPr>
                <w:p w14:paraId="0378EDD3">
                  <w:pPr>
                    <w:pStyle w:val="32"/>
                    <w:rPr>
                      <w:rFonts w:hint="default" w:ascii="Times New Roman" w:hAnsi="Times New Roman" w:cs="Times New Roman"/>
                      <w:color w:val="auto"/>
                      <w:sz w:val="18"/>
                      <w:szCs w:val="18"/>
                      <w:lang w:val="en-US" w:eastAsia="zh-CN"/>
                    </w:rPr>
                  </w:pPr>
                  <w:r>
                    <w:rPr>
                      <w:rFonts w:hint="eastAsia"/>
                      <w:sz w:val="18"/>
                      <w:szCs w:val="18"/>
                    </w:rPr>
                    <w:t>1</w:t>
                  </w:r>
                </w:p>
              </w:tc>
              <w:tc>
                <w:tcPr>
                  <w:tcW w:w="870" w:type="pct"/>
                  <w:noWrap w:val="0"/>
                  <w:vAlign w:val="center"/>
                </w:tcPr>
                <w:p w14:paraId="6BCB9A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1F13C29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1F616D5E">
                  <w:pPr>
                    <w:pStyle w:val="30"/>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二</w:t>
                  </w:r>
                </w:p>
              </w:tc>
              <w:tc>
                <w:tcPr>
                  <w:tcW w:w="4750" w:type="pct"/>
                  <w:gridSpan w:val="8"/>
                  <w:noWrap w:val="0"/>
                  <w:vAlign w:val="center"/>
                </w:tcPr>
                <w:p w14:paraId="61E09F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磨矿浮选</w:t>
                  </w:r>
                </w:p>
              </w:tc>
            </w:tr>
            <w:tr w14:paraId="338CA4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458E198E">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8</w:t>
                  </w:r>
                </w:p>
              </w:tc>
              <w:tc>
                <w:tcPr>
                  <w:tcW w:w="1255" w:type="pct"/>
                  <w:gridSpan w:val="2"/>
                  <w:noWrap w:val="0"/>
                  <w:vAlign w:val="center"/>
                </w:tcPr>
                <w:p w14:paraId="2B44E073">
                  <w:pPr>
                    <w:pStyle w:val="32"/>
                    <w:rPr>
                      <w:rFonts w:hint="eastAsia"/>
                      <w:sz w:val="18"/>
                      <w:szCs w:val="18"/>
                      <w:lang w:val="en-US" w:eastAsia="zh-CN"/>
                    </w:rPr>
                  </w:pPr>
                  <w:r>
                    <w:rPr>
                      <w:rFonts w:hint="eastAsia"/>
                      <w:sz w:val="18"/>
                      <w:szCs w:val="18"/>
                    </w:rPr>
                    <w:t>1#格子型球磨机（一段）</w:t>
                  </w:r>
                </w:p>
              </w:tc>
              <w:tc>
                <w:tcPr>
                  <w:tcW w:w="1583" w:type="pct"/>
                  <w:gridSpan w:val="2"/>
                  <w:noWrap w:val="0"/>
                  <w:vAlign w:val="center"/>
                </w:tcPr>
                <w:p w14:paraId="0BCF2F96">
                  <w:pPr>
                    <w:pStyle w:val="32"/>
                    <w:rPr>
                      <w:rFonts w:hint="eastAsia"/>
                      <w:sz w:val="18"/>
                      <w:szCs w:val="18"/>
                      <w:lang w:val="en-US" w:eastAsia="zh-CN"/>
                    </w:rPr>
                  </w:pPr>
                  <w:r>
                    <w:rPr>
                      <w:rFonts w:hint="eastAsia"/>
                      <w:sz w:val="18"/>
                      <w:szCs w:val="18"/>
                    </w:rPr>
                    <w:t>MQGφ2400×3600</w:t>
                  </w:r>
                </w:p>
              </w:tc>
              <w:tc>
                <w:tcPr>
                  <w:tcW w:w="492" w:type="pct"/>
                  <w:gridSpan w:val="2"/>
                  <w:noWrap w:val="0"/>
                  <w:vAlign w:val="center"/>
                </w:tcPr>
                <w:p w14:paraId="46DB72A1">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台</w:t>
                  </w:r>
                </w:p>
              </w:tc>
              <w:tc>
                <w:tcPr>
                  <w:tcW w:w="549" w:type="pct"/>
                  <w:noWrap w:val="0"/>
                  <w:vAlign w:val="center"/>
                </w:tcPr>
                <w:p w14:paraId="68082B09">
                  <w:pPr>
                    <w:pStyle w:val="3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75A551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5781C01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407CF3F6">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9</w:t>
                  </w:r>
                </w:p>
              </w:tc>
              <w:tc>
                <w:tcPr>
                  <w:tcW w:w="1255" w:type="pct"/>
                  <w:gridSpan w:val="2"/>
                  <w:noWrap w:val="0"/>
                  <w:vAlign w:val="center"/>
                </w:tcPr>
                <w:p w14:paraId="508FDE13">
                  <w:pPr>
                    <w:pStyle w:val="32"/>
                    <w:rPr>
                      <w:rFonts w:hint="eastAsia"/>
                      <w:sz w:val="18"/>
                      <w:szCs w:val="18"/>
                      <w:lang w:val="en-US" w:eastAsia="zh-CN"/>
                    </w:rPr>
                  </w:pPr>
                  <w:r>
                    <w:rPr>
                      <w:rFonts w:hint="eastAsia"/>
                      <w:sz w:val="18"/>
                      <w:szCs w:val="18"/>
                    </w:rPr>
                    <w:t>2#溢流型球磨机（磁性精矿再磨）</w:t>
                  </w:r>
                </w:p>
              </w:tc>
              <w:tc>
                <w:tcPr>
                  <w:tcW w:w="1583" w:type="pct"/>
                  <w:gridSpan w:val="2"/>
                  <w:noWrap w:val="0"/>
                  <w:vAlign w:val="center"/>
                </w:tcPr>
                <w:p w14:paraId="6FD46E5B">
                  <w:pPr>
                    <w:pStyle w:val="32"/>
                    <w:rPr>
                      <w:rFonts w:hint="eastAsia"/>
                      <w:sz w:val="18"/>
                      <w:szCs w:val="18"/>
                      <w:lang w:val="en-US" w:eastAsia="zh-CN"/>
                    </w:rPr>
                  </w:pPr>
                  <w:r>
                    <w:rPr>
                      <w:rFonts w:hint="eastAsia"/>
                      <w:sz w:val="18"/>
                      <w:szCs w:val="18"/>
                    </w:rPr>
                    <w:t>MQYφ2400×3600</w:t>
                  </w:r>
                </w:p>
              </w:tc>
              <w:tc>
                <w:tcPr>
                  <w:tcW w:w="492" w:type="pct"/>
                  <w:gridSpan w:val="2"/>
                  <w:noWrap w:val="0"/>
                  <w:vAlign w:val="center"/>
                </w:tcPr>
                <w:p w14:paraId="45041086">
                  <w:pPr>
                    <w:pStyle w:val="3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30186647">
                  <w:pPr>
                    <w:pStyle w:val="3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61238F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6B033E8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730407E4">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1255" w:type="pct"/>
                  <w:gridSpan w:val="2"/>
                  <w:noWrap w:val="0"/>
                  <w:vAlign w:val="center"/>
                </w:tcPr>
                <w:p w14:paraId="44C50675">
                  <w:pPr>
                    <w:pStyle w:val="32"/>
                    <w:rPr>
                      <w:rFonts w:hint="eastAsia"/>
                      <w:sz w:val="18"/>
                      <w:szCs w:val="18"/>
                      <w:lang w:val="en-US" w:eastAsia="zh-CN"/>
                    </w:rPr>
                  </w:pPr>
                  <w:r>
                    <w:rPr>
                      <w:rFonts w:hint="eastAsia"/>
                      <w:sz w:val="18"/>
                      <w:szCs w:val="18"/>
                    </w:rPr>
                    <w:t>一段分级旋流器（1#磨）</w:t>
                  </w:r>
                </w:p>
              </w:tc>
              <w:tc>
                <w:tcPr>
                  <w:tcW w:w="1583" w:type="pct"/>
                  <w:gridSpan w:val="2"/>
                  <w:noWrap w:val="0"/>
                  <w:vAlign w:val="center"/>
                </w:tcPr>
                <w:p w14:paraId="43707F1E">
                  <w:pPr>
                    <w:pStyle w:val="32"/>
                    <w:rPr>
                      <w:rFonts w:hint="eastAsia"/>
                      <w:sz w:val="18"/>
                      <w:szCs w:val="18"/>
                      <w:lang w:val="en-US" w:eastAsia="zh-CN"/>
                    </w:rPr>
                  </w:pPr>
                  <w:r>
                    <w:rPr>
                      <w:rFonts w:hint="eastAsia"/>
                      <w:sz w:val="18"/>
                      <w:szCs w:val="18"/>
                    </w:rPr>
                    <w:t>φ350×2</w:t>
                  </w:r>
                </w:p>
              </w:tc>
              <w:tc>
                <w:tcPr>
                  <w:tcW w:w="492" w:type="pct"/>
                  <w:gridSpan w:val="2"/>
                  <w:noWrap w:val="0"/>
                  <w:vAlign w:val="center"/>
                </w:tcPr>
                <w:p w14:paraId="48F79F2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4346DD83">
                  <w:pPr>
                    <w:pStyle w:val="30"/>
                    <w:ind w:firstLine="0" w:firstLineChars="0"/>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1</w:t>
                  </w:r>
                </w:p>
              </w:tc>
              <w:tc>
                <w:tcPr>
                  <w:tcW w:w="870" w:type="pct"/>
                  <w:noWrap w:val="0"/>
                  <w:vAlign w:val="center"/>
                </w:tcPr>
                <w:p w14:paraId="72EEB2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依托，1用1备</w:t>
                  </w:r>
                </w:p>
              </w:tc>
            </w:tr>
            <w:tr w14:paraId="3793D6F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1D8C42B7">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11</w:t>
                  </w:r>
                </w:p>
              </w:tc>
              <w:tc>
                <w:tcPr>
                  <w:tcW w:w="1255" w:type="pct"/>
                  <w:gridSpan w:val="2"/>
                  <w:noWrap w:val="0"/>
                  <w:vAlign w:val="center"/>
                </w:tcPr>
                <w:p w14:paraId="2BAC0A5E">
                  <w:pPr>
                    <w:pStyle w:val="32"/>
                    <w:rPr>
                      <w:rFonts w:hint="eastAsia"/>
                      <w:sz w:val="18"/>
                      <w:szCs w:val="18"/>
                      <w:lang w:val="en-US" w:eastAsia="zh-CN"/>
                    </w:rPr>
                  </w:pPr>
                  <w:r>
                    <w:rPr>
                      <w:rFonts w:hint="eastAsia"/>
                      <w:sz w:val="18"/>
                      <w:szCs w:val="18"/>
                    </w:rPr>
                    <w:t>再磨分级旋流器（2#磨）</w:t>
                  </w:r>
                </w:p>
              </w:tc>
              <w:tc>
                <w:tcPr>
                  <w:tcW w:w="1583" w:type="pct"/>
                  <w:gridSpan w:val="2"/>
                  <w:noWrap w:val="0"/>
                  <w:vAlign w:val="center"/>
                </w:tcPr>
                <w:p w14:paraId="416A8987">
                  <w:pPr>
                    <w:pStyle w:val="32"/>
                    <w:rPr>
                      <w:rFonts w:hint="eastAsia"/>
                      <w:sz w:val="18"/>
                      <w:szCs w:val="18"/>
                      <w:lang w:val="en-US" w:eastAsia="zh-CN"/>
                    </w:rPr>
                  </w:pPr>
                  <w:r>
                    <w:rPr>
                      <w:rFonts w:hint="eastAsia"/>
                      <w:sz w:val="18"/>
                      <w:szCs w:val="18"/>
                    </w:rPr>
                    <w:t>φ350+φ150</w:t>
                  </w:r>
                </w:p>
              </w:tc>
              <w:tc>
                <w:tcPr>
                  <w:tcW w:w="492" w:type="pct"/>
                  <w:gridSpan w:val="2"/>
                  <w:noWrap w:val="0"/>
                  <w:vAlign w:val="center"/>
                </w:tcPr>
                <w:p w14:paraId="55D7920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27B0552A">
                  <w:pPr>
                    <w:pStyle w:val="3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01950F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依托，1用1备</w:t>
                  </w:r>
                </w:p>
              </w:tc>
            </w:tr>
            <w:tr w14:paraId="459E56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43F06041">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12</w:t>
                  </w:r>
                </w:p>
              </w:tc>
              <w:tc>
                <w:tcPr>
                  <w:tcW w:w="1255" w:type="pct"/>
                  <w:gridSpan w:val="2"/>
                  <w:noWrap w:val="0"/>
                  <w:vAlign w:val="center"/>
                </w:tcPr>
                <w:p w14:paraId="4D347136">
                  <w:pPr>
                    <w:pStyle w:val="32"/>
                    <w:rPr>
                      <w:rFonts w:hint="eastAsia"/>
                      <w:sz w:val="18"/>
                      <w:szCs w:val="18"/>
                      <w:lang w:val="en-US" w:eastAsia="zh-CN"/>
                    </w:rPr>
                  </w:pPr>
                  <w:r>
                    <w:rPr>
                      <w:rFonts w:hint="eastAsia"/>
                      <w:sz w:val="18"/>
                      <w:szCs w:val="18"/>
                    </w:rPr>
                    <w:t>双吊钩桥式起重机</w:t>
                  </w:r>
                </w:p>
              </w:tc>
              <w:tc>
                <w:tcPr>
                  <w:tcW w:w="1583" w:type="pct"/>
                  <w:gridSpan w:val="2"/>
                  <w:noWrap w:val="0"/>
                  <w:vAlign w:val="center"/>
                </w:tcPr>
                <w:p w14:paraId="0001E6AB">
                  <w:pPr>
                    <w:pStyle w:val="32"/>
                    <w:rPr>
                      <w:rFonts w:hint="eastAsia"/>
                      <w:sz w:val="18"/>
                      <w:szCs w:val="18"/>
                      <w:lang w:val="en-US" w:eastAsia="zh-CN"/>
                    </w:rPr>
                  </w:pPr>
                  <w:r>
                    <w:rPr>
                      <w:rFonts w:hint="eastAsia"/>
                      <w:sz w:val="18"/>
                      <w:szCs w:val="18"/>
                    </w:rPr>
                    <w:t>QD型Q=20/5t</w:t>
                  </w:r>
                </w:p>
              </w:tc>
              <w:tc>
                <w:tcPr>
                  <w:tcW w:w="492" w:type="pct"/>
                  <w:gridSpan w:val="2"/>
                  <w:noWrap w:val="0"/>
                  <w:vAlign w:val="center"/>
                </w:tcPr>
                <w:p w14:paraId="26665DD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580ECA05">
                  <w:pPr>
                    <w:pStyle w:val="3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138073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37B8DA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68637DF0">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13</w:t>
                  </w:r>
                </w:p>
              </w:tc>
              <w:tc>
                <w:tcPr>
                  <w:tcW w:w="1255" w:type="pct"/>
                  <w:gridSpan w:val="2"/>
                  <w:noWrap w:val="0"/>
                  <w:vAlign w:val="center"/>
                </w:tcPr>
                <w:p w14:paraId="3327CF90">
                  <w:pPr>
                    <w:pStyle w:val="32"/>
                    <w:rPr>
                      <w:rFonts w:hint="eastAsia"/>
                      <w:sz w:val="18"/>
                      <w:szCs w:val="18"/>
                      <w:lang w:val="en-US" w:eastAsia="zh-CN"/>
                    </w:rPr>
                  </w:pPr>
                  <w:r>
                    <w:rPr>
                      <w:rFonts w:hint="eastAsia"/>
                      <w:sz w:val="18"/>
                      <w:szCs w:val="18"/>
                    </w:rPr>
                    <w:t>3#格子型球磨机（一段）</w:t>
                  </w:r>
                </w:p>
              </w:tc>
              <w:tc>
                <w:tcPr>
                  <w:tcW w:w="1583" w:type="pct"/>
                  <w:gridSpan w:val="2"/>
                  <w:noWrap w:val="0"/>
                  <w:vAlign w:val="center"/>
                </w:tcPr>
                <w:p w14:paraId="405F5336">
                  <w:pPr>
                    <w:pStyle w:val="32"/>
                    <w:rPr>
                      <w:rFonts w:hint="eastAsia"/>
                      <w:sz w:val="18"/>
                      <w:szCs w:val="18"/>
                      <w:lang w:val="en-US" w:eastAsia="zh-CN"/>
                    </w:rPr>
                  </w:pPr>
                  <w:r>
                    <w:rPr>
                      <w:rFonts w:hint="eastAsia"/>
                      <w:sz w:val="18"/>
                      <w:szCs w:val="18"/>
                    </w:rPr>
                    <w:t>MQG-3200X4500</w:t>
                  </w:r>
                </w:p>
              </w:tc>
              <w:tc>
                <w:tcPr>
                  <w:tcW w:w="492" w:type="pct"/>
                  <w:gridSpan w:val="2"/>
                  <w:noWrap w:val="0"/>
                  <w:vAlign w:val="center"/>
                </w:tcPr>
                <w:p w14:paraId="3C13F0B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6DD6F447">
                  <w:pPr>
                    <w:pStyle w:val="30"/>
                    <w:ind w:firstLine="0" w:firstLineChars="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28E128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依托，1用1备</w:t>
                  </w:r>
                </w:p>
              </w:tc>
            </w:tr>
            <w:tr w14:paraId="6FF13D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2BC135C3">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14</w:t>
                  </w:r>
                </w:p>
              </w:tc>
              <w:tc>
                <w:tcPr>
                  <w:tcW w:w="1255" w:type="pct"/>
                  <w:gridSpan w:val="2"/>
                  <w:noWrap w:val="0"/>
                  <w:vAlign w:val="center"/>
                </w:tcPr>
                <w:p w14:paraId="3A65A6F4">
                  <w:pPr>
                    <w:pStyle w:val="32"/>
                    <w:rPr>
                      <w:rFonts w:hint="eastAsia"/>
                      <w:sz w:val="18"/>
                      <w:szCs w:val="18"/>
                      <w:lang w:val="en-US" w:eastAsia="zh-CN"/>
                    </w:rPr>
                  </w:pPr>
                  <w:r>
                    <w:rPr>
                      <w:rFonts w:hint="eastAsia"/>
                      <w:sz w:val="18"/>
                      <w:szCs w:val="18"/>
                    </w:rPr>
                    <w:t>4#溢流型球磨机（二段）</w:t>
                  </w:r>
                </w:p>
              </w:tc>
              <w:tc>
                <w:tcPr>
                  <w:tcW w:w="1583" w:type="pct"/>
                  <w:gridSpan w:val="2"/>
                  <w:noWrap w:val="0"/>
                  <w:vAlign w:val="center"/>
                </w:tcPr>
                <w:p w14:paraId="189225F5">
                  <w:pPr>
                    <w:pStyle w:val="32"/>
                    <w:rPr>
                      <w:rFonts w:hint="eastAsia"/>
                      <w:sz w:val="18"/>
                      <w:szCs w:val="18"/>
                      <w:lang w:val="en-US" w:eastAsia="zh-CN"/>
                    </w:rPr>
                  </w:pPr>
                  <w:r>
                    <w:rPr>
                      <w:rFonts w:hint="eastAsia"/>
                      <w:sz w:val="18"/>
                      <w:szCs w:val="18"/>
                    </w:rPr>
                    <w:t>MQY-3200×4500</w:t>
                  </w:r>
                </w:p>
              </w:tc>
              <w:tc>
                <w:tcPr>
                  <w:tcW w:w="492" w:type="pct"/>
                  <w:gridSpan w:val="2"/>
                  <w:noWrap w:val="0"/>
                  <w:vAlign w:val="center"/>
                </w:tcPr>
                <w:p w14:paraId="3278A9C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3FDF7C5D">
                  <w:pPr>
                    <w:pStyle w:val="30"/>
                    <w:ind w:firstLine="0" w:firstLineChars="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2BA7B0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2C5B84F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6EA399A0">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15</w:t>
                  </w:r>
                </w:p>
              </w:tc>
              <w:tc>
                <w:tcPr>
                  <w:tcW w:w="1255" w:type="pct"/>
                  <w:gridSpan w:val="2"/>
                  <w:noWrap w:val="0"/>
                  <w:vAlign w:val="center"/>
                </w:tcPr>
                <w:p w14:paraId="27131E8A">
                  <w:pPr>
                    <w:pStyle w:val="32"/>
                    <w:rPr>
                      <w:rFonts w:hint="eastAsia"/>
                      <w:sz w:val="18"/>
                      <w:szCs w:val="18"/>
                      <w:lang w:val="en-US" w:eastAsia="zh-CN"/>
                    </w:rPr>
                  </w:pPr>
                  <w:r>
                    <w:rPr>
                      <w:rFonts w:hint="eastAsia"/>
                      <w:sz w:val="18"/>
                      <w:szCs w:val="18"/>
                    </w:rPr>
                    <w:t>一段分级旋流器（3#磨）</w:t>
                  </w:r>
                </w:p>
              </w:tc>
              <w:tc>
                <w:tcPr>
                  <w:tcW w:w="1583" w:type="pct"/>
                  <w:gridSpan w:val="2"/>
                  <w:noWrap w:val="0"/>
                  <w:vAlign w:val="center"/>
                </w:tcPr>
                <w:p w14:paraId="78FF34D8">
                  <w:pPr>
                    <w:pStyle w:val="32"/>
                    <w:rPr>
                      <w:rFonts w:hint="eastAsia"/>
                      <w:sz w:val="18"/>
                      <w:szCs w:val="18"/>
                      <w:lang w:val="en-US" w:eastAsia="zh-CN"/>
                    </w:rPr>
                  </w:pPr>
                  <w:r>
                    <w:rPr>
                      <w:rFonts w:hint="eastAsia"/>
                      <w:sz w:val="18"/>
                      <w:szCs w:val="18"/>
                    </w:rPr>
                    <w:t>φ400×2</w:t>
                  </w:r>
                </w:p>
              </w:tc>
              <w:tc>
                <w:tcPr>
                  <w:tcW w:w="492" w:type="pct"/>
                  <w:gridSpan w:val="2"/>
                  <w:noWrap w:val="0"/>
                  <w:vAlign w:val="center"/>
                </w:tcPr>
                <w:p w14:paraId="4C2B1DD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1C9D3AA1">
                  <w:pPr>
                    <w:pStyle w:val="30"/>
                    <w:ind w:firstLine="0" w:firstLineChars="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0F541D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依托，1用1备</w:t>
                  </w:r>
                </w:p>
              </w:tc>
            </w:tr>
            <w:tr w14:paraId="4CE51A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1857614D">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16</w:t>
                  </w:r>
                </w:p>
              </w:tc>
              <w:tc>
                <w:tcPr>
                  <w:tcW w:w="1255" w:type="pct"/>
                  <w:gridSpan w:val="2"/>
                  <w:noWrap w:val="0"/>
                  <w:vAlign w:val="center"/>
                </w:tcPr>
                <w:p w14:paraId="7A42BDF3">
                  <w:pPr>
                    <w:pStyle w:val="32"/>
                    <w:rPr>
                      <w:rFonts w:hint="eastAsia"/>
                      <w:sz w:val="18"/>
                      <w:szCs w:val="18"/>
                      <w:lang w:val="en-US" w:eastAsia="zh-CN"/>
                    </w:rPr>
                  </w:pPr>
                  <w:r>
                    <w:rPr>
                      <w:rFonts w:hint="eastAsia"/>
                      <w:sz w:val="18"/>
                      <w:szCs w:val="18"/>
                    </w:rPr>
                    <w:t>二段分级旋流器（4#磨）</w:t>
                  </w:r>
                </w:p>
              </w:tc>
              <w:tc>
                <w:tcPr>
                  <w:tcW w:w="1583" w:type="pct"/>
                  <w:gridSpan w:val="2"/>
                  <w:noWrap w:val="0"/>
                  <w:vAlign w:val="center"/>
                </w:tcPr>
                <w:p w14:paraId="1C54A8D8">
                  <w:pPr>
                    <w:pStyle w:val="32"/>
                    <w:rPr>
                      <w:rFonts w:hint="eastAsia"/>
                      <w:sz w:val="18"/>
                      <w:szCs w:val="18"/>
                      <w:lang w:val="en-US" w:eastAsia="zh-CN"/>
                    </w:rPr>
                  </w:pPr>
                  <w:r>
                    <w:rPr>
                      <w:rFonts w:hint="eastAsia"/>
                      <w:sz w:val="18"/>
                      <w:szCs w:val="18"/>
                    </w:rPr>
                    <w:t>φ250×4</w:t>
                  </w:r>
                </w:p>
              </w:tc>
              <w:tc>
                <w:tcPr>
                  <w:tcW w:w="492" w:type="pct"/>
                  <w:gridSpan w:val="2"/>
                  <w:noWrap w:val="0"/>
                  <w:vAlign w:val="center"/>
                </w:tcPr>
                <w:p w14:paraId="2903216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3A2167F7">
                  <w:pPr>
                    <w:pStyle w:val="30"/>
                    <w:ind w:firstLine="0" w:firstLineChars="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24E958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依托，3用1备</w:t>
                  </w:r>
                </w:p>
              </w:tc>
            </w:tr>
            <w:tr w14:paraId="3698DCF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32225701">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17</w:t>
                  </w:r>
                </w:p>
              </w:tc>
              <w:tc>
                <w:tcPr>
                  <w:tcW w:w="1255" w:type="pct"/>
                  <w:gridSpan w:val="2"/>
                  <w:noWrap w:val="0"/>
                  <w:vAlign w:val="center"/>
                </w:tcPr>
                <w:p w14:paraId="0DAA520A">
                  <w:pPr>
                    <w:pStyle w:val="32"/>
                    <w:rPr>
                      <w:rFonts w:hint="eastAsia"/>
                      <w:sz w:val="18"/>
                      <w:szCs w:val="18"/>
                      <w:lang w:val="en-US" w:eastAsia="zh-CN"/>
                    </w:rPr>
                  </w:pPr>
                  <w:r>
                    <w:rPr>
                      <w:rFonts w:hint="eastAsia"/>
                      <w:sz w:val="18"/>
                      <w:szCs w:val="18"/>
                    </w:rPr>
                    <w:t>搅拌桶（快选前）</w:t>
                  </w:r>
                </w:p>
              </w:tc>
              <w:tc>
                <w:tcPr>
                  <w:tcW w:w="1583" w:type="pct"/>
                  <w:gridSpan w:val="2"/>
                  <w:noWrap w:val="0"/>
                  <w:vAlign w:val="center"/>
                </w:tcPr>
                <w:p w14:paraId="61825FBE">
                  <w:pPr>
                    <w:pStyle w:val="32"/>
                    <w:rPr>
                      <w:rFonts w:hint="default"/>
                      <w:sz w:val="18"/>
                      <w:szCs w:val="18"/>
                      <w:lang w:val="en-US" w:eastAsia="zh-CN"/>
                    </w:rPr>
                  </w:pPr>
                  <w:r>
                    <w:rPr>
                      <w:rFonts w:hint="eastAsia"/>
                      <w:sz w:val="18"/>
                      <w:szCs w:val="18"/>
                    </w:rPr>
                    <w:t>φ2500</w:t>
                  </w:r>
                </w:p>
              </w:tc>
              <w:tc>
                <w:tcPr>
                  <w:tcW w:w="492" w:type="pct"/>
                  <w:gridSpan w:val="2"/>
                  <w:noWrap w:val="0"/>
                  <w:vAlign w:val="center"/>
                </w:tcPr>
                <w:p w14:paraId="1C876DF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613E3756">
                  <w:pPr>
                    <w:pStyle w:val="30"/>
                    <w:ind w:firstLine="0" w:firstLineChars="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4348EB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380EE9E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2147FC44">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18</w:t>
                  </w:r>
                </w:p>
              </w:tc>
              <w:tc>
                <w:tcPr>
                  <w:tcW w:w="1255" w:type="pct"/>
                  <w:gridSpan w:val="2"/>
                  <w:noWrap w:val="0"/>
                  <w:vAlign w:val="center"/>
                </w:tcPr>
                <w:p w14:paraId="4A4B5AFF">
                  <w:pPr>
                    <w:pStyle w:val="32"/>
                    <w:rPr>
                      <w:rFonts w:hint="eastAsia"/>
                      <w:sz w:val="18"/>
                      <w:szCs w:val="18"/>
                      <w:lang w:val="en-US" w:eastAsia="zh-CN"/>
                    </w:rPr>
                  </w:pPr>
                  <w:r>
                    <w:rPr>
                      <w:rFonts w:hint="eastAsia"/>
                      <w:sz w:val="18"/>
                      <w:szCs w:val="18"/>
                    </w:rPr>
                    <w:t>浮选机（快速浮选）</w:t>
                  </w:r>
                </w:p>
              </w:tc>
              <w:tc>
                <w:tcPr>
                  <w:tcW w:w="1583" w:type="pct"/>
                  <w:gridSpan w:val="2"/>
                  <w:noWrap w:val="0"/>
                  <w:vAlign w:val="center"/>
                </w:tcPr>
                <w:p w14:paraId="75A99768">
                  <w:pPr>
                    <w:pStyle w:val="32"/>
                    <w:rPr>
                      <w:rFonts w:hint="eastAsia"/>
                      <w:sz w:val="18"/>
                      <w:szCs w:val="18"/>
                      <w:lang w:val="en-US" w:eastAsia="zh-CN"/>
                    </w:rPr>
                  </w:pPr>
                  <w:r>
                    <w:rPr>
                      <w:rFonts w:hint="eastAsia"/>
                      <w:sz w:val="18"/>
                      <w:szCs w:val="18"/>
                    </w:rPr>
                    <w:t>CLF-8（吸入槽/直流槽）</w:t>
                  </w:r>
                </w:p>
              </w:tc>
              <w:tc>
                <w:tcPr>
                  <w:tcW w:w="492" w:type="pct"/>
                  <w:gridSpan w:val="2"/>
                  <w:noWrap w:val="0"/>
                  <w:vAlign w:val="center"/>
                </w:tcPr>
                <w:p w14:paraId="34F046C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7F1E713D">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w:t>
                  </w:r>
                </w:p>
              </w:tc>
              <w:tc>
                <w:tcPr>
                  <w:tcW w:w="870" w:type="pct"/>
                  <w:noWrap w:val="0"/>
                  <w:vAlign w:val="center"/>
                </w:tcPr>
                <w:p w14:paraId="2824CE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65FCE82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5099E8BB">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19</w:t>
                  </w:r>
                </w:p>
              </w:tc>
              <w:tc>
                <w:tcPr>
                  <w:tcW w:w="1255" w:type="pct"/>
                  <w:gridSpan w:val="2"/>
                  <w:noWrap w:val="0"/>
                  <w:vAlign w:val="center"/>
                </w:tcPr>
                <w:p w14:paraId="071E2979">
                  <w:pPr>
                    <w:pStyle w:val="32"/>
                    <w:rPr>
                      <w:rFonts w:hint="eastAsia"/>
                      <w:sz w:val="18"/>
                      <w:szCs w:val="18"/>
                      <w:lang w:val="en-US" w:eastAsia="zh-CN"/>
                    </w:rPr>
                  </w:pPr>
                  <w:r>
                    <w:rPr>
                      <w:rFonts w:hint="eastAsia"/>
                      <w:sz w:val="18"/>
                      <w:szCs w:val="18"/>
                    </w:rPr>
                    <w:t>搅拌桶（粗选前）</w:t>
                  </w:r>
                </w:p>
              </w:tc>
              <w:tc>
                <w:tcPr>
                  <w:tcW w:w="1583" w:type="pct"/>
                  <w:gridSpan w:val="2"/>
                  <w:noWrap w:val="0"/>
                  <w:vAlign w:val="center"/>
                </w:tcPr>
                <w:p w14:paraId="32CD0F9F">
                  <w:pPr>
                    <w:pStyle w:val="32"/>
                    <w:rPr>
                      <w:rFonts w:hint="eastAsia"/>
                      <w:sz w:val="18"/>
                      <w:szCs w:val="18"/>
                      <w:lang w:val="en-US" w:eastAsia="zh-CN"/>
                    </w:rPr>
                  </w:pPr>
                  <w:r>
                    <w:rPr>
                      <w:rFonts w:hint="eastAsia"/>
                      <w:sz w:val="18"/>
                      <w:szCs w:val="18"/>
                    </w:rPr>
                    <w:t>φ2500</w:t>
                  </w:r>
                </w:p>
              </w:tc>
              <w:tc>
                <w:tcPr>
                  <w:tcW w:w="492" w:type="pct"/>
                  <w:gridSpan w:val="2"/>
                  <w:noWrap w:val="0"/>
                  <w:vAlign w:val="center"/>
                </w:tcPr>
                <w:p w14:paraId="49950F5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4244B2AE">
                  <w:pPr>
                    <w:pStyle w:val="30"/>
                    <w:ind w:firstLine="0" w:firstLineChars="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25B6E3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4DDC553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46E0A8B8">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20</w:t>
                  </w:r>
                </w:p>
              </w:tc>
              <w:tc>
                <w:tcPr>
                  <w:tcW w:w="1255" w:type="pct"/>
                  <w:gridSpan w:val="2"/>
                  <w:noWrap w:val="0"/>
                  <w:vAlign w:val="center"/>
                </w:tcPr>
                <w:p w14:paraId="49E18DB4">
                  <w:pPr>
                    <w:pStyle w:val="32"/>
                    <w:rPr>
                      <w:rFonts w:hint="eastAsia"/>
                      <w:sz w:val="18"/>
                      <w:szCs w:val="18"/>
                      <w:lang w:val="en-US" w:eastAsia="zh-CN"/>
                    </w:rPr>
                  </w:pPr>
                  <w:r>
                    <w:rPr>
                      <w:rFonts w:hint="eastAsia"/>
                      <w:sz w:val="18"/>
                      <w:szCs w:val="18"/>
                    </w:rPr>
                    <w:t>浮选机（粗选/扫选）</w:t>
                  </w:r>
                </w:p>
              </w:tc>
              <w:tc>
                <w:tcPr>
                  <w:tcW w:w="1583" w:type="pct"/>
                  <w:gridSpan w:val="2"/>
                  <w:noWrap w:val="0"/>
                  <w:vAlign w:val="center"/>
                </w:tcPr>
                <w:p w14:paraId="5A4B4C6D">
                  <w:pPr>
                    <w:pStyle w:val="32"/>
                    <w:rPr>
                      <w:rFonts w:hint="eastAsia"/>
                      <w:sz w:val="18"/>
                      <w:szCs w:val="18"/>
                      <w:lang w:val="en-US" w:eastAsia="zh-CN"/>
                    </w:rPr>
                  </w:pPr>
                  <w:r>
                    <w:rPr>
                      <w:rFonts w:hint="eastAsia"/>
                      <w:sz w:val="18"/>
                      <w:szCs w:val="18"/>
                    </w:rPr>
                    <w:t>CLF-16（吸入槽/直流槽）</w:t>
                  </w:r>
                </w:p>
              </w:tc>
              <w:tc>
                <w:tcPr>
                  <w:tcW w:w="492" w:type="pct"/>
                  <w:gridSpan w:val="2"/>
                  <w:noWrap w:val="0"/>
                  <w:vAlign w:val="center"/>
                </w:tcPr>
                <w:p w14:paraId="5E6AB49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19DC0A98">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870" w:type="pct"/>
                  <w:noWrap w:val="0"/>
                  <w:vAlign w:val="center"/>
                </w:tcPr>
                <w:p w14:paraId="6221CB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04A6FA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5EE81026">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21</w:t>
                  </w:r>
                </w:p>
              </w:tc>
              <w:tc>
                <w:tcPr>
                  <w:tcW w:w="1255" w:type="pct"/>
                  <w:gridSpan w:val="2"/>
                  <w:noWrap w:val="0"/>
                  <w:vAlign w:val="center"/>
                </w:tcPr>
                <w:p w14:paraId="3A048A93">
                  <w:pPr>
                    <w:pStyle w:val="32"/>
                    <w:rPr>
                      <w:rFonts w:hint="eastAsia"/>
                      <w:sz w:val="18"/>
                      <w:szCs w:val="18"/>
                      <w:lang w:val="en-US" w:eastAsia="zh-CN"/>
                    </w:rPr>
                  </w:pPr>
                  <w:r>
                    <w:rPr>
                      <w:rFonts w:hint="eastAsia"/>
                      <w:sz w:val="18"/>
                      <w:szCs w:val="18"/>
                    </w:rPr>
                    <w:t>浮选机（精选）</w:t>
                  </w:r>
                </w:p>
              </w:tc>
              <w:tc>
                <w:tcPr>
                  <w:tcW w:w="1583" w:type="pct"/>
                  <w:gridSpan w:val="2"/>
                  <w:noWrap w:val="0"/>
                  <w:vAlign w:val="center"/>
                </w:tcPr>
                <w:p w14:paraId="6C9D9917">
                  <w:pPr>
                    <w:pStyle w:val="32"/>
                    <w:rPr>
                      <w:rFonts w:hint="eastAsia"/>
                      <w:sz w:val="18"/>
                      <w:szCs w:val="18"/>
                      <w:lang w:val="en-US" w:eastAsia="zh-CN"/>
                    </w:rPr>
                  </w:pPr>
                  <w:r>
                    <w:rPr>
                      <w:rFonts w:hint="eastAsia"/>
                      <w:sz w:val="18"/>
                      <w:szCs w:val="18"/>
                    </w:rPr>
                    <w:t>CLF-4（吸入槽/直流槽）</w:t>
                  </w:r>
                </w:p>
              </w:tc>
              <w:tc>
                <w:tcPr>
                  <w:tcW w:w="492" w:type="pct"/>
                  <w:gridSpan w:val="2"/>
                  <w:noWrap w:val="0"/>
                  <w:vAlign w:val="center"/>
                </w:tcPr>
                <w:p w14:paraId="6F0BA76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02A37A0D">
                  <w:pPr>
                    <w:pStyle w:val="30"/>
                    <w:ind w:firstLine="0" w:firstLineChars="0"/>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5</w:t>
                  </w:r>
                </w:p>
              </w:tc>
              <w:tc>
                <w:tcPr>
                  <w:tcW w:w="870" w:type="pct"/>
                  <w:noWrap w:val="0"/>
                  <w:vAlign w:val="center"/>
                </w:tcPr>
                <w:p w14:paraId="516AF8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247634A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682B8BEE">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22</w:t>
                  </w:r>
                </w:p>
              </w:tc>
              <w:tc>
                <w:tcPr>
                  <w:tcW w:w="1255" w:type="pct"/>
                  <w:gridSpan w:val="2"/>
                  <w:noWrap w:val="0"/>
                  <w:vAlign w:val="center"/>
                </w:tcPr>
                <w:p w14:paraId="6D554F8E">
                  <w:pPr>
                    <w:pStyle w:val="32"/>
                    <w:rPr>
                      <w:rFonts w:hint="eastAsia"/>
                      <w:sz w:val="18"/>
                      <w:szCs w:val="18"/>
                      <w:lang w:val="en-US" w:eastAsia="zh-CN"/>
                    </w:rPr>
                  </w:pPr>
                  <w:r>
                    <w:rPr>
                      <w:rFonts w:hint="eastAsia"/>
                      <w:sz w:val="18"/>
                      <w:szCs w:val="18"/>
                    </w:rPr>
                    <w:t>磁选机（快选精矿）</w:t>
                  </w:r>
                </w:p>
              </w:tc>
              <w:tc>
                <w:tcPr>
                  <w:tcW w:w="1583" w:type="pct"/>
                  <w:gridSpan w:val="2"/>
                  <w:noWrap w:val="0"/>
                  <w:vAlign w:val="center"/>
                </w:tcPr>
                <w:p w14:paraId="266C7BFD">
                  <w:pPr>
                    <w:pStyle w:val="32"/>
                    <w:rPr>
                      <w:rFonts w:hint="eastAsia"/>
                      <w:sz w:val="18"/>
                      <w:szCs w:val="18"/>
                      <w:lang w:val="en-US" w:eastAsia="zh-CN"/>
                    </w:rPr>
                  </w:pPr>
                  <w:r>
                    <w:rPr>
                      <w:rFonts w:hint="eastAsia"/>
                      <w:sz w:val="18"/>
                      <w:szCs w:val="18"/>
                    </w:rPr>
                    <w:t>CTB-1018</w:t>
                  </w:r>
                </w:p>
              </w:tc>
              <w:tc>
                <w:tcPr>
                  <w:tcW w:w="492" w:type="pct"/>
                  <w:gridSpan w:val="2"/>
                  <w:noWrap w:val="0"/>
                  <w:vAlign w:val="center"/>
                </w:tcPr>
                <w:p w14:paraId="547BD0D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3CBBE933">
                  <w:pPr>
                    <w:pStyle w:val="30"/>
                    <w:ind w:firstLine="0" w:firstLineChars="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06C780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72AFC72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1566D1B8">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23</w:t>
                  </w:r>
                </w:p>
              </w:tc>
              <w:tc>
                <w:tcPr>
                  <w:tcW w:w="1970" w:type="dxa"/>
                  <w:gridSpan w:val="2"/>
                  <w:noWrap w:val="0"/>
                  <w:vAlign w:val="center"/>
                </w:tcPr>
                <w:p w14:paraId="7650E97C">
                  <w:pPr>
                    <w:pStyle w:val="32"/>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磁选机</w:t>
                  </w:r>
                </w:p>
              </w:tc>
              <w:tc>
                <w:tcPr>
                  <w:tcW w:w="2484" w:type="dxa"/>
                  <w:gridSpan w:val="2"/>
                  <w:noWrap w:val="0"/>
                  <w:vAlign w:val="center"/>
                </w:tcPr>
                <w:p w14:paraId="63E9E95A">
                  <w:pPr>
                    <w:pStyle w:val="32"/>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CTB-1024</w:t>
                  </w:r>
                </w:p>
              </w:tc>
              <w:tc>
                <w:tcPr>
                  <w:tcW w:w="492" w:type="pct"/>
                  <w:gridSpan w:val="2"/>
                  <w:noWrap w:val="0"/>
                  <w:vAlign w:val="center"/>
                </w:tcPr>
                <w:p w14:paraId="171BC14B">
                  <w:pPr>
                    <w:pStyle w:val="3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台</w:t>
                  </w:r>
                </w:p>
              </w:tc>
              <w:tc>
                <w:tcPr>
                  <w:tcW w:w="549" w:type="pct"/>
                  <w:noWrap w:val="0"/>
                  <w:vAlign w:val="center"/>
                </w:tcPr>
                <w:p w14:paraId="01B817E2">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w:t>
                  </w:r>
                </w:p>
              </w:tc>
              <w:tc>
                <w:tcPr>
                  <w:tcW w:w="870" w:type="pct"/>
                  <w:noWrap w:val="0"/>
                  <w:vAlign w:val="center"/>
                </w:tcPr>
                <w:p w14:paraId="6237CC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依托</w:t>
                  </w:r>
                </w:p>
              </w:tc>
            </w:tr>
            <w:tr w14:paraId="0982287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2FC9D0DC">
                  <w:pPr>
                    <w:pStyle w:val="30"/>
                    <w:rPr>
                      <w:rFonts w:hint="default" w:cs="Times New Roman"/>
                      <w:color w:val="auto"/>
                      <w:sz w:val="18"/>
                      <w:szCs w:val="18"/>
                      <w:lang w:val="en-US" w:eastAsia="zh-CN"/>
                    </w:rPr>
                  </w:pPr>
                  <w:r>
                    <w:rPr>
                      <w:rFonts w:hint="eastAsia" w:cs="Times New Roman"/>
                      <w:color w:val="auto"/>
                      <w:sz w:val="18"/>
                      <w:szCs w:val="18"/>
                      <w:lang w:val="en-US" w:eastAsia="zh-CN"/>
                    </w:rPr>
                    <w:t>24</w:t>
                  </w:r>
                </w:p>
              </w:tc>
              <w:tc>
                <w:tcPr>
                  <w:tcW w:w="1970" w:type="dxa"/>
                  <w:gridSpan w:val="2"/>
                  <w:noWrap w:val="0"/>
                  <w:vAlign w:val="center"/>
                </w:tcPr>
                <w:p w14:paraId="0192E74C">
                  <w:pPr>
                    <w:pStyle w:val="32"/>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磁选机</w:t>
                  </w:r>
                </w:p>
              </w:tc>
              <w:tc>
                <w:tcPr>
                  <w:tcW w:w="2484" w:type="dxa"/>
                  <w:gridSpan w:val="2"/>
                  <w:noWrap w:val="0"/>
                  <w:vAlign w:val="center"/>
                </w:tcPr>
                <w:p w14:paraId="31E52909">
                  <w:pPr>
                    <w:pStyle w:val="32"/>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CTB-1018</w:t>
                  </w:r>
                </w:p>
              </w:tc>
              <w:tc>
                <w:tcPr>
                  <w:tcW w:w="492" w:type="pct"/>
                  <w:gridSpan w:val="2"/>
                  <w:noWrap w:val="0"/>
                  <w:vAlign w:val="center"/>
                </w:tcPr>
                <w:p w14:paraId="251DABEC">
                  <w:pPr>
                    <w:pStyle w:val="3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台</w:t>
                  </w:r>
                </w:p>
              </w:tc>
              <w:tc>
                <w:tcPr>
                  <w:tcW w:w="549" w:type="pct"/>
                  <w:noWrap w:val="0"/>
                  <w:vAlign w:val="center"/>
                </w:tcPr>
                <w:p w14:paraId="303744EE">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w:t>
                  </w:r>
                </w:p>
              </w:tc>
              <w:tc>
                <w:tcPr>
                  <w:tcW w:w="870" w:type="pct"/>
                  <w:noWrap w:val="0"/>
                  <w:vAlign w:val="center"/>
                </w:tcPr>
                <w:p w14:paraId="70077D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依托</w:t>
                  </w:r>
                </w:p>
              </w:tc>
            </w:tr>
            <w:tr w14:paraId="395AAC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55D66F94">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25</w:t>
                  </w:r>
                </w:p>
              </w:tc>
              <w:tc>
                <w:tcPr>
                  <w:tcW w:w="1255" w:type="pct"/>
                  <w:gridSpan w:val="2"/>
                  <w:noWrap w:val="0"/>
                  <w:vAlign w:val="center"/>
                </w:tcPr>
                <w:p w14:paraId="4A3572CE">
                  <w:pPr>
                    <w:pStyle w:val="32"/>
                    <w:rPr>
                      <w:rFonts w:hint="eastAsia"/>
                      <w:sz w:val="18"/>
                      <w:szCs w:val="18"/>
                      <w:lang w:val="en-US" w:eastAsia="zh-CN"/>
                    </w:rPr>
                  </w:pPr>
                  <w:r>
                    <w:rPr>
                      <w:rFonts w:hint="eastAsia"/>
                      <w:sz w:val="18"/>
                      <w:szCs w:val="18"/>
                    </w:rPr>
                    <w:t>离心鼓风机</w:t>
                  </w:r>
                </w:p>
              </w:tc>
              <w:tc>
                <w:tcPr>
                  <w:tcW w:w="1583" w:type="pct"/>
                  <w:gridSpan w:val="2"/>
                  <w:noWrap w:val="0"/>
                  <w:vAlign w:val="center"/>
                </w:tcPr>
                <w:p w14:paraId="59B057BA">
                  <w:pPr>
                    <w:pStyle w:val="32"/>
                    <w:rPr>
                      <w:rFonts w:hint="eastAsia"/>
                      <w:sz w:val="18"/>
                      <w:szCs w:val="18"/>
                      <w:lang w:val="en-US" w:eastAsia="zh-CN"/>
                    </w:rPr>
                  </w:pPr>
                  <w:r>
                    <w:rPr>
                      <w:rFonts w:hint="eastAsia"/>
                      <w:sz w:val="18"/>
                      <w:szCs w:val="18"/>
                    </w:rPr>
                    <w:t>C161-1.16</w:t>
                  </w:r>
                </w:p>
              </w:tc>
              <w:tc>
                <w:tcPr>
                  <w:tcW w:w="492" w:type="pct"/>
                  <w:gridSpan w:val="2"/>
                  <w:noWrap w:val="0"/>
                  <w:vAlign w:val="center"/>
                </w:tcPr>
                <w:p w14:paraId="34E0503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5F6471A3">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w:t>
                  </w:r>
                </w:p>
              </w:tc>
              <w:tc>
                <w:tcPr>
                  <w:tcW w:w="870" w:type="pct"/>
                  <w:noWrap w:val="0"/>
                  <w:vAlign w:val="center"/>
                </w:tcPr>
                <w:p w14:paraId="3B80F5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依托，2用1备</w:t>
                  </w:r>
                </w:p>
              </w:tc>
            </w:tr>
            <w:tr w14:paraId="2C2F31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48E28A08">
                  <w:pPr>
                    <w:pStyle w:val="30"/>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三</w:t>
                  </w:r>
                </w:p>
              </w:tc>
              <w:tc>
                <w:tcPr>
                  <w:tcW w:w="4750" w:type="pct"/>
                  <w:gridSpan w:val="8"/>
                  <w:noWrap w:val="0"/>
                  <w:vAlign w:val="center"/>
                </w:tcPr>
                <w:p w14:paraId="35ECD1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b/>
                      <w:bCs/>
                      <w:color w:val="auto"/>
                      <w:sz w:val="18"/>
                      <w:szCs w:val="18"/>
                      <w:lang w:val="en-US" w:eastAsia="zh-CN"/>
                    </w:rPr>
                  </w:pPr>
                  <w:r>
                    <w:rPr>
                      <w:rFonts w:hint="eastAsia"/>
                      <w:b/>
                      <w:bCs/>
                      <w:lang w:val="en-US" w:eastAsia="zh-CN"/>
                    </w:rPr>
                    <w:t>脱水</w:t>
                  </w:r>
                </w:p>
              </w:tc>
            </w:tr>
            <w:tr w14:paraId="2AC66F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39CDC2C8">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26</w:t>
                  </w:r>
                </w:p>
              </w:tc>
              <w:tc>
                <w:tcPr>
                  <w:tcW w:w="1255" w:type="pct"/>
                  <w:gridSpan w:val="2"/>
                  <w:noWrap w:val="0"/>
                  <w:vAlign w:val="center"/>
                </w:tcPr>
                <w:p w14:paraId="5B215880">
                  <w:pPr>
                    <w:pStyle w:val="32"/>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rPr>
                    <w:t>高效浓缩机（尾矿）</w:t>
                  </w:r>
                </w:p>
              </w:tc>
              <w:tc>
                <w:tcPr>
                  <w:tcW w:w="1583" w:type="pct"/>
                  <w:gridSpan w:val="2"/>
                  <w:noWrap w:val="0"/>
                  <w:vAlign w:val="center"/>
                </w:tcPr>
                <w:p w14:paraId="0CDC12CD">
                  <w:pPr>
                    <w:pStyle w:val="32"/>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rPr>
                    <w:t>GZN-30</w:t>
                  </w:r>
                </w:p>
              </w:tc>
              <w:tc>
                <w:tcPr>
                  <w:tcW w:w="492" w:type="pct"/>
                  <w:gridSpan w:val="2"/>
                  <w:noWrap w:val="0"/>
                  <w:vAlign w:val="center"/>
                </w:tcPr>
                <w:p w14:paraId="6E51E6D8">
                  <w:pPr>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55D41A7F">
                  <w:pPr>
                    <w:pStyle w:val="30"/>
                    <w:ind w:firstLine="0" w:firstLineChars="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6768CA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4EAC3A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283090FA">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27</w:t>
                  </w:r>
                </w:p>
              </w:tc>
              <w:tc>
                <w:tcPr>
                  <w:tcW w:w="1255" w:type="pct"/>
                  <w:gridSpan w:val="2"/>
                  <w:noWrap w:val="0"/>
                  <w:vAlign w:val="center"/>
                </w:tcPr>
                <w:p w14:paraId="13E9E003">
                  <w:pPr>
                    <w:pStyle w:val="32"/>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rPr>
                    <w:t>高效浓缩机（铜精矿）</w:t>
                  </w:r>
                </w:p>
              </w:tc>
              <w:tc>
                <w:tcPr>
                  <w:tcW w:w="1583" w:type="pct"/>
                  <w:gridSpan w:val="2"/>
                  <w:noWrap w:val="0"/>
                  <w:vAlign w:val="center"/>
                </w:tcPr>
                <w:p w14:paraId="26AFB4CB">
                  <w:pPr>
                    <w:pStyle w:val="32"/>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rPr>
                    <w:t>NXZ-24</w:t>
                  </w:r>
                </w:p>
              </w:tc>
              <w:tc>
                <w:tcPr>
                  <w:tcW w:w="492" w:type="pct"/>
                  <w:gridSpan w:val="2"/>
                  <w:noWrap w:val="0"/>
                  <w:vAlign w:val="center"/>
                </w:tcPr>
                <w:p w14:paraId="4A97346D">
                  <w:pPr>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188B7EF3">
                  <w:pPr>
                    <w:pStyle w:val="30"/>
                    <w:ind w:firstLine="0" w:firstLineChars="0"/>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870" w:type="pct"/>
                  <w:noWrap w:val="0"/>
                  <w:vAlign w:val="center"/>
                </w:tcPr>
                <w:p w14:paraId="47D478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依托</w:t>
                  </w:r>
                </w:p>
              </w:tc>
            </w:tr>
            <w:tr w14:paraId="0C7C675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1B085FC3">
                  <w:pPr>
                    <w:pStyle w:val="30"/>
                    <w:rPr>
                      <w:rFonts w:hint="default" w:cs="Times New Roman"/>
                      <w:color w:val="auto"/>
                      <w:sz w:val="18"/>
                      <w:szCs w:val="18"/>
                      <w:lang w:val="en-US" w:eastAsia="zh-CN"/>
                    </w:rPr>
                  </w:pPr>
                  <w:r>
                    <w:rPr>
                      <w:rFonts w:hint="eastAsia" w:cs="Times New Roman"/>
                      <w:color w:val="auto"/>
                      <w:sz w:val="18"/>
                      <w:szCs w:val="18"/>
                      <w:lang w:val="en-US" w:eastAsia="zh-CN"/>
                    </w:rPr>
                    <w:t>28</w:t>
                  </w:r>
                </w:p>
              </w:tc>
              <w:tc>
                <w:tcPr>
                  <w:tcW w:w="1970" w:type="dxa"/>
                  <w:gridSpan w:val="2"/>
                  <w:noWrap w:val="0"/>
                  <w:vAlign w:val="center"/>
                </w:tcPr>
                <w:p w14:paraId="3C63CDFD">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高效浓缩机</w:t>
                  </w:r>
                </w:p>
              </w:tc>
              <w:tc>
                <w:tcPr>
                  <w:tcW w:w="2484" w:type="dxa"/>
                  <w:gridSpan w:val="2"/>
                  <w:noWrap w:val="0"/>
                  <w:vAlign w:val="center"/>
                </w:tcPr>
                <w:p w14:paraId="42AEB1B2">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NXZ-18</w:t>
                  </w:r>
                </w:p>
              </w:tc>
              <w:tc>
                <w:tcPr>
                  <w:tcW w:w="492" w:type="pct"/>
                  <w:gridSpan w:val="2"/>
                  <w:noWrap w:val="0"/>
                  <w:vAlign w:val="center"/>
                </w:tcPr>
                <w:p w14:paraId="7F6C6914">
                  <w:pPr>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台</w:t>
                  </w:r>
                </w:p>
              </w:tc>
              <w:tc>
                <w:tcPr>
                  <w:tcW w:w="549" w:type="pct"/>
                  <w:noWrap w:val="0"/>
                  <w:vAlign w:val="center"/>
                </w:tcPr>
                <w:p w14:paraId="16972333">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w:t>
                  </w:r>
                </w:p>
              </w:tc>
              <w:tc>
                <w:tcPr>
                  <w:tcW w:w="870" w:type="pct"/>
                  <w:noWrap w:val="0"/>
                  <w:vAlign w:val="center"/>
                </w:tcPr>
                <w:p w14:paraId="13A0D8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依托</w:t>
                  </w:r>
                </w:p>
              </w:tc>
            </w:tr>
            <w:tr w14:paraId="088F96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502C0204">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29</w:t>
                  </w:r>
                </w:p>
              </w:tc>
              <w:tc>
                <w:tcPr>
                  <w:tcW w:w="1255" w:type="pct"/>
                  <w:gridSpan w:val="2"/>
                  <w:noWrap w:val="0"/>
                  <w:vAlign w:val="center"/>
                </w:tcPr>
                <w:p w14:paraId="0A31980D">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尾矿陶瓷过滤机</w:t>
                  </w:r>
                </w:p>
              </w:tc>
              <w:tc>
                <w:tcPr>
                  <w:tcW w:w="1583" w:type="pct"/>
                  <w:gridSpan w:val="2"/>
                  <w:noWrap w:val="0"/>
                  <w:vAlign w:val="center"/>
                </w:tcPr>
                <w:p w14:paraId="55ABD90A">
                  <w:pPr>
                    <w:pStyle w:val="32"/>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rPr>
                    <w:t>P45/15-C</w:t>
                  </w:r>
                </w:p>
              </w:tc>
              <w:tc>
                <w:tcPr>
                  <w:tcW w:w="492" w:type="pct"/>
                  <w:gridSpan w:val="2"/>
                  <w:noWrap w:val="0"/>
                  <w:vAlign w:val="center"/>
                </w:tcPr>
                <w:p w14:paraId="2F5DF215">
                  <w:pPr>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7C9443D4">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w:t>
                  </w:r>
                </w:p>
              </w:tc>
              <w:tc>
                <w:tcPr>
                  <w:tcW w:w="870" w:type="pct"/>
                  <w:noWrap w:val="0"/>
                  <w:vAlign w:val="center"/>
                </w:tcPr>
                <w:p w14:paraId="326A1B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依托</w:t>
                  </w:r>
                </w:p>
              </w:tc>
            </w:tr>
            <w:tr w14:paraId="0992DB0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7375B593">
                  <w:pPr>
                    <w:pStyle w:val="3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30</w:t>
                  </w:r>
                </w:p>
              </w:tc>
              <w:tc>
                <w:tcPr>
                  <w:tcW w:w="1255" w:type="pct"/>
                  <w:gridSpan w:val="2"/>
                  <w:noWrap w:val="0"/>
                  <w:vAlign w:val="center"/>
                </w:tcPr>
                <w:p w14:paraId="7904E88A">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铜精矿陶瓷过滤机</w:t>
                  </w:r>
                </w:p>
              </w:tc>
              <w:tc>
                <w:tcPr>
                  <w:tcW w:w="1583" w:type="pct"/>
                  <w:gridSpan w:val="2"/>
                  <w:noWrap w:val="0"/>
                  <w:vAlign w:val="center"/>
                </w:tcPr>
                <w:p w14:paraId="18BA6718">
                  <w:pPr>
                    <w:pStyle w:val="32"/>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rPr>
                    <w:t>P45/15-C</w:t>
                  </w:r>
                </w:p>
              </w:tc>
              <w:tc>
                <w:tcPr>
                  <w:tcW w:w="492" w:type="pct"/>
                  <w:gridSpan w:val="2"/>
                  <w:noWrap w:val="0"/>
                  <w:vAlign w:val="center"/>
                </w:tcPr>
                <w:p w14:paraId="2D463F2F">
                  <w:pPr>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577EF5C2">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w:t>
                  </w:r>
                </w:p>
              </w:tc>
              <w:tc>
                <w:tcPr>
                  <w:tcW w:w="870" w:type="pct"/>
                  <w:noWrap w:val="0"/>
                  <w:vAlign w:val="center"/>
                </w:tcPr>
                <w:p w14:paraId="05CD93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依托</w:t>
                  </w:r>
                </w:p>
              </w:tc>
            </w:tr>
            <w:tr w14:paraId="16A0F85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4EA83640">
                  <w:pPr>
                    <w:pStyle w:val="30"/>
                    <w:rPr>
                      <w:rFonts w:hint="default" w:cs="Times New Roman"/>
                      <w:color w:val="auto"/>
                      <w:sz w:val="18"/>
                      <w:szCs w:val="18"/>
                      <w:lang w:val="en-US" w:eastAsia="zh-CN"/>
                    </w:rPr>
                  </w:pPr>
                  <w:r>
                    <w:rPr>
                      <w:rFonts w:hint="eastAsia" w:cs="Times New Roman"/>
                      <w:color w:val="auto"/>
                      <w:sz w:val="18"/>
                      <w:szCs w:val="18"/>
                      <w:lang w:val="en-US" w:eastAsia="zh-CN"/>
                    </w:rPr>
                    <w:t>31</w:t>
                  </w:r>
                </w:p>
              </w:tc>
              <w:tc>
                <w:tcPr>
                  <w:tcW w:w="1970" w:type="dxa"/>
                  <w:gridSpan w:val="2"/>
                  <w:noWrap w:val="0"/>
                  <w:vAlign w:val="center"/>
                </w:tcPr>
                <w:p w14:paraId="765E40F4">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陶瓷过滤机</w:t>
                  </w:r>
                </w:p>
              </w:tc>
              <w:tc>
                <w:tcPr>
                  <w:tcW w:w="2484" w:type="dxa"/>
                  <w:gridSpan w:val="2"/>
                  <w:noWrap w:val="0"/>
                  <w:vAlign w:val="center"/>
                </w:tcPr>
                <w:p w14:paraId="7DE43BA7">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P45/15-C</w:t>
                  </w:r>
                </w:p>
              </w:tc>
              <w:tc>
                <w:tcPr>
                  <w:tcW w:w="492" w:type="pct"/>
                  <w:gridSpan w:val="2"/>
                  <w:noWrap w:val="0"/>
                  <w:vAlign w:val="center"/>
                </w:tcPr>
                <w:p w14:paraId="25E7AEAF">
                  <w:pPr>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台</w:t>
                  </w:r>
                </w:p>
              </w:tc>
              <w:tc>
                <w:tcPr>
                  <w:tcW w:w="549" w:type="pct"/>
                  <w:noWrap w:val="0"/>
                  <w:vAlign w:val="center"/>
                </w:tcPr>
                <w:p w14:paraId="62D0C040">
                  <w:pPr>
                    <w:pStyle w:val="30"/>
                    <w:ind w:firstLine="0" w:firstLineChars="0"/>
                    <w:rPr>
                      <w:rFonts w:hint="default" w:cs="Times New Roman"/>
                      <w:color w:val="auto"/>
                      <w:sz w:val="18"/>
                      <w:szCs w:val="18"/>
                      <w:lang w:val="en-US" w:eastAsia="zh-CN"/>
                    </w:rPr>
                  </w:pPr>
                  <w:r>
                    <w:rPr>
                      <w:rFonts w:hint="eastAsia" w:cs="Times New Roman"/>
                      <w:color w:val="auto"/>
                      <w:sz w:val="18"/>
                      <w:szCs w:val="18"/>
                      <w:lang w:val="en-US" w:eastAsia="zh-CN"/>
                    </w:rPr>
                    <w:t>2</w:t>
                  </w:r>
                </w:p>
              </w:tc>
              <w:tc>
                <w:tcPr>
                  <w:tcW w:w="870" w:type="pct"/>
                  <w:noWrap w:val="0"/>
                  <w:vAlign w:val="center"/>
                </w:tcPr>
                <w:p w14:paraId="043CBF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依托</w:t>
                  </w:r>
                </w:p>
              </w:tc>
            </w:tr>
            <w:tr w14:paraId="40855C9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000" w:type="pct"/>
                  <w:gridSpan w:val="9"/>
                  <w:noWrap w:val="0"/>
                  <w:vAlign w:val="center"/>
                </w:tcPr>
                <w:p w14:paraId="0640A3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新增设备</w:t>
                  </w:r>
                </w:p>
              </w:tc>
            </w:tr>
            <w:tr w14:paraId="3882DB1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04ED3AB9">
                  <w:pPr>
                    <w:pStyle w:val="30"/>
                    <w:rPr>
                      <w:rFonts w:hint="default" w:cs="Times New Roman"/>
                      <w:b/>
                      <w:bCs/>
                      <w:color w:val="auto"/>
                      <w:sz w:val="18"/>
                      <w:szCs w:val="18"/>
                      <w:lang w:val="en-US" w:eastAsia="zh-CN"/>
                    </w:rPr>
                  </w:pPr>
                  <w:r>
                    <w:rPr>
                      <w:rFonts w:hint="eastAsia" w:cs="Times New Roman"/>
                      <w:b/>
                      <w:bCs/>
                      <w:color w:val="auto"/>
                      <w:sz w:val="18"/>
                      <w:szCs w:val="18"/>
                      <w:lang w:val="en-US" w:eastAsia="zh-CN"/>
                    </w:rPr>
                    <w:t>四</w:t>
                  </w:r>
                </w:p>
              </w:tc>
              <w:tc>
                <w:tcPr>
                  <w:tcW w:w="4750" w:type="pct"/>
                  <w:gridSpan w:val="8"/>
                  <w:noWrap w:val="0"/>
                  <w:vAlign w:val="center"/>
                </w:tcPr>
                <w:p w14:paraId="403B6D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磨矿浮选</w:t>
                  </w:r>
                </w:p>
              </w:tc>
            </w:tr>
            <w:tr w14:paraId="754A74D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664CB2FC">
                  <w:pPr>
                    <w:pStyle w:val="30"/>
                    <w:rPr>
                      <w:rFonts w:hint="default" w:cs="Times New Roman"/>
                      <w:color w:val="auto"/>
                      <w:sz w:val="18"/>
                      <w:szCs w:val="18"/>
                      <w:lang w:val="en-US" w:eastAsia="zh-CN"/>
                    </w:rPr>
                  </w:pPr>
                  <w:r>
                    <w:rPr>
                      <w:rFonts w:hint="eastAsia" w:cs="Times New Roman"/>
                      <w:color w:val="auto"/>
                      <w:sz w:val="18"/>
                      <w:szCs w:val="18"/>
                      <w:lang w:val="en-US" w:eastAsia="zh-CN"/>
                    </w:rPr>
                    <w:t>32</w:t>
                  </w:r>
                </w:p>
              </w:tc>
              <w:tc>
                <w:tcPr>
                  <w:tcW w:w="1255" w:type="pct"/>
                  <w:gridSpan w:val="2"/>
                  <w:noWrap w:val="0"/>
                  <w:vAlign w:val="center"/>
                </w:tcPr>
                <w:p w14:paraId="343129FD">
                  <w:pPr>
                    <w:pStyle w:val="32"/>
                    <w:ind w:left="0" w:leftChars="0" w:right="0" w:rightChars="0" w:firstLine="0" w:firstLineChars="0"/>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塔磨机（三段磨）</w:t>
                  </w:r>
                </w:p>
              </w:tc>
              <w:tc>
                <w:tcPr>
                  <w:tcW w:w="1583" w:type="pct"/>
                  <w:gridSpan w:val="2"/>
                  <w:noWrap w:val="0"/>
                  <w:vAlign w:val="center"/>
                </w:tcPr>
                <w:p w14:paraId="7446FF36">
                  <w:pPr>
                    <w:pStyle w:val="32"/>
                    <w:ind w:left="0" w:leftChars="0" w:right="0" w:rightChars="0" w:firstLine="0" w:firstLineChars="0"/>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CSM-710</w:t>
                  </w:r>
                </w:p>
              </w:tc>
              <w:tc>
                <w:tcPr>
                  <w:tcW w:w="492" w:type="pct"/>
                  <w:gridSpan w:val="2"/>
                  <w:noWrap w:val="0"/>
                  <w:vAlign w:val="center"/>
                </w:tcPr>
                <w:p w14:paraId="44A9FA0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54DC03C7">
                  <w:pPr>
                    <w:pStyle w:val="30"/>
                    <w:ind w:left="0" w:leftChars="0" w:right="0" w:rightChars="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1</w:t>
                  </w:r>
                </w:p>
              </w:tc>
              <w:tc>
                <w:tcPr>
                  <w:tcW w:w="870" w:type="pct"/>
                  <w:noWrap w:val="0"/>
                  <w:vAlign w:val="center"/>
                </w:tcPr>
                <w:p w14:paraId="5E7A39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新增</w:t>
                  </w:r>
                </w:p>
              </w:tc>
            </w:tr>
            <w:tr w14:paraId="33A3302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7278D319">
                  <w:pPr>
                    <w:pStyle w:val="30"/>
                    <w:rPr>
                      <w:rFonts w:hint="default" w:cs="Times New Roman"/>
                      <w:color w:val="auto"/>
                      <w:sz w:val="18"/>
                      <w:szCs w:val="18"/>
                      <w:lang w:val="en-US" w:eastAsia="zh-CN"/>
                    </w:rPr>
                  </w:pPr>
                  <w:r>
                    <w:rPr>
                      <w:rFonts w:hint="eastAsia" w:cs="Times New Roman"/>
                      <w:color w:val="auto"/>
                      <w:sz w:val="18"/>
                      <w:szCs w:val="18"/>
                      <w:lang w:val="en-US" w:eastAsia="zh-CN"/>
                    </w:rPr>
                    <w:t>33</w:t>
                  </w:r>
                </w:p>
              </w:tc>
              <w:tc>
                <w:tcPr>
                  <w:tcW w:w="1255" w:type="pct"/>
                  <w:gridSpan w:val="2"/>
                  <w:noWrap w:val="0"/>
                  <w:vAlign w:val="center"/>
                </w:tcPr>
                <w:p w14:paraId="02886C6A">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三段分级旋流器</w:t>
                  </w:r>
                </w:p>
              </w:tc>
              <w:tc>
                <w:tcPr>
                  <w:tcW w:w="1583" w:type="pct"/>
                  <w:gridSpan w:val="2"/>
                  <w:noWrap w:val="0"/>
                  <w:vAlign w:val="center"/>
                </w:tcPr>
                <w:p w14:paraId="7443BC51">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φ150×16</w:t>
                  </w:r>
                </w:p>
              </w:tc>
              <w:tc>
                <w:tcPr>
                  <w:tcW w:w="492" w:type="pct"/>
                  <w:gridSpan w:val="2"/>
                  <w:noWrap w:val="0"/>
                  <w:vAlign w:val="center"/>
                </w:tcPr>
                <w:p w14:paraId="2BDE8E6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356E6854">
                  <w:pPr>
                    <w:pStyle w:val="30"/>
                    <w:ind w:firstLine="0" w:firstLineChars="0"/>
                    <w:rPr>
                      <w:rFonts w:hint="eastAsia" w:cs="Times New Roman"/>
                      <w:color w:val="auto"/>
                      <w:sz w:val="18"/>
                      <w:szCs w:val="18"/>
                      <w:lang w:val="en-US" w:eastAsia="zh-CN"/>
                    </w:rPr>
                  </w:pPr>
                  <w:r>
                    <w:rPr>
                      <w:rFonts w:hint="eastAsia" w:cs="Times New Roman"/>
                      <w:color w:val="auto"/>
                      <w:sz w:val="18"/>
                      <w:szCs w:val="18"/>
                      <w:lang w:val="en-US" w:eastAsia="zh-CN"/>
                    </w:rPr>
                    <w:t>1</w:t>
                  </w:r>
                </w:p>
              </w:tc>
              <w:tc>
                <w:tcPr>
                  <w:tcW w:w="870" w:type="pct"/>
                  <w:noWrap w:val="0"/>
                  <w:vAlign w:val="center"/>
                </w:tcPr>
                <w:p w14:paraId="28F7B5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新增</w:t>
                  </w:r>
                </w:p>
              </w:tc>
            </w:tr>
            <w:tr w14:paraId="2982AAD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793EBA6D">
                  <w:pPr>
                    <w:pStyle w:val="30"/>
                    <w:rPr>
                      <w:rFonts w:hint="default" w:cs="Times New Roman"/>
                      <w:color w:val="auto"/>
                      <w:sz w:val="18"/>
                      <w:szCs w:val="18"/>
                      <w:lang w:val="en-US" w:eastAsia="zh-CN"/>
                    </w:rPr>
                  </w:pPr>
                  <w:r>
                    <w:rPr>
                      <w:rFonts w:hint="eastAsia" w:cs="Times New Roman"/>
                      <w:color w:val="auto"/>
                      <w:sz w:val="18"/>
                      <w:szCs w:val="18"/>
                      <w:lang w:val="en-US" w:eastAsia="zh-CN"/>
                    </w:rPr>
                    <w:t>34</w:t>
                  </w:r>
                </w:p>
              </w:tc>
              <w:tc>
                <w:tcPr>
                  <w:tcW w:w="1255" w:type="pct"/>
                  <w:gridSpan w:val="2"/>
                  <w:noWrap w:val="0"/>
                  <w:vAlign w:val="center"/>
                </w:tcPr>
                <w:p w14:paraId="207E48D8">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搅拌桶（尾矿再选前）</w:t>
                  </w:r>
                </w:p>
              </w:tc>
              <w:tc>
                <w:tcPr>
                  <w:tcW w:w="1583" w:type="pct"/>
                  <w:gridSpan w:val="2"/>
                  <w:noWrap w:val="0"/>
                  <w:vAlign w:val="center"/>
                </w:tcPr>
                <w:p w14:paraId="0614E82E">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φ2500</w:t>
                  </w:r>
                </w:p>
              </w:tc>
              <w:tc>
                <w:tcPr>
                  <w:tcW w:w="492" w:type="pct"/>
                  <w:gridSpan w:val="2"/>
                  <w:noWrap w:val="0"/>
                  <w:vAlign w:val="center"/>
                </w:tcPr>
                <w:p w14:paraId="487CA78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5B3210E2">
                  <w:pPr>
                    <w:pStyle w:val="30"/>
                    <w:ind w:firstLine="0" w:firstLineChars="0"/>
                    <w:rPr>
                      <w:rFonts w:hint="eastAsia" w:cs="Times New Roman"/>
                      <w:color w:val="auto"/>
                      <w:sz w:val="18"/>
                      <w:szCs w:val="18"/>
                      <w:lang w:val="en-US" w:eastAsia="zh-CN"/>
                    </w:rPr>
                  </w:pPr>
                  <w:r>
                    <w:rPr>
                      <w:rFonts w:hint="eastAsia" w:cs="Times New Roman"/>
                      <w:color w:val="auto"/>
                      <w:sz w:val="18"/>
                      <w:szCs w:val="18"/>
                      <w:lang w:val="en-US" w:eastAsia="zh-CN"/>
                    </w:rPr>
                    <w:t>1</w:t>
                  </w:r>
                </w:p>
              </w:tc>
              <w:tc>
                <w:tcPr>
                  <w:tcW w:w="870" w:type="pct"/>
                  <w:noWrap w:val="0"/>
                  <w:vAlign w:val="center"/>
                </w:tcPr>
                <w:p w14:paraId="507B22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新增</w:t>
                  </w:r>
                </w:p>
              </w:tc>
            </w:tr>
            <w:tr w14:paraId="1F1B24B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109AB544">
                  <w:pPr>
                    <w:pStyle w:val="30"/>
                    <w:rPr>
                      <w:rFonts w:hint="default" w:cs="Times New Roman"/>
                      <w:color w:val="auto"/>
                      <w:sz w:val="18"/>
                      <w:szCs w:val="18"/>
                      <w:lang w:val="en-US" w:eastAsia="zh-CN"/>
                    </w:rPr>
                  </w:pPr>
                  <w:r>
                    <w:rPr>
                      <w:rFonts w:hint="eastAsia" w:cs="Times New Roman"/>
                      <w:color w:val="auto"/>
                      <w:sz w:val="18"/>
                      <w:szCs w:val="18"/>
                      <w:lang w:val="en-US" w:eastAsia="zh-CN"/>
                    </w:rPr>
                    <w:t>35</w:t>
                  </w:r>
                </w:p>
              </w:tc>
              <w:tc>
                <w:tcPr>
                  <w:tcW w:w="1255" w:type="pct"/>
                  <w:gridSpan w:val="2"/>
                  <w:noWrap w:val="0"/>
                  <w:vAlign w:val="center"/>
                </w:tcPr>
                <w:p w14:paraId="2C933C5D">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浮选机（尾矿再选粗选/扫选）</w:t>
                  </w:r>
                </w:p>
              </w:tc>
              <w:tc>
                <w:tcPr>
                  <w:tcW w:w="1583" w:type="pct"/>
                  <w:gridSpan w:val="2"/>
                  <w:noWrap w:val="0"/>
                  <w:vAlign w:val="center"/>
                </w:tcPr>
                <w:p w14:paraId="737D73CF">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CLF-16（吸入槽/直流槽）</w:t>
                  </w:r>
                </w:p>
              </w:tc>
              <w:tc>
                <w:tcPr>
                  <w:tcW w:w="492" w:type="pct"/>
                  <w:gridSpan w:val="2"/>
                  <w:noWrap w:val="0"/>
                  <w:vAlign w:val="center"/>
                </w:tcPr>
                <w:p w14:paraId="3E464AD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2FCB6CC7">
                  <w:pPr>
                    <w:pStyle w:val="30"/>
                    <w:ind w:firstLine="0" w:firstLineChars="0"/>
                    <w:rPr>
                      <w:rFonts w:hint="eastAsia" w:cs="Times New Roman"/>
                      <w:color w:val="auto"/>
                      <w:sz w:val="18"/>
                      <w:szCs w:val="18"/>
                      <w:lang w:val="en-US" w:eastAsia="zh-CN"/>
                    </w:rPr>
                  </w:pPr>
                  <w:r>
                    <w:rPr>
                      <w:rFonts w:hint="eastAsia"/>
                      <w:color w:val="auto"/>
                    </w:rPr>
                    <w:t>1</w:t>
                  </w:r>
                  <w:r>
                    <w:rPr>
                      <w:color w:val="auto"/>
                    </w:rPr>
                    <w:t>0</w:t>
                  </w:r>
                </w:p>
              </w:tc>
              <w:tc>
                <w:tcPr>
                  <w:tcW w:w="870" w:type="pct"/>
                  <w:noWrap w:val="0"/>
                  <w:vAlign w:val="center"/>
                </w:tcPr>
                <w:p w14:paraId="2D428F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新增</w:t>
                  </w:r>
                </w:p>
              </w:tc>
            </w:tr>
            <w:tr w14:paraId="205070B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379FD8C8">
                  <w:pPr>
                    <w:pStyle w:val="30"/>
                    <w:rPr>
                      <w:rFonts w:hint="default" w:cs="Times New Roman"/>
                      <w:color w:val="auto"/>
                      <w:sz w:val="18"/>
                      <w:szCs w:val="18"/>
                      <w:lang w:val="en-US" w:eastAsia="zh-CN"/>
                    </w:rPr>
                  </w:pPr>
                  <w:r>
                    <w:rPr>
                      <w:rFonts w:hint="eastAsia" w:cs="Times New Roman"/>
                      <w:color w:val="auto"/>
                      <w:sz w:val="18"/>
                      <w:szCs w:val="18"/>
                      <w:lang w:val="en-US" w:eastAsia="zh-CN"/>
                    </w:rPr>
                    <w:t>36</w:t>
                  </w:r>
                </w:p>
              </w:tc>
              <w:tc>
                <w:tcPr>
                  <w:tcW w:w="1255" w:type="pct"/>
                  <w:gridSpan w:val="2"/>
                  <w:noWrap w:val="0"/>
                  <w:vAlign w:val="center"/>
                </w:tcPr>
                <w:p w14:paraId="469F5A3D">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浮选机（尾矿再选精选）</w:t>
                  </w:r>
                </w:p>
              </w:tc>
              <w:tc>
                <w:tcPr>
                  <w:tcW w:w="1583" w:type="pct"/>
                  <w:gridSpan w:val="2"/>
                  <w:noWrap w:val="0"/>
                  <w:vAlign w:val="center"/>
                </w:tcPr>
                <w:p w14:paraId="2CC3A3B8">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CLF-4（吸入槽/直流槽）</w:t>
                  </w:r>
                </w:p>
              </w:tc>
              <w:tc>
                <w:tcPr>
                  <w:tcW w:w="492" w:type="pct"/>
                  <w:gridSpan w:val="2"/>
                  <w:noWrap w:val="0"/>
                  <w:vAlign w:val="center"/>
                </w:tcPr>
                <w:p w14:paraId="35CDD3A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12ED6730">
                  <w:pPr>
                    <w:pStyle w:val="30"/>
                    <w:ind w:firstLine="0" w:firstLineChars="0"/>
                    <w:rPr>
                      <w:rFonts w:hint="eastAsia" w:cs="Times New Roman"/>
                      <w:color w:val="auto"/>
                      <w:sz w:val="18"/>
                      <w:szCs w:val="18"/>
                      <w:lang w:val="en-US" w:eastAsia="zh-CN"/>
                    </w:rPr>
                  </w:pPr>
                  <w:r>
                    <w:rPr>
                      <w:rFonts w:hint="eastAsia" w:cs="Times New Roman"/>
                      <w:color w:val="auto"/>
                      <w:sz w:val="18"/>
                      <w:szCs w:val="18"/>
                      <w:lang w:val="en-US" w:eastAsia="zh-CN"/>
                    </w:rPr>
                    <w:t>5</w:t>
                  </w:r>
                </w:p>
              </w:tc>
              <w:tc>
                <w:tcPr>
                  <w:tcW w:w="870" w:type="pct"/>
                  <w:noWrap w:val="0"/>
                  <w:vAlign w:val="center"/>
                </w:tcPr>
                <w:p w14:paraId="73276B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新增</w:t>
                  </w:r>
                </w:p>
              </w:tc>
            </w:tr>
            <w:tr w14:paraId="2C3D152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4B52DB5B">
                  <w:pPr>
                    <w:pStyle w:val="30"/>
                    <w:rPr>
                      <w:rFonts w:hint="default" w:cs="Times New Roman"/>
                      <w:color w:val="auto"/>
                      <w:sz w:val="18"/>
                      <w:szCs w:val="18"/>
                      <w:lang w:val="en-US" w:eastAsia="zh-CN"/>
                    </w:rPr>
                  </w:pPr>
                  <w:r>
                    <w:rPr>
                      <w:rFonts w:hint="eastAsia" w:cs="Times New Roman"/>
                      <w:color w:val="auto"/>
                      <w:sz w:val="18"/>
                      <w:szCs w:val="18"/>
                      <w:lang w:val="en-US" w:eastAsia="zh-CN"/>
                    </w:rPr>
                    <w:t>37</w:t>
                  </w:r>
                </w:p>
              </w:tc>
              <w:tc>
                <w:tcPr>
                  <w:tcW w:w="1255" w:type="pct"/>
                  <w:gridSpan w:val="2"/>
                  <w:noWrap w:val="0"/>
                  <w:vAlign w:val="center"/>
                </w:tcPr>
                <w:p w14:paraId="71E3AEEB">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磁选机（磁粗/磁扫）</w:t>
                  </w:r>
                </w:p>
              </w:tc>
              <w:tc>
                <w:tcPr>
                  <w:tcW w:w="1583" w:type="pct"/>
                  <w:gridSpan w:val="2"/>
                  <w:noWrap w:val="0"/>
                  <w:vAlign w:val="center"/>
                </w:tcPr>
                <w:p w14:paraId="1BB577B7">
                  <w:pPr>
                    <w:pStyle w:val="32"/>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CTB-1024（双滚筒）</w:t>
                  </w:r>
                </w:p>
              </w:tc>
              <w:tc>
                <w:tcPr>
                  <w:tcW w:w="492" w:type="pct"/>
                  <w:gridSpan w:val="2"/>
                  <w:noWrap w:val="0"/>
                  <w:vAlign w:val="center"/>
                </w:tcPr>
                <w:p w14:paraId="0FF0CDC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49" w:type="pct"/>
                  <w:noWrap w:val="0"/>
                  <w:vAlign w:val="center"/>
                </w:tcPr>
                <w:p w14:paraId="33C6321B">
                  <w:pPr>
                    <w:pStyle w:val="30"/>
                    <w:ind w:firstLine="0" w:firstLineChars="0"/>
                    <w:rPr>
                      <w:rFonts w:hint="eastAsia" w:cs="Times New Roman"/>
                      <w:color w:val="auto"/>
                      <w:sz w:val="18"/>
                      <w:szCs w:val="18"/>
                      <w:lang w:val="en-US" w:eastAsia="zh-CN"/>
                    </w:rPr>
                  </w:pPr>
                  <w:r>
                    <w:rPr>
                      <w:rFonts w:hint="eastAsia" w:cs="Times New Roman"/>
                      <w:color w:val="auto"/>
                      <w:sz w:val="18"/>
                      <w:szCs w:val="18"/>
                      <w:lang w:val="en-US" w:eastAsia="zh-CN"/>
                    </w:rPr>
                    <w:t>1</w:t>
                  </w:r>
                </w:p>
              </w:tc>
              <w:tc>
                <w:tcPr>
                  <w:tcW w:w="870" w:type="pct"/>
                  <w:noWrap w:val="0"/>
                  <w:vAlign w:val="center"/>
                </w:tcPr>
                <w:p w14:paraId="137F3E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新增</w:t>
                  </w:r>
                </w:p>
              </w:tc>
            </w:tr>
            <w:tr w14:paraId="5B0A5C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17D63D52">
                  <w:pPr>
                    <w:pStyle w:val="30"/>
                    <w:rPr>
                      <w:rFonts w:hint="default" w:cs="Times New Roman"/>
                      <w:b/>
                      <w:bCs/>
                      <w:color w:val="auto"/>
                      <w:sz w:val="18"/>
                      <w:szCs w:val="18"/>
                      <w:lang w:val="en-US" w:eastAsia="zh-CN"/>
                    </w:rPr>
                  </w:pPr>
                  <w:r>
                    <w:rPr>
                      <w:rFonts w:hint="eastAsia" w:cs="Times New Roman"/>
                      <w:b/>
                      <w:bCs/>
                      <w:color w:val="auto"/>
                      <w:sz w:val="18"/>
                      <w:szCs w:val="18"/>
                      <w:lang w:val="en-US" w:eastAsia="zh-CN"/>
                    </w:rPr>
                    <w:t>五</w:t>
                  </w:r>
                </w:p>
              </w:tc>
              <w:tc>
                <w:tcPr>
                  <w:tcW w:w="4750" w:type="pct"/>
                  <w:gridSpan w:val="8"/>
                  <w:noWrap w:val="0"/>
                  <w:vAlign w:val="center"/>
                </w:tcPr>
                <w:p w14:paraId="7E6364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脱水</w:t>
                  </w:r>
                </w:p>
              </w:tc>
            </w:tr>
            <w:tr w14:paraId="45FF298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249" w:type="pct"/>
                  <w:noWrap w:val="0"/>
                  <w:vAlign w:val="center"/>
                </w:tcPr>
                <w:p w14:paraId="5F4F865A">
                  <w:pPr>
                    <w:pStyle w:val="30"/>
                    <w:rPr>
                      <w:rFonts w:hint="default" w:cs="Times New Roman"/>
                      <w:b/>
                      <w:bCs/>
                      <w:color w:val="auto"/>
                      <w:sz w:val="18"/>
                      <w:szCs w:val="18"/>
                      <w:lang w:val="en-US" w:eastAsia="zh-CN"/>
                    </w:rPr>
                  </w:pPr>
                  <w:r>
                    <w:rPr>
                      <w:rFonts w:hint="eastAsia" w:cs="Times New Roman"/>
                      <w:b w:val="0"/>
                      <w:bCs w:val="0"/>
                      <w:color w:val="auto"/>
                      <w:sz w:val="18"/>
                      <w:szCs w:val="18"/>
                      <w:lang w:val="en-US" w:eastAsia="zh-CN"/>
                    </w:rPr>
                    <w:t>38</w:t>
                  </w:r>
                </w:p>
              </w:tc>
              <w:tc>
                <w:tcPr>
                  <w:tcW w:w="1248" w:type="pct"/>
                  <w:noWrap w:val="0"/>
                  <w:vAlign w:val="center"/>
                </w:tcPr>
                <w:p w14:paraId="654F24A2">
                  <w:pPr>
                    <w:pStyle w:val="32"/>
                    <w:rPr>
                      <w:rFonts w:hint="eastAsia" w:cs="Times New Roman"/>
                      <w:b/>
                      <w:bCs/>
                      <w:color w:val="auto"/>
                      <w:sz w:val="18"/>
                      <w:szCs w:val="18"/>
                      <w:lang w:val="en-US" w:eastAsia="zh-CN"/>
                    </w:rPr>
                  </w:pPr>
                  <w:r>
                    <w:rPr>
                      <w:rFonts w:hint="eastAsia" w:ascii="Times New Roman" w:hAnsi="Times New Roman" w:eastAsia="宋体" w:cs="Times New Roman"/>
                      <w:sz w:val="18"/>
                      <w:szCs w:val="18"/>
                    </w:rPr>
                    <w:t>尾矿陶瓷过滤机</w:t>
                  </w:r>
                </w:p>
              </w:tc>
              <w:tc>
                <w:tcPr>
                  <w:tcW w:w="1449" w:type="pct"/>
                  <w:gridSpan w:val="2"/>
                  <w:noWrap w:val="0"/>
                  <w:vAlign w:val="center"/>
                </w:tcPr>
                <w:p w14:paraId="3E082C89">
                  <w:pPr>
                    <w:pStyle w:val="32"/>
                    <w:rPr>
                      <w:rFonts w:hint="eastAsia" w:cs="Times New Roman"/>
                      <w:b/>
                      <w:bCs/>
                      <w:color w:val="auto"/>
                      <w:sz w:val="18"/>
                      <w:szCs w:val="18"/>
                      <w:lang w:val="en-US" w:eastAsia="zh-CN"/>
                    </w:rPr>
                  </w:pPr>
                  <w:r>
                    <w:rPr>
                      <w:rFonts w:hint="eastAsia" w:ascii="Times New Roman" w:hAnsi="Times New Roman" w:eastAsia="宋体" w:cs="Times New Roman"/>
                      <w:sz w:val="18"/>
                      <w:szCs w:val="18"/>
                    </w:rPr>
                    <w:t>P90/15-C</w:t>
                  </w:r>
                </w:p>
              </w:tc>
              <w:tc>
                <w:tcPr>
                  <w:tcW w:w="625" w:type="pct"/>
                  <w:gridSpan w:val="2"/>
                  <w:noWrap w:val="0"/>
                  <w:vAlign w:val="center"/>
                </w:tcPr>
                <w:p w14:paraId="7A88FA17">
                  <w:pPr>
                    <w:ind w:left="0" w:leftChars="0" w:right="0" w:rightChars="0" w:firstLine="0" w:firstLineChars="0"/>
                    <w:jc w:val="center"/>
                    <w:rPr>
                      <w:rFonts w:hint="eastAsia" w:cs="Times New Roman"/>
                      <w:b/>
                      <w:bCs/>
                      <w:color w:val="auto"/>
                      <w:sz w:val="18"/>
                      <w:szCs w:val="18"/>
                      <w:lang w:val="en-US" w:eastAsia="zh-CN"/>
                    </w:rPr>
                  </w:pPr>
                  <w:r>
                    <w:rPr>
                      <w:rFonts w:hint="eastAsia" w:ascii="Times New Roman" w:hAnsi="Times New Roman" w:eastAsia="宋体" w:cs="Times New Roman"/>
                      <w:color w:val="auto"/>
                      <w:sz w:val="18"/>
                      <w:szCs w:val="18"/>
                      <w:lang w:val="en-US" w:eastAsia="zh-CN"/>
                    </w:rPr>
                    <w:t>台</w:t>
                  </w:r>
                </w:p>
              </w:tc>
              <w:tc>
                <w:tcPr>
                  <w:tcW w:w="556" w:type="pct"/>
                  <w:gridSpan w:val="2"/>
                  <w:noWrap w:val="0"/>
                  <w:vAlign w:val="center"/>
                </w:tcPr>
                <w:p w14:paraId="44F78DF6">
                  <w:pPr>
                    <w:pStyle w:val="30"/>
                    <w:ind w:firstLine="0" w:firstLineChars="0"/>
                    <w:rPr>
                      <w:rFonts w:hint="eastAsia" w:cs="Times New Roman"/>
                      <w:b/>
                      <w:bCs/>
                      <w:color w:val="auto"/>
                      <w:sz w:val="18"/>
                      <w:szCs w:val="18"/>
                      <w:lang w:val="en-US" w:eastAsia="zh-CN"/>
                    </w:rPr>
                  </w:pPr>
                  <w:r>
                    <w:rPr>
                      <w:rFonts w:hint="eastAsia" w:cs="Times New Roman"/>
                      <w:color w:val="auto"/>
                      <w:sz w:val="18"/>
                      <w:szCs w:val="18"/>
                      <w:lang w:val="en-US" w:eastAsia="zh-CN"/>
                    </w:rPr>
                    <w:t>1</w:t>
                  </w:r>
                </w:p>
              </w:tc>
              <w:tc>
                <w:tcPr>
                  <w:tcW w:w="870" w:type="pct"/>
                  <w:noWrap w:val="0"/>
                  <w:vAlign w:val="center"/>
                </w:tcPr>
                <w:p w14:paraId="2AE378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bCs/>
                      <w:color w:val="auto"/>
                      <w:sz w:val="18"/>
                      <w:szCs w:val="18"/>
                      <w:lang w:val="en-US" w:eastAsia="zh-CN"/>
                    </w:rPr>
                  </w:pPr>
                  <w:r>
                    <w:rPr>
                      <w:rFonts w:hint="eastAsia" w:cs="Times New Roman"/>
                      <w:color w:val="auto"/>
                      <w:sz w:val="18"/>
                      <w:szCs w:val="18"/>
                      <w:lang w:val="en-US" w:eastAsia="zh-CN"/>
                    </w:rPr>
                    <w:t>新增</w:t>
                  </w:r>
                </w:p>
              </w:tc>
            </w:tr>
          </w:tbl>
          <w:p w14:paraId="7EE4AD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5</w:t>
            </w:r>
            <w:r>
              <w:rPr>
                <w:rFonts w:hint="eastAsia" w:ascii="Times New Roman" w:hAnsi="Times New Roman"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主要原辅材料及能源</w:t>
            </w:r>
          </w:p>
          <w:p w14:paraId="7497938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1主要原辅材料的来源及消耗量</w:t>
            </w:r>
          </w:p>
          <w:p w14:paraId="421807C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本项目使用的原料来源于</w:t>
            </w:r>
            <w:r>
              <w:rPr>
                <w:rFonts w:hint="eastAsia" w:cs="Times New Roman"/>
                <w:color w:val="auto"/>
                <w:sz w:val="24"/>
                <w:szCs w:val="24"/>
                <w:lang w:val="en-US" w:eastAsia="zh-CN"/>
              </w:rPr>
              <w:t>易门铜业有限公司底吹炉熔炼渣，</w:t>
            </w:r>
            <w:r>
              <w:rPr>
                <w:rFonts w:hint="default" w:ascii="Times New Roman" w:hAnsi="Times New Roman" w:eastAsia="宋体" w:cs="Times New Roman"/>
                <w:color w:val="auto"/>
                <w:sz w:val="24"/>
                <w:szCs w:val="24"/>
              </w:rPr>
              <w:t>原辅用料情况具体如下：</w:t>
            </w:r>
          </w:p>
          <w:p w14:paraId="213BCB21">
            <w:pPr>
              <w:ind w:left="0" w:leftChars="0" w:right="0" w:rightChars="0" w:firstLine="0" w:firstLineChars="0"/>
              <w:jc w:val="center"/>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表2-5 项目主要原辅材料消耗情况表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996"/>
              <w:gridCol w:w="2048"/>
              <w:gridCol w:w="3180"/>
            </w:tblGrid>
            <w:tr w14:paraId="3C1F3C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98" w:type="pct"/>
                  <w:tcBorders>
                    <w:tl2br w:val="nil"/>
                    <w:tr2bl w:val="nil"/>
                  </w:tcBorders>
                  <w:vAlign w:val="center"/>
                </w:tcPr>
                <w:p w14:paraId="750615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18"/>
                      <w:szCs w:val="18"/>
                      <w:vertAlign w:val="baseline"/>
                    </w:rPr>
                  </w:pPr>
                  <w:r>
                    <w:rPr>
                      <w:rFonts w:hint="default" w:ascii="Times New Roman" w:hAnsi="Times New Roman" w:eastAsia="宋体" w:cs="Times New Roman"/>
                      <w:b w:val="0"/>
                      <w:bCs w:val="0"/>
                      <w:color w:val="auto"/>
                      <w:sz w:val="18"/>
                      <w:szCs w:val="18"/>
                      <w:highlight w:val="none"/>
                    </w:rPr>
                    <w:t>序号</w:t>
                  </w:r>
                </w:p>
              </w:tc>
              <w:tc>
                <w:tcPr>
                  <w:tcW w:w="1271" w:type="pct"/>
                  <w:tcBorders>
                    <w:tl2br w:val="nil"/>
                    <w:tr2bl w:val="nil"/>
                  </w:tcBorders>
                  <w:vAlign w:val="center"/>
                </w:tcPr>
                <w:p w14:paraId="3CD2C3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18"/>
                      <w:szCs w:val="18"/>
                      <w:vertAlign w:val="baseline"/>
                    </w:rPr>
                  </w:pPr>
                  <w:r>
                    <w:rPr>
                      <w:rFonts w:hint="default" w:ascii="Times New Roman" w:hAnsi="Times New Roman" w:eastAsia="宋体" w:cs="Times New Roman"/>
                      <w:b w:val="0"/>
                      <w:bCs w:val="0"/>
                      <w:color w:val="auto"/>
                      <w:sz w:val="18"/>
                      <w:szCs w:val="18"/>
                      <w:highlight w:val="none"/>
                    </w:rPr>
                    <w:t>名称</w:t>
                  </w:r>
                </w:p>
              </w:tc>
              <w:tc>
                <w:tcPr>
                  <w:tcW w:w="1304" w:type="pct"/>
                  <w:tcBorders>
                    <w:tl2br w:val="nil"/>
                    <w:tr2bl w:val="nil"/>
                  </w:tcBorders>
                  <w:vAlign w:val="center"/>
                </w:tcPr>
                <w:p w14:paraId="777C4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18"/>
                      <w:szCs w:val="18"/>
                      <w:vertAlign w:val="baseline"/>
                    </w:rPr>
                  </w:pPr>
                  <w:r>
                    <w:rPr>
                      <w:rFonts w:hint="default" w:ascii="Times New Roman" w:hAnsi="Times New Roman" w:eastAsia="宋体" w:cs="Times New Roman"/>
                      <w:b w:val="0"/>
                      <w:bCs w:val="0"/>
                      <w:color w:val="auto"/>
                      <w:sz w:val="18"/>
                      <w:szCs w:val="18"/>
                      <w:highlight w:val="none"/>
                      <w:lang w:val="en-US" w:eastAsia="zh-CN"/>
                    </w:rPr>
                    <w:t>消</w:t>
                  </w:r>
                  <w:r>
                    <w:rPr>
                      <w:rFonts w:hint="default" w:ascii="Times New Roman" w:hAnsi="Times New Roman" w:eastAsia="宋体" w:cs="Times New Roman"/>
                      <w:b w:val="0"/>
                      <w:bCs w:val="0"/>
                      <w:color w:val="auto"/>
                      <w:sz w:val="18"/>
                      <w:szCs w:val="18"/>
                      <w:highlight w:val="none"/>
                    </w:rPr>
                    <w:t>耗量</w:t>
                  </w:r>
                </w:p>
              </w:tc>
              <w:tc>
                <w:tcPr>
                  <w:tcW w:w="2025" w:type="pct"/>
                  <w:tcBorders>
                    <w:tl2br w:val="nil"/>
                    <w:tr2bl w:val="nil"/>
                  </w:tcBorders>
                  <w:vAlign w:val="center"/>
                </w:tcPr>
                <w:p w14:paraId="4BFB3A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18"/>
                      <w:szCs w:val="18"/>
                      <w:vertAlign w:val="baseline"/>
                    </w:rPr>
                  </w:pPr>
                  <w:r>
                    <w:rPr>
                      <w:rFonts w:hint="default" w:ascii="Times New Roman" w:hAnsi="Times New Roman" w:eastAsia="宋体" w:cs="Times New Roman"/>
                      <w:b w:val="0"/>
                      <w:bCs w:val="0"/>
                      <w:color w:val="auto"/>
                      <w:sz w:val="18"/>
                      <w:szCs w:val="18"/>
                      <w:highlight w:val="none"/>
                      <w:lang w:val="en-US" w:eastAsia="zh-CN"/>
                    </w:rPr>
                    <w:t>来源</w:t>
                  </w:r>
                </w:p>
              </w:tc>
            </w:tr>
            <w:tr w14:paraId="5C251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55CEF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18"/>
                      <w:szCs w:val="18"/>
                      <w:vertAlign w:val="baseline"/>
                    </w:rPr>
                  </w:pPr>
                  <w:r>
                    <w:rPr>
                      <w:rFonts w:hint="default" w:ascii="Times New Roman" w:hAnsi="Times New Roman" w:eastAsia="宋体" w:cs="Times New Roman"/>
                      <w:b w:val="0"/>
                      <w:bCs w:val="0"/>
                      <w:color w:val="auto"/>
                      <w:sz w:val="18"/>
                      <w:szCs w:val="18"/>
                      <w:highlight w:val="none"/>
                    </w:rPr>
                    <w:t>1</w:t>
                  </w:r>
                </w:p>
              </w:tc>
              <w:tc>
                <w:tcPr>
                  <w:tcW w:w="1271" w:type="pct"/>
                  <w:tcBorders>
                    <w:tl2br w:val="nil"/>
                    <w:tr2bl w:val="nil"/>
                  </w:tcBorders>
                  <w:vAlign w:val="center"/>
                </w:tcPr>
                <w:p w14:paraId="56C41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vertAlign w:val="baseline"/>
                      <w:lang w:val="en-US" w:eastAsia="zh-CN"/>
                    </w:rPr>
                  </w:pPr>
                  <w:r>
                    <w:rPr>
                      <w:rFonts w:hint="eastAsia" w:cs="Times New Roman"/>
                      <w:b w:val="0"/>
                      <w:bCs/>
                      <w:color w:val="auto"/>
                      <w:sz w:val="18"/>
                      <w:szCs w:val="18"/>
                      <w:vertAlign w:val="baseline"/>
                      <w:lang w:val="en-US" w:eastAsia="zh-CN"/>
                    </w:rPr>
                    <w:t>底吹炉熔炼渣</w:t>
                  </w:r>
                </w:p>
              </w:tc>
              <w:tc>
                <w:tcPr>
                  <w:tcW w:w="1304" w:type="pct"/>
                  <w:tcBorders>
                    <w:tl2br w:val="nil"/>
                    <w:tr2bl w:val="nil"/>
                  </w:tcBorders>
                  <w:vAlign w:val="center"/>
                </w:tcPr>
                <w:p w14:paraId="23E2C7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18"/>
                      <w:szCs w:val="18"/>
                      <w:vertAlign w:val="baseline"/>
                      <w:lang w:eastAsia="zh-CN"/>
                    </w:rPr>
                  </w:pPr>
                  <w:r>
                    <w:rPr>
                      <w:rFonts w:hint="eastAsia" w:cs="Times New Roman"/>
                      <w:b w:val="0"/>
                      <w:bCs w:val="0"/>
                      <w:color w:val="auto"/>
                      <w:sz w:val="18"/>
                      <w:szCs w:val="18"/>
                      <w:highlight w:val="none"/>
                      <w:lang w:val="en-US" w:eastAsia="zh-CN"/>
                    </w:rPr>
                    <w:t>1700</w:t>
                  </w:r>
                  <w:r>
                    <w:rPr>
                      <w:rFonts w:hint="default" w:ascii="Times New Roman" w:hAnsi="Times New Roman" w:eastAsia="宋体" w:cs="Times New Roman"/>
                      <w:b w:val="0"/>
                      <w:bCs w:val="0"/>
                      <w:color w:val="auto"/>
                      <w:sz w:val="18"/>
                      <w:szCs w:val="18"/>
                      <w:highlight w:val="none"/>
                    </w:rPr>
                    <w:t>t/</w:t>
                  </w:r>
                  <w:r>
                    <w:rPr>
                      <w:rFonts w:hint="eastAsia" w:cs="Times New Roman"/>
                      <w:b w:val="0"/>
                      <w:bCs w:val="0"/>
                      <w:color w:val="auto"/>
                      <w:sz w:val="18"/>
                      <w:szCs w:val="18"/>
                      <w:highlight w:val="none"/>
                      <w:lang w:val="en-US" w:eastAsia="zh-CN"/>
                    </w:rPr>
                    <w:t>d</w:t>
                  </w:r>
                </w:p>
              </w:tc>
              <w:tc>
                <w:tcPr>
                  <w:tcW w:w="2025" w:type="pct"/>
                  <w:tcBorders>
                    <w:tl2br w:val="nil"/>
                    <w:tr2bl w:val="nil"/>
                  </w:tcBorders>
                  <w:vAlign w:val="center"/>
                </w:tcPr>
                <w:p w14:paraId="0B7C71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易门铜业有限公司</w:t>
                  </w:r>
                </w:p>
              </w:tc>
            </w:tr>
            <w:tr w14:paraId="3D06FD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4D7254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w:t>
                  </w:r>
                </w:p>
              </w:tc>
              <w:tc>
                <w:tcPr>
                  <w:tcW w:w="1271" w:type="pct"/>
                  <w:tcBorders>
                    <w:tl2br w:val="nil"/>
                    <w:tr2bl w:val="nil"/>
                  </w:tcBorders>
                  <w:vAlign w:val="center"/>
                </w:tcPr>
                <w:p w14:paraId="04FCEE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18"/>
                      <w:szCs w:val="18"/>
                      <w:highlight w:val="none"/>
                      <w:lang w:val="en-US" w:eastAsia="zh-CN"/>
                    </w:rPr>
                  </w:pPr>
                  <w:r>
                    <w:rPr>
                      <w:rFonts w:hint="eastAsia"/>
                      <w:sz w:val="18"/>
                      <w:szCs w:val="18"/>
                    </w:rPr>
                    <w:t>硫化钠</w:t>
                  </w:r>
                </w:p>
              </w:tc>
              <w:tc>
                <w:tcPr>
                  <w:tcW w:w="1304" w:type="pct"/>
                  <w:tcBorders>
                    <w:tl2br w:val="nil"/>
                    <w:tr2bl w:val="nil"/>
                  </w:tcBorders>
                  <w:vAlign w:val="center"/>
                </w:tcPr>
                <w:p w14:paraId="51DBDC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134.64t/a</w:t>
                  </w:r>
                </w:p>
              </w:tc>
              <w:tc>
                <w:tcPr>
                  <w:tcW w:w="2025" w:type="pct"/>
                  <w:tcBorders>
                    <w:tl2br w:val="nil"/>
                    <w:tr2bl w:val="nil"/>
                  </w:tcBorders>
                  <w:vAlign w:val="center"/>
                </w:tcPr>
                <w:p w14:paraId="25242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07F37F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98" w:type="pct"/>
                  <w:tcBorders>
                    <w:tl2br w:val="nil"/>
                    <w:tr2bl w:val="nil"/>
                  </w:tcBorders>
                  <w:vAlign w:val="center"/>
                </w:tcPr>
                <w:p w14:paraId="217391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w:t>
                  </w:r>
                </w:p>
              </w:tc>
              <w:tc>
                <w:tcPr>
                  <w:tcW w:w="1271" w:type="pct"/>
                  <w:tcBorders>
                    <w:tl2br w:val="nil"/>
                    <w:tr2bl w:val="nil"/>
                  </w:tcBorders>
                  <w:vAlign w:val="center"/>
                </w:tcPr>
                <w:p w14:paraId="7D65C7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18"/>
                      <w:szCs w:val="18"/>
                      <w:highlight w:val="none"/>
                      <w:lang w:val="en-US" w:eastAsia="zh-CN"/>
                    </w:rPr>
                  </w:pPr>
                  <w:r>
                    <w:rPr>
                      <w:rFonts w:hint="eastAsia"/>
                      <w:sz w:val="18"/>
                      <w:szCs w:val="18"/>
                    </w:rPr>
                    <w:t>黄药</w:t>
                  </w:r>
                </w:p>
              </w:tc>
              <w:tc>
                <w:tcPr>
                  <w:tcW w:w="1304" w:type="pct"/>
                  <w:tcBorders>
                    <w:tl2br w:val="nil"/>
                    <w:tr2bl w:val="nil"/>
                  </w:tcBorders>
                  <w:vAlign w:val="center"/>
                </w:tcPr>
                <w:p w14:paraId="4F845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297.33t/a</w:t>
                  </w:r>
                </w:p>
              </w:tc>
              <w:tc>
                <w:tcPr>
                  <w:tcW w:w="2025" w:type="pct"/>
                  <w:tcBorders>
                    <w:tl2br w:val="nil"/>
                    <w:tr2bl w:val="nil"/>
                  </w:tcBorders>
                  <w:vAlign w:val="center"/>
                </w:tcPr>
                <w:p w14:paraId="28DBCB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48E902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7500AB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4</w:t>
                  </w:r>
                </w:p>
              </w:tc>
              <w:tc>
                <w:tcPr>
                  <w:tcW w:w="1271" w:type="pct"/>
                  <w:tcBorders>
                    <w:tl2br w:val="nil"/>
                    <w:tr2bl w:val="nil"/>
                  </w:tcBorders>
                  <w:vAlign w:val="center"/>
                </w:tcPr>
                <w:p w14:paraId="1F1E2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18"/>
                      <w:szCs w:val="18"/>
                      <w:highlight w:val="none"/>
                      <w:lang w:val="en-US" w:eastAsia="zh-CN"/>
                    </w:rPr>
                  </w:pPr>
                  <w:r>
                    <w:rPr>
                      <w:rFonts w:hint="eastAsia"/>
                      <w:sz w:val="18"/>
                      <w:szCs w:val="18"/>
                    </w:rPr>
                    <w:t>丁铵黑药</w:t>
                  </w:r>
                </w:p>
              </w:tc>
              <w:tc>
                <w:tcPr>
                  <w:tcW w:w="1304" w:type="pct"/>
                  <w:tcBorders>
                    <w:tl2br w:val="nil"/>
                    <w:tr2bl w:val="nil"/>
                  </w:tcBorders>
                  <w:vAlign w:val="center"/>
                </w:tcPr>
                <w:p w14:paraId="27C90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50.49t/a</w:t>
                  </w:r>
                </w:p>
              </w:tc>
              <w:tc>
                <w:tcPr>
                  <w:tcW w:w="2025" w:type="pct"/>
                  <w:tcBorders>
                    <w:tl2br w:val="nil"/>
                    <w:tr2bl w:val="nil"/>
                  </w:tcBorders>
                  <w:vAlign w:val="center"/>
                </w:tcPr>
                <w:p w14:paraId="3C210F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27DF1E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1B92B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w:t>
                  </w:r>
                </w:p>
              </w:tc>
              <w:tc>
                <w:tcPr>
                  <w:tcW w:w="1271" w:type="pct"/>
                  <w:tcBorders>
                    <w:tl2br w:val="nil"/>
                    <w:tr2bl w:val="nil"/>
                  </w:tcBorders>
                  <w:vAlign w:val="center"/>
                </w:tcPr>
                <w:p w14:paraId="18606A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18"/>
                      <w:szCs w:val="18"/>
                    </w:rPr>
                  </w:pPr>
                  <w:r>
                    <w:rPr>
                      <w:rFonts w:hint="eastAsia"/>
                      <w:sz w:val="18"/>
                      <w:szCs w:val="18"/>
                    </w:rPr>
                    <w:t>2#油</w:t>
                  </w:r>
                </w:p>
              </w:tc>
              <w:tc>
                <w:tcPr>
                  <w:tcW w:w="1304" w:type="pct"/>
                  <w:tcBorders>
                    <w:tl2br w:val="nil"/>
                    <w:tr2bl w:val="nil"/>
                  </w:tcBorders>
                  <w:vAlign w:val="center"/>
                </w:tcPr>
                <w:p w14:paraId="7D8F15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72.93t/a</w:t>
                  </w:r>
                </w:p>
              </w:tc>
              <w:tc>
                <w:tcPr>
                  <w:tcW w:w="2025" w:type="pct"/>
                  <w:tcBorders>
                    <w:tl2br w:val="nil"/>
                    <w:tr2bl w:val="nil"/>
                  </w:tcBorders>
                  <w:vAlign w:val="center"/>
                </w:tcPr>
                <w:p w14:paraId="2135B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31E2B1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0F5C6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6</w:t>
                  </w:r>
                </w:p>
              </w:tc>
              <w:tc>
                <w:tcPr>
                  <w:tcW w:w="1271" w:type="pct"/>
                  <w:tcBorders>
                    <w:tl2br w:val="nil"/>
                    <w:tr2bl w:val="nil"/>
                  </w:tcBorders>
                  <w:vAlign w:val="center"/>
                </w:tcPr>
                <w:p w14:paraId="208B8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sz w:val="18"/>
                      <w:szCs w:val="18"/>
                      <w:lang w:val="en-US" w:eastAsia="zh-CN"/>
                    </w:rPr>
                    <w:t>钢球</w:t>
                  </w:r>
                </w:p>
              </w:tc>
              <w:tc>
                <w:tcPr>
                  <w:tcW w:w="1304" w:type="pct"/>
                  <w:tcBorders>
                    <w:tl2br w:val="nil"/>
                    <w:tr2bl w:val="nil"/>
                  </w:tcBorders>
                  <w:vAlign w:val="center"/>
                </w:tcPr>
                <w:p w14:paraId="17C47C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504.9t/a</w:t>
                  </w:r>
                </w:p>
              </w:tc>
              <w:tc>
                <w:tcPr>
                  <w:tcW w:w="2025" w:type="pct"/>
                  <w:tcBorders>
                    <w:tl2br w:val="nil"/>
                    <w:tr2bl w:val="nil"/>
                  </w:tcBorders>
                  <w:vAlign w:val="center"/>
                </w:tcPr>
                <w:p w14:paraId="726D8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61FFD7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3AB192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w:t>
                  </w:r>
                </w:p>
              </w:tc>
              <w:tc>
                <w:tcPr>
                  <w:tcW w:w="1271" w:type="pct"/>
                  <w:tcBorders>
                    <w:tl2br w:val="nil"/>
                    <w:tr2bl w:val="nil"/>
                  </w:tcBorders>
                  <w:vAlign w:val="center"/>
                </w:tcPr>
                <w:p w14:paraId="5DC5B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筛网</w:t>
                  </w:r>
                </w:p>
              </w:tc>
              <w:tc>
                <w:tcPr>
                  <w:tcW w:w="1304" w:type="pct"/>
                  <w:tcBorders>
                    <w:tl2br w:val="nil"/>
                    <w:tr2bl w:val="nil"/>
                  </w:tcBorders>
                  <w:vAlign w:val="center"/>
                </w:tcPr>
                <w:p w14:paraId="60950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2.244t/a</w:t>
                  </w:r>
                </w:p>
              </w:tc>
              <w:tc>
                <w:tcPr>
                  <w:tcW w:w="2025" w:type="pct"/>
                  <w:tcBorders>
                    <w:tl2br w:val="nil"/>
                    <w:tr2bl w:val="nil"/>
                  </w:tcBorders>
                  <w:vAlign w:val="center"/>
                </w:tcPr>
                <w:p w14:paraId="1D8898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3292DD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715424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w:t>
                  </w:r>
                </w:p>
              </w:tc>
              <w:tc>
                <w:tcPr>
                  <w:tcW w:w="1271" w:type="pct"/>
                  <w:tcBorders>
                    <w:tl2br w:val="nil"/>
                    <w:tr2bl w:val="nil"/>
                  </w:tcBorders>
                  <w:vAlign w:val="center"/>
                </w:tcPr>
                <w:p w14:paraId="1D68F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18"/>
                      <w:szCs w:val="18"/>
                      <w:lang w:val="en-US" w:eastAsia="zh-CN"/>
                    </w:rPr>
                  </w:pPr>
                  <w:r>
                    <w:rPr>
                      <w:rFonts w:hint="eastAsia"/>
                      <w:sz w:val="18"/>
                      <w:szCs w:val="18"/>
                      <w:lang w:val="en-US" w:eastAsia="zh-CN"/>
                    </w:rPr>
                    <w:t>胶带</w:t>
                  </w:r>
                </w:p>
              </w:tc>
              <w:tc>
                <w:tcPr>
                  <w:tcW w:w="1304" w:type="pct"/>
                  <w:tcBorders>
                    <w:tl2br w:val="nil"/>
                    <w:tr2bl w:val="nil"/>
                  </w:tcBorders>
                  <w:vAlign w:val="center"/>
                </w:tcPr>
                <w:p w14:paraId="0E244A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561m</w:t>
                  </w:r>
                  <w:r>
                    <w:rPr>
                      <w:rFonts w:hint="eastAsia" w:cs="Times New Roman"/>
                      <w:b w:val="0"/>
                      <w:bCs w:val="0"/>
                      <w:color w:val="auto"/>
                      <w:sz w:val="18"/>
                      <w:szCs w:val="18"/>
                      <w:highlight w:val="none"/>
                      <w:vertAlign w:val="superscript"/>
                      <w:lang w:val="en-US" w:eastAsia="zh-CN"/>
                    </w:rPr>
                    <w:t>2</w:t>
                  </w:r>
                  <w:r>
                    <w:rPr>
                      <w:rFonts w:hint="eastAsia" w:cs="Times New Roman"/>
                      <w:b w:val="0"/>
                      <w:bCs w:val="0"/>
                      <w:color w:val="auto"/>
                      <w:sz w:val="18"/>
                      <w:szCs w:val="18"/>
                      <w:highlight w:val="none"/>
                      <w:lang w:val="en-US" w:eastAsia="zh-CN"/>
                    </w:rPr>
                    <w:t>/a</w:t>
                  </w:r>
                </w:p>
              </w:tc>
              <w:tc>
                <w:tcPr>
                  <w:tcW w:w="2025" w:type="pct"/>
                  <w:tcBorders>
                    <w:tl2br w:val="nil"/>
                    <w:tr2bl w:val="nil"/>
                  </w:tcBorders>
                  <w:vAlign w:val="center"/>
                </w:tcPr>
                <w:p w14:paraId="440D93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56A925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289DE2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w:t>
                  </w:r>
                </w:p>
              </w:tc>
              <w:tc>
                <w:tcPr>
                  <w:tcW w:w="1271" w:type="pct"/>
                  <w:tcBorders>
                    <w:tl2br w:val="nil"/>
                    <w:tr2bl w:val="nil"/>
                  </w:tcBorders>
                  <w:vAlign w:val="center"/>
                </w:tcPr>
                <w:p w14:paraId="0F8AF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18"/>
                      <w:szCs w:val="18"/>
                      <w:lang w:val="en-US" w:eastAsia="zh-CN"/>
                    </w:rPr>
                  </w:pPr>
                  <w:r>
                    <w:rPr>
                      <w:rFonts w:hint="eastAsia"/>
                      <w:sz w:val="18"/>
                      <w:szCs w:val="18"/>
                      <w:lang w:val="en-US" w:eastAsia="zh-CN"/>
                    </w:rPr>
                    <w:t>机油</w:t>
                  </w:r>
                </w:p>
              </w:tc>
              <w:tc>
                <w:tcPr>
                  <w:tcW w:w="1304" w:type="pct"/>
                  <w:tcBorders>
                    <w:tl2br w:val="nil"/>
                    <w:tr2bl w:val="nil"/>
                  </w:tcBorders>
                  <w:vAlign w:val="center"/>
                </w:tcPr>
                <w:p w14:paraId="305C5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224.4t/a</w:t>
                  </w:r>
                </w:p>
              </w:tc>
              <w:tc>
                <w:tcPr>
                  <w:tcW w:w="2025" w:type="pct"/>
                  <w:tcBorders>
                    <w:tl2br w:val="nil"/>
                    <w:tr2bl w:val="nil"/>
                  </w:tcBorders>
                  <w:vAlign w:val="center"/>
                </w:tcPr>
                <w:p w14:paraId="07305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0EC02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729F3C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10</w:t>
                  </w:r>
                </w:p>
              </w:tc>
              <w:tc>
                <w:tcPr>
                  <w:tcW w:w="1271" w:type="pct"/>
                  <w:tcBorders>
                    <w:tl2br w:val="nil"/>
                    <w:tr2bl w:val="nil"/>
                  </w:tcBorders>
                  <w:vAlign w:val="center"/>
                </w:tcPr>
                <w:p w14:paraId="7F8448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18"/>
                      <w:szCs w:val="18"/>
                      <w:lang w:val="en-US" w:eastAsia="zh-CN"/>
                    </w:rPr>
                  </w:pPr>
                  <w:r>
                    <w:rPr>
                      <w:rFonts w:hint="eastAsia"/>
                      <w:sz w:val="18"/>
                      <w:szCs w:val="18"/>
                      <w:lang w:val="en-US" w:eastAsia="zh-CN"/>
                    </w:rPr>
                    <w:t>黄油</w:t>
                  </w:r>
                </w:p>
              </w:tc>
              <w:tc>
                <w:tcPr>
                  <w:tcW w:w="1304" w:type="pct"/>
                  <w:tcBorders>
                    <w:tl2br w:val="nil"/>
                    <w:tr2bl w:val="nil"/>
                  </w:tcBorders>
                  <w:vAlign w:val="center"/>
                </w:tcPr>
                <w:p w14:paraId="0127F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84.15t/a</w:t>
                  </w:r>
                </w:p>
              </w:tc>
              <w:tc>
                <w:tcPr>
                  <w:tcW w:w="2025" w:type="pct"/>
                  <w:tcBorders>
                    <w:tl2br w:val="nil"/>
                    <w:tr2bl w:val="nil"/>
                  </w:tcBorders>
                  <w:vAlign w:val="center"/>
                </w:tcPr>
                <w:p w14:paraId="6A7B1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705EC2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4A7F7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11</w:t>
                  </w:r>
                </w:p>
              </w:tc>
              <w:tc>
                <w:tcPr>
                  <w:tcW w:w="1271" w:type="pct"/>
                  <w:tcBorders>
                    <w:tl2br w:val="nil"/>
                    <w:tr2bl w:val="nil"/>
                  </w:tcBorders>
                  <w:vAlign w:val="center"/>
                </w:tcPr>
                <w:p w14:paraId="60FB2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18"/>
                      <w:szCs w:val="18"/>
                      <w:lang w:val="en-US" w:eastAsia="zh-CN"/>
                    </w:rPr>
                  </w:pPr>
                  <w:r>
                    <w:rPr>
                      <w:rFonts w:hint="eastAsia"/>
                      <w:sz w:val="18"/>
                      <w:szCs w:val="18"/>
                      <w:lang w:val="en-US" w:eastAsia="zh-CN"/>
                    </w:rPr>
                    <w:t>新型过滤机清洗剂</w:t>
                  </w:r>
                </w:p>
              </w:tc>
              <w:tc>
                <w:tcPr>
                  <w:tcW w:w="1304" w:type="pct"/>
                  <w:tcBorders>
                    <w:tl2br w:val="nil"/>
                    <w:tr2bl w:val="nil"/>
                  </w:tcBorders>
                  <w:vAlign w:val="center"/>
                </w:tcPr>
                <w:p w14:paraId="7D160D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35.063t/a</w:t>
                  </w:r>
                </w:p>
              </w:tc>
              <w:tc>
                <w:tcPr>
                  <w:tcW w:w="2025" w:type="pct"/>
                  <w:tcBorders>
                    <w:tl2br w:val="nil"/>
                    <w:tr2bl w:val="nil"/>
                  </w:tcBorders>
                  <w:vAlign w:val="center"/>
                </w:tcPr>
                <w:p w14:paraId="753E7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5534C1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12CF3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vertAlign w:val="baseline"/>
                      <w:lang w:val="en-US" w:eastAsia="zh-CN"/>
                    </w:rPr>
                  </w:pPr>
                  <w:r>
                    <w:rPr>
                      <w:rFonts w:hint="eastAsia" w:cs="Times New Roman"/>
                      <w:b w:val="0"/>
                      <w:bCs/>
                      <w:color w:val="auto"/>
                      <w:sz w:val="18"/>
                      <w:szCs w:val="18"/>
                      <w:vertAlign w:val="baseline"/>
                      <w:lang w:val="en-US" w:eastAsia="zh-CN"/>
                    </w:rPr>
                    <w:t>12</w:t>
                  </w:r>
                </w:p>
              </w:tc>
              <w:tc>
                <w:tcPr>
                  <w:tcW w:w="1271" w:type="pct"/>
                  <w:tcBorders>
                    <w:tl2br w:val="nil"/>
                    <w:tr2bl w:val="nil"/>
                  </w:tcBorders>
                  <w:vAlign w:val="center"/>
                </w:tcPr>
                <w:p w14:paraId="78F7A4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18"/>
                      <w:szCs w:val="18"/>
                      <w:vertAlign w:val="baseline"/>
                      <w:lang w:eastAsia="zh-CN"/>
                    </w:rPr>
                  </w:pPr>
                  <w:r>
                    <w:rPr>
                      <w:rFonts w:hint="eastAsia" w:cs="Times New Roman"/>
                      <w:b w:val="0"/>
                      <w:bCs w:val="0"/>
                      <w:color w:val="auto"/>
                      <w:sz w:val="18"/>
                      <w:szCs w:val="18"/>
                      <w:highlight w:val="none"/>
                      <w:lang w:val="en-US" w:eastAsia="zh-CN"/>
                    </w:rPr>
                    <w:t>水</w:t>
                  </w:r>
                </w:p>
              </w:tc>
              <w:tc>
                <w:tcPr>
                  <w:tcW w:w="1304" w:type="pct"/>
                  <w:tcBorders>
                    <w:tl2br w:val="nil"/>
                    <w:tr2bl w:val="nil"/>
                  </w:tcBorders>
                  <w:vAlign w:val="center"/>
                </w:tcPr>
                <w:p w14:paraId="61F63D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18"/>
                      <w:szCs w:val="18"/>
                      <w:vertAlign w:val="baseline"/>
                    </w:rPr>
                  </w:pPr>
                  <w:r>
                    <w:rPr>
                      <w:rFonts w:hint="eastAsia" w:cs="Times New Roman"/>
                      <w:b w:val="0"/>
                      <w:bCs w:val="0"/>
                      <w:color w:val="auto"/>
                      <w:sz w:val="18"/>
                      <w:szCs w:val="18"/>
                      <w:highlight w:val="none"/>
                      <w:lang w:val="en-US" w:eastAsia="zh-CN"/>
                    </w:rPr>
                    <w:t>120450t/a</w:t>
                  </w:r>
                </w:p>
              </w:tc>
              <w:tc>
                <w:tcPr>
                  <w:tcW w:w="2025" w:type="pct"/>
                  <w:tcBorders>
                    <w:tl2br w:val="nil"/>
                    <w:tr2bl w:val="nil"/>
                  </w:tcBorders>
                  <w:vAlign w:val="center"/>
                </w:tcPr>
                <w:p w14:paraId="525F9E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利用</w:t>
                  </w:r>
                  <w:r>
                    <w:rPr>
                      <w:rFonts w:hint="eastAsia" w:ascii="Times New Roman" w:hAnsi="Times New Roman" w:eastAsia="宋体" w:cs="Times New Roman"/>
                      <w:b w:val="0"/>
                      <w:bCs w:val="0"/>
                      <w:color w:val="auto"/>
                      <w:sz w:val="18"/>
                      <w:szCs w:val="18"/>
                      <w:highlight w:val="none"/>
                      <w:lang w:val="en-US" w:eastAsia="zh-CN"/>
                    </w:rPr>
                    <w:t>厂区现有</w:t>
                  </w:r>
                  <w:r>
                    <w:rPr>
                      <w:rFonts w:hint="default" w:ascii="Times New Roman" w:hAnsi="Times New Roman" w:eastAsia="宋体" w:cs="Times New Roman"/>
                      <w:b w:val="0"/>
                      <w:bCs w:val="0"/>
                      <w:color w:val="auto"/>
                      <w:sz w:val="18"/>
                      <w:szCs w:val="18"/>
                      <w:highlight w:val="none"/>
                      <w:lang w:val="en-US" w:eastAsia="zh-CN"/>
                    </w:rPr>
                    <w:t>供水系统</w:t>
                  </w:r>
                </w:p>
              </w:tc>
            </w:tr>
            <w:tr w14:paraId="50177A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vAlign w:val="center"/>
                </w:tcPr>
                <w:p w14:paraId="4A82E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vertAlign w:val="baseline"/>
                      <w:lang w:val="en-US" w:eastAsia="zh-CN"/>
                    </w:rPr>
                  </w:pPr>
                  <w:r>
                    <w:rPr>
                      <w:rFonts w:hint="eastAsia" w:cs="Times New Roman"/>
                      <w:b w:val="0"/>
                      <w:bCs/>
                      <w:color w:val="auto"/>
                      <w:sz w:val="18"/>
                      <w:szCs w:val="18"/>
                      <w:vertAlign w:val="baseline"/>
                      <w:lang w:val="en-US" w:eastAsia="zh-CN"/>
                    </w:rPr>
                    <w:t>13</w:t>
                  </w:r>
                </w:p>
              </w:tc>
              <w:tc>
                <w:tcPr>
                  <w:tcW w:w="1271" w:type="pct"/>
                  <w:tcBorders>
                    <w:tl2br w:val="nil"/>
                    <w:tr2bl w:val="nil"/>
                  </w:tcBorders>
                  <w:vAlign w:val="center"/>
                </w:tcPr>
                <w:p w14:paraId="68DA68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18"/>
                      <w:szCs w:val="18"/>
                      <w:vertAlign w:val="baseline"/>
                    </w:rPr>
                  </w:pPr>
                  <w:r>
                    <w:rPr>
                      <w:rFonts w:hint="default" w:ascii="Times New Roman" w:hAnsi="Times New Roman" w:eastAsia="宋体" w:cs="Times New Roman"/>
                      <w:b w:val="0"/>
                      <w:bCs w:val="0"/>
                      <w:color w:val="auto"/>
                      <w:sz w:val="18"/>
                      <w:szCs w:val="18"/>
                      <w:highlight w:val="none"/>
                    </w:rPr>
                    <w:t>电</w:t>
                  </w:r>
                </w:p>
              </w:tc>
              <w:tc>
                <w:tcPr>
                  <w:tcW w:w="1304" w:type="pct"/>
                  <w:tcBorders>
                    <w:tl2br w:val="nil"/>
                    <w:tr2bl w:val="nil"/>
                  </w:tcBorders>
                  <w:vAlign w:val="center"/>
                </w:tcPr>
                <w:p w14:paraId="70FDAE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18"/>
                      <w:szCs w:val="18"/>
                      <w:vertAlign w:val="baseline"/>
                    </w:rPr>
                  </w:pPr>
                  <w:r>
                    <w:rPr>
                      <w:rFonts w:hint="eastAsia" w:ascii="Times New Roman" w:hAnsi="Times New Roman" w:eastAsia="宋体" w:cs="Times New Roman"/>
                      <w:b w:val="0"/>
                      <w:bCs w:val="0"/>
                      <w:color w:val="auto"/>
                      <w:sz w:val="18"/>
                      <w:szCs w:val="18"/>
                      <w:highlight w:val="none"/>
                      <w:lang w:val="en-US" w:eastAsia="zh-CN"/>
                    </w:rPr>
                    <w:t>2294万Kw.h/a</w:t>
                  </w:r>
                </w:p>
              </w:tc>
              <w:tc>
                <w:tcPr>
                  <w:tcW w:w="2025" w:type="pct"/>
                  <w:tcBorders>
                    <w:tl2br w:val="nil"/>
                    <w:tr2bl w:val="nil"/>
                  </w:tcBorders>
                  <w:vAlign w:val="center"/>
                </w:tcPr>
                <w:p w14:paraId="005361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利用厂区现有配电站</w:t>
                  </w:r>
                </w:p>
              </w:tc>
            </w:tr>
          </w:tbl>
          <w:p w14:paraId="67FC60E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药剂的贮存、运输与制备</w:t>
            </w:r>
          </w:p>
          <w:p w14:paraId="216B141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（1）药剂制备及给药设置在浮选厂房的一侧，底层布置药剂库与外部运输通道相通，便于装卸与贮存，厂内药剂库的贮存时间为一个月。</w:t>
            </w:r>
          </w:p>
          <w:p w14:paraId="2DBAE02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（2）药剂库与药剂制备室分设在同一厂房内的上、下层，配备相应的起吊设备，药剂可以通过预留的吊装孔上下运送，便于药剂的堆、存、取、运。</w:t>
            </w:r>
          </w:p>
          <w:p w14:paraId="5A14FC7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（3）2#油为直接添加，根据消耗向贮药桶中添加即可。</w:t>
            </w:r>
          </w:p>
          <w:p w14:paraId="3FB706F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（4）其余3种药剂用药剂搅拌槽制备成溶液后向给药机内添加，每天白班制备一次。</w:t>
            </w:r>
          </w:p>
          <w:p w14:paraId="13CE441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（5）药剂制备及给药设施设置在厂房的较高位置，靠西侧窗边布置，通风条件较好，药剂气味能较好地逸散出厂房，因此设计不考虑抽风换气系统。</w:t>
            </w:r>
          </w:p>
          <w:p w14:paraId="164C7CB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（6）药剂库、药剂制备及给药平台以及贮药设施，均需采取一般的防腐处理。</w:t>
            </w:r>
          </w:p>
          <w:p w14:paraId="31E7FA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铜冶炼渣</w:t>
            </w:r>
            <w:r>
              <w:rPr>
                <w:rFonts w:hint="default" w:ascii="Times New Roman" w:hAnsi="Times New Roman" w:eastAsia="宋体" w:cs="Times New Roman"/>
                <w:color w:val="auto"/>
                <w:sz w:val="24"/>
                <w:szCs w:val="24"/>
                <w:lang w:val="en-US" w:eastAsia="zh-CN"/>
              </w:rPr>
              <w:t>成分及性质</w:t>
            </w:r>
          </w:p>
          <w:p w14:paraId="63F3D2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（1）铜炉渣机械物理特性</w:t>
            </w:r>
          </w:p>
          <w:p w14:paraId="7EF116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铜炉渣</w:t>
            </w:r>
            <w:r>
              <w:rPr>
                <w:rFonts w:hint="eastAsia" w:ascii="Times New Roman" w:hAnsi="Times New Roman" w:eastAsia="宋体" w:cs="Times New Roman"/>
                <w:color w:val="auto"/>
                <w:sz w:val="24"/>
                <w:szCs w:val="24"/>
                <w:lang w:val="en-US" w:eastAsia="zh-CN"/>
              </w:rPr>
              <w:t>含铁量很高，故它的质地致密、坚硬，莫氏硬度达到5-8，属于脆而难磨矿石。真密度为3.8-4.3g/cm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，松散容重2.0-2.4g/cm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，堆积角为38.5°，摩擦角为31.0°。</w:t>
            </w:r>
          </w:p>
          <w:p w14:paraId="45617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（2）铜炉渣的结构构造</w:t>
            </w:r>
          </w:p>
          <w:p w14:paraId="0DDF96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1）铜炉渣的构造</w:t>
            </w:r>
          </w:p>
          <w:p w14:paraId="32580F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多孔构造：铜炉渣表面发育1-20mm大小的孔洞，构成铜炉渣的多孔状构造。</w:t>
            </w:r>
          </w:p>
          <w:p w14:paraId="7181FC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块状构造：组成铜炉渣的各组分分布无定向性，构成铜炉渣的块状构造。</w:t>
            </w:r>
          </w:p>
          <w:p w14:paraId="06D354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稀疏-稠密浸染状构造：是铜炉渣的主要构造。铜炉渣中自然铜、辉铜矿等稀疏浸染状分布，磁铁矿稠密浸染状分布，构成铜炉渣的稀疏-稠密浸染状构造。</w:t>
            </w:r>
          </w:p>
          <w:p w14:paraId="6D8F8B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2）铜炉渣的结构</w:t>
            </w:r>
          </w:p>
          <w:p w14:paraId="7BC327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铜炉渣的主要结构为不等粒似球粒状结构、自形-半自形粒状结构。</w:t>
            </w:r>
          </w:p>
          <w:p w14:paraId="46F1A0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不等粒似球粒状结构：铜炉渣中的自然铜在结晶过程中分异为粒度截然不同的两类似球粒状晶体，一类粒度在0.05-0.2mm之间，另一类粒度在0.005-0.015mm之间，构成铜炉渣的不等粒似球粒状结构。自形-半自形粒状结构：磁铁矿呈空晶状、自形-半自形粒状。</w:t>
            </w:r>
          </w:p>
          <w:p w14:paraId="4A958C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（3）铜炉渣MLA分析</w:t>
            </w:r>
          </w:p>
          <w:p w14:paraId="273261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1）铜渣中矿物成分构成：根据MLA分析，矿样中主要铜矿物主要有自然铜、黄铜矿、辉铜矿、斑铜矿、铅铜矿，其他金属矿物有磁铁矿、磁黄铁矿等，主要脉石矿物有铁橄榄石、透辉石等。</w:t>
            </w:r>
          </w:p>
          <w:p w14:paraId="6B5087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目的矿物粒度特征分析：铜的载体矿物粒度差别较大，自然铜的主要粒径区间在8-150μm；辉铜矿的主要粒径区间在5-212μm；黄铜矿差异最大，通常分布在8-75μm，也可见300μm以上的大颗粒；斑铜矿主要粒径区间在5-63μm；铅铜矿颗粒最细，主要粒径区间在5-45μm。</w:t>
            </w:r>
          </w:p>
          <w:p w14:paraId="02B915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（4）铜冶炼渣浸出毒性实验结果</w:t>
            </w:r>
          </w:p>
          <w:p w14:paraId="60FAA2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根据建设单位提供资料，冶炼渣</w:t>
            </w:r>
            <w:r>
              <w:rPr>
                <w:rFonts w:hint="eastAsia" w:ascii="Times New Roman" w:hAnsi="Times New Roman" w:eastAsia="宋体" w:cs="Times New Roman"/>
                <w:color w:val="auto"/>
                <w:sz w:val="24"/>
                <w:szCs w:val="24"/>
                <w:lang w:val="en-US" w:eastAsia="zh-CN"/>
              </w:rPr>
              <w:t>浸出方法按照《危险废物鉴别标准  浸出毒性鉴别》（GB5085.3-2007）、《危险废物鉴别标准  腐蚀性鉴别》（GB5085.1-2007）的要求，熔炼渣腐蚀性鉴别结果、浸出毒性鉴别结果以及与《污水综合排放标准》一级排放标准对比结果见</w:t>
            </w:r>
            <w:r>
              <w:rPr>
                <w:rFonts w:hint="eastAsia" w:cs="Times New Roman"/>
                <w:color w:val="auto"/>
                <w:sz w:val="24"/>
                <w:szCs w:val="24"/>
                <w:lang w:val="en-US" w:eastAsia="zh-CN"/>
              </w:rPr>
              <w:t>下</w:t>
            </w:r>
            <w:r>
              <w:rPr>
                <w:rFonts w:hint="eastAsia" w:ascii="Times New Roman" w:hAnsi="Times New Roman" w:eastAsia="宋体" w:cs="Times New Roman"/>
                <w:color w:val="auto"/>
                <w:sz w:val="24"/>
                <w:szCs w:val="24"/>
                <w:lang w:val="en-US" w:eastAsia="zh-CN"/>
              </w:rPr>
              <w:t>表。</w:t>
            </w:r>
          </w:p>
          <w:p w14:paraId="2F2E8919">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黑体" w:hAnsi="黑体" w:eastAsia="黑体" w:cs="黑体"/>
                <w:b w:val="0"/>
                <w:bCs/>
                <w:color w:val="auto"/>
              </w:rPr>
            </w:pPr>
            <w:r>
              <w:rPr>
                <w:rFonts w:hint="eastAsia" w:ascii="黑体" w:hAnsi="黑体" w:eastAsia="黑体" w:cs="黑体"/>
                <w:b w:val="0"/>
                <w:bCs/>
                <w:color w:val="auto"/>
              </w:rPr>
              <w:t>表2-</w:t>
            </w:r>
            <w:r>
              <w:rPr>
                <w:rFonts w:hint="eastAsia" w:ascii="黑体" w:hAnsi="黑体" w:eastAsia="黑体" w:cs="黑体"/>
                <w:b w:val="0"/>
                <w:bCs/>
                <w:color w:val="auto"/>
                <w:lang w:val="en-US" w:eastAsia="zh-CN"/>
              </w:rPr>
              <w:t>6</w:t>
            </w:r>
            <w:r>
              <w:rPr>
                <w:rFonts w:hint="eastAsia" w:ascii="黑体" w:hAnsi="黑体" w:eastAsia="黑体" w:cs="黑体"/>
                <w:b w:val="0"/>
                <w:bCs/>
                <w:color w:val="auto"/>
              </w:rPr>
              <w:t xml:space="preserve"> 底吹炉熔炼渣浸出毒性鉴别结果 单位：</w:t>
            </w:r>
            <w:r>
              <w:rPr>
                <w:rFonts w:hint="default" w:ascii="黑体" w:hAnsi="黑体" w:eastAsia="黑体" w:cs="黑体"/>
                <w:b w:val="0"/>
                <w:bCs/>
                <w:color w:val="auto"/>
              </w:rPr>
              <w:t>mg/L</w:t>
            </w:r>
          </w:p>
          <w:tbl>
            <w:tblPr>
              <w:tblStyle w:val="22"/>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1184"/>
              <w:gridCol w:w="1319"/>
              <w:gridCol w:w="1319"/>
              <w:gridCol w:w="1319"/>
              <w:gridCol w:w="1319"/>
            </w:tblGrid>
            <w:tr w14:paraId="73AB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1E21E80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项目</w:t>
                  </w:r>
                </w:p>
              </w:tc>
              <w:tc>
                <w:tcPr>
                  <w:tcW w:w="1184" w:type="dxa"/>
                  <w:vAlign w:val="center"/>
                </w:tcPr>
                <w:p w14:paraId="1FE4E329">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浸出液中危害成分浓度限值</w:t>
                  </w:r>
                </w:p>
              </w:tc>
              <w:tc>
                <w:tcPr>
                  <w:tcW w:w="1319" w:type="dxa"/>
                  <w:vAlign w:val="center"/>
                </w:tcPr>
                <w:p w14:paraId="53D41AD5">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《危险废物鉴别标准-浸出毒性鉴别》</w:t>
                  </w:r>
                </w:p>
              </w:tc>
              <w:tc>
                <w:tcPr>
                  <w:tcW w:w="1319" w:type="dxa"/>
                  <w:vAlign w:val="center"/>
                </w:tcPr>
                <w:p w14:paraId="13801365">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《危险废物鉴别技术规范》</w:t>
                  </w:r>
                </w:p>
              </w:tc>
              <w:tc>
                <w:tcPr>
                  <w:tcW w:w="1319" w:type="dxa"/>
                  <w:vAlign w:val="center"/>
                </w:tcPr>
                <w:p w14:paraId="69F17CB1">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sz w:val="18"/>
                      <w:szCs w:val="18"/>
                    </w:rPr>
                  </w:pPr>
                  <w:r>
                    <w:rPr>
                      <w:rFonts w:hint="eastAsia" w:ascii="宋体" w:hAnsi="宋体" w:eastAsia="宋体" w:cs="宋体"/>
                      <w:color w:val="000000"/>
                      <w:spacing w:val="0"/>
                      <w:position w:val="0"/>
                      <w:sz w:val="18"/>
                      <w:szCs w:val="18"/>
                    </w:rPr>
                    <w:t>《污水综合</w:t>
                  </w:r>
                </w:p>
                <w:p w14:paraId="7F7DE713">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排放标准》</w:t>
                  </w:r>
                </w:p>
              </w:tc>
              <w:tc>
                <w:tcPr>
                  <w:tcW w:w="1319" w:type="dxa"/>
                  <w:tcBorders>
                    <w:right w:val="nil"/>
                  </w:tcBorders>
                  <w:vAlign w:val="center"/>
                </w:tcPr>
                <w:p w14:paraId="3689F081">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《危险废物鉴别技术规范》</w:t>
                  </w:r>
                </w:p>
              </w:tc>
            </w:tr>
            <w:tr w14:paraId="22F8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77CDAC12">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Pb（以总铅计）</w:t>
                  </w:r>
                </w:p>
              </w:tc>
              <w:tc>
                <w:tcPr>
                  <w:tcW w:w="1184" w:type="dxa"/>
                  <w:vAlign w:val="center"/>
                </w:tcPr>
                <w:p w14:paraId="4F6E52CA">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0.034</w:t>
                  </w:r>
                </w:p>
              </w:tc>
              <w:tc>
                <w:tcPr>
                  <w:tcW w:w="1319" w:type="dxa"/>
                  <w:vAlign w:val="center"/>
                </w:tcPr>
                <w:p w14:paraId="192B307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7ADF9274">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3F94632C">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w:t>
                  </w:r>
                </w:p>
              </w:tc>
              <w:tc>
                <w:tcPr>
                  <w:tcW w:w="1319" w:type="dxa"/>
                  <w:tcBorders>
                    <w:right w:val="nil"/>
                  </w:tcBorders>
                  <w:vAlign w:val="center"/>
                </w:tcPr>
                <w:p w14:paraId="1F0C90C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25DE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0BA073D2">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Zn（以总锌计）</w:t>
                  </w:r>
                </w:p>
              </w:tc>
              <w:tc>
                <w:tcPr>
                  <w:tcW w:w="1184" w:type="dxa"/>
                  <w:vAlign w:val="center"/>
                </w:tcPr>
                <w:p w14:paraId="1F7970B8">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71B1AD66">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100</w:t>
                  </w:r>
                </w:p>
              </w:tc>
              <w:tc>
                <w:tcPr>
                  <w:tcW w:w="1319" w:type="dxa"/>
                  <w:vAlign w:val="center"/>
                </w:tcPr>
                <w:p w14:paraId="56223E0B">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6C72DF7D">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5.0</w:t>
                  </w:r>
                </w:p>
              </w:tc>
              <w:tc>
                <w:tcPr>
                  <w:tcW w:w="1319" w:type="dxa"/>
                  <w:tcBorders>
                    <w:right w:val="nil"/>
                  </w:tcBorders>
                  <w:vAlign w:val="center"/>
                </w:tcPr>
                <w:p w14:paraId="40B224C4">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2023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3779FAD1">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Cu（以总铜计）</w:t>
                  </w:r>
                </w:p>
              </w:tc>
              <w:tc>
                <w:tcPr>
                  <w:tcW w:w="1184" w:type="dxa"/>
                  <w:vAlign w:val="center"/>
                </w:tcPr>
                <w:p w14:paraId="150F5967">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3ACE89B5">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100</w:t>
                  </w:r>
                </w:p>
              </w:tc>
              <w:tc>
                <w:tcPr>
                  <w:tcW w:w="1319" w:type="dxa"/>
                  <w:vAlign w:val="center"/>
                </w:tcPr>
                <w:p w14:paraId="2359FC9B">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56F8C6E6">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2.0</w:t>
                  </w:r>
                </w:p>
              </w:tc>
              <w:tc>
                <w:tcPr>
                  <w:tcW w:w="1319" w:type="dxa"/>
                  <w:tcBorders>
                    <w:right w:val="nil"/>
                  </w:tcBorders>
                  <w:vAlign w:val="center"/>
                </w:tcPr>
                <w:p w14:paraId="37AD6ED7">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3980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5BD8B155">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Cd（以总镉计）</w:t>
                  </w:r>
                </w:p>
              </w:tc>
              <w:tc>
                <w:tcPr>
                  <w:tcW w:w="1184" w:type="dxa"/>
                  <w:vAlign w:val="center"/>
                </w:tcPr>
                <w:p w14:paraId="7FE4CFF3">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254A9868">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w:t>
                  </w:r>
                </w:p>
              </w:tc>
              <w:tc>
                <w:tcPr>
                  <w:tcW w:w="1319" w:type="dxa"/>
                  <w:vAlign w:val="center"/>
                </w:tcPr>
                <w:p w14:paraId="4B9E2BD0">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7FE62F24">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0.1</w:t>
                  </w:r>
                </w:p>
              </w:tc>
              <w:tc>
                <w:tcPr>
                  <w:tcW w:w="1319" w:type="dxa"/>
                  <w:tcBorders>
                    <w:right w:val="nil"/>
                  </w:tcBorders>
                  <w:vAlign w:val="center"/>
                </w:tcPr>
                <w:p w14:paraId="3BA83B4D">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3745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13522194">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As（以总砷计）</w:t>
                  </w:r>
                </w:p>
              </w:tc>
              <w:tc>
                <w:tcPr>
                  <w:tcW w:w="1184" w:type="dxa"/>
                  <w:vAlign w:val="center"/>
                </w:tcPr>
                <w:p w14:paraId="450A120A">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0.0944</w:t>
                  </w:r>
                </w:p>
              </w:tc>
              <w:tc>
                <w:tcPr>
                  <w:tcW w:w="1319" w:type="dxa"/>
                  <w:vAlign w:val="center"/>
                </w:tcPr>
                <w:p w14:paraId="79B4B7F1">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1C2C9CE8">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2DCCC342">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0.5</w:t>
                  </w:r>
                </w:p>
              </w:tc>
              <w:tc>
                <w:tcPr>
                  <w:tcW w:w="1319" w:type="dxa"/>
                  <w:tcBorders>
                    <w:right w:val="nil"/>
                  </w:tcBorders>
                  <w:vAlign w:val="center"/>
                </w:tcPr>
                <w:p w14:paraId="5791B40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13AF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454" w:type="dxa"/>
                  <w:tcBorders>
                    <w:left w:val="nil"/>
                  </w:tcBorders>
                  <w:vAlign w:val="center"/>
                </w:tcPr>
                <w:p w14:paraId="29BABF0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镍（以总镍计）</w:t>
                  </w:r>
                </w:p>
              </w:tc>
              <w:tc>
                <w:tcPr>
                  <w:tcW w:w="1184" w:type="dxa"/>
                  <w:vAlign w:val="center"/>
                </w:tcPr>
                <w:p w14:paraId="292FFA97">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1C912A61">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46C2911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35F06EE4">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w:t>
                  </w:r>
                </w:p>
              </w:tc>
              <w:tc>
                <w:tcPr>
                  <w:tcW w:w="1319" w:type="dxa"/>
                  <w:tcBorders>
                    <w:right w:val="nil"/>
                  </w:tcBorders>
                  <w:vAlign w:val="center"/>
                </w:tcPr>
                <w:p w14:paraId="4BF3B90C">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6D64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5A13414E">
                  <w:pPr>
                    <w:pStyle w:val="20"/>
                    <w:keepNext w:val="0"/>
                    <w:keepLines w:val="0"/>
                    <w:widowControl/>
                    <w:suppressLineNumbers w:val="0"/>
                    <w:spacing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无机氟化物</w:t>
                  </w:r>
                </w:p>
              </w:tc>
              <w:tc>
                <w:tcPr>
                  <w:tcW w:w="1184" w:type="dxa"/>
                  <w:vAlign w:val="center"/>
                </w:tcPr>
                <w:p w14:paraId="485933A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1.02</w:t>
                  </w:r>
                </w:p>
              </w:tc>
              <w:tc>
                <w:tcPr>
                  <w:tcW w:w="1319" w:type="dxa"/>
                  <w:vAlign w:val="center"/>
                </w:tcPr>
                <w:p w14:paraId="62C4EE4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100</w:t>
                  </w:r>
                </w:p>
              </w:tc>
              <w:tc>
                <w:tcPr>
                  <w:tcW w:w="1319" w:type="dxa"/>
                  <w:vAlign w:val="center"/>
                </w:tcPr>
                <w:p w14:paraId="4B5CDCE1">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0DCAE96D">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20</w:t>
                  </w:r>
                </w:p>
              </w:tc>
              <w:tc>
                <w:tcPr>
                  <w:tcW w:w="1319" w:type="dxa"/>
                  <w:tcBorders>
                    <w:right w:val="nil"/>
                  </w:tcBorders>
                  <w:vAlign w:val="center"/>
                </w:tcPr>
                <w:p w14:paraId="0EE135F6">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6CFE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53E27C5D">
                  <w:pPr>
                    <w:pStyle w:val="20"/>
                    <w:keepNext w:val="0"/>
                    <w:keepLines w:val="0"/>
                    <w:widowControl/>
                    <w:suppressLineNumbers w:val="0"/>
                    <w:spacing w:line="240" w:lineRule="auto"/>
                    <w:ind w:left="0" w:leftChars="0" w:right="0" w:rightChars="0" w:firstLine="0" w:firstLineChars="0"/>
                    <w:jc w:val="center"/>
                    <w:textAlignment w:val="center"/>
                    <w:rPr>
                      <w:rFonts w:hint="eastAsia" w:eastAsia="宋体" w:cs="Times New Roman"/>
                      <w:color w:val="auto"/>
                      <w:sz w:val="18"/>
                      <w:szCs w:val="18"/>
                      <w:lang w:val="en-US" w:eastAsia="zh-CN"/>
                    </w:rPr>
                  </w:pPr>
                  <w:r>
                    <w:rPr>
                      <w:rFonts w:hint="eastAsia" w:ascii="宋体" w:hAnsi="宋体" w:eastAsia="宋体" w:cs="宋体"/>
                      <w:color w:val="000000"/>
                      <w:spacing w:val="0"/>
                      <w:position w:val="0"/>
                      <w:sz w:val="18"/>
                      <w:szCs w:val="18"/>
                    </w:rPr>
                    <w:t>汞（以总汞计</w:t>
                  </w:r>
                  <w:r>
                    <w:rPr>
                      <w:rFonts w:hint="eastAsia" w:ascii="宋体" w:hAnsi="宋体" w:eastAsia="宋体" w:cs="宋体"/>
                      <w:color w:val="000000"/>
                      <w:spacing w:val="0"/>
                      <w:position w:val="0"/>
                      <w:sz w:val="18"/>
                      <w:szCs w:val="18"/>
                      <w:lang w:eastAsia="zh-CN"/>
                    </w:rPr>
                    <w:t>）</w:t>
                  </w:r>
                </w:p>
              </w:tc>
              <w:tc>
                <w:tcPr>
                  <w:tcW w:w="1184" w:type="dxa"/>
                  <w:vAlign w:val="center"/>
                </w:tcPr>
                <w:p w14:paraId="03CB7AA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0.000058</w:t>
                  </w:r>
                </w:p>
              </w:tc>
              <w:tc>
                <w:tcPr>
                  <w:tcW w:w="1319" w:type="dxa"/>
                  <w:vAlign w:val="center"/>
                </w:tcPr>
                <w:p w14:paraId="114E2382">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0.1</w:t>
                  </w:r>
                </w:p>
              </w:tc>
              <w:tc>
                <w:tcPr>
                  <w:tcW w:w="1319" w:type="dxa"/>
                  <w:vAlign w:val="center"/>
                </w:tcPr>
                <w:p w14:paraId="1DB973AF">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608EF7A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0.05</w:t>
                  </w:r>
                </w:p>
              </w:tc>
              <w:tc>
                <w:tcPr>
                  <w:tcW w:w="1319" w:type="dxa"/>
                  <w:tcBorders>
                    <w:right w:val="nil"/>
                  </w:tcBorders>
                  <w:vAlign w:val="center"/>
                </w:tcPr>
                <w:p w14:paraId="213C6845">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7CCB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24ED1958">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总铬</w:t>
                  </w:r>
                </w:p>
              </w:tc>
              <w:tc>
                <w:tcPr>
                  <w:tcW w:w="1184" w:type="dxa"/>
                  <w:vAlign w:val="center"/>
                </w:tcPr>
                <w:p w14:paraId="02A735E1">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36154D19">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5FF2F22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30D3A445">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1.5</w:t>
                  </w:r>
                </w:p>
              </w:tc>
              <w:tc>
                <w:tcPr>
                  <w:tcW w:w="1319" w:type="dxa"/>
                  <w:tcBorders>
                    <w:right w:val="nil"/>
                  </w:tcBorders>
                  <w:vAlign w:val="center"/>
                </w:tcPr>
                <w:p w14:paraId="73E5C72B">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6E02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7223C80E">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000000"/>
                      <w:spacing w:val="0"/>
                      <w:position w:val="0"/>
                      <w:sz w:val="18"/>
                      <w:szCs w:val="18"/>
                      <w:lang w:val="en-US" w:eastAsia="zh-CN"/>
                    </w:rPr>
                  </w:pPr>
                  <w:r>
                    <w:rPr>
                      <w:rFonts w:hint="eastAsia" w:ascii="宋体" w:hAnsi="宋体" w:eastAsia="宋体" w:cs="宋体"/>
                      <w:color w:val="000000"/>
                      <w:spacing w:val="0"/>
                      <w:position w:val="0"/>
                      <w:sz w:val="18"/>
                      <w:szCs w:val="18"/>
                      <w:lang w:val="en-US" w:eastAsia="zh-CN"/>
                    </w:rPr>
                    <w:t>六价铬</w:t>
                  </w:r>
                </w:p>
              </w:tc>
              <w:tc>
                <w:tcPr>
                  <w:tcW w:w="1184" w:type="dxa"/>
                  <w:vAlign w:val="center"/>
                </w:tcPr>
                <w:p w14:paraId="2A1BB8EE">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31ECC2FD">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486CDE3B">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6343307D">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0.5</w:t>
                  </w:r>
                </w:p>
              </w:tc>
              <w:tc>
                <w:tcPr>
                  <w:tcW w:w="1319" w:type="dxa"/>
                  <w:tcBorders>
                    <w:right w:val="nil"/>
                  </w:tcBorders>
                  <w:vAlign w:val="center"/>
                </w:tcPr>
                <w:p w14:paraId="6B193BA8">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2E1E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40C33914">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000000"/>
                      <w:spacing w:val="0"/>
                      <w:position w:val="0"/>
                      <w:sz w:val="18"/>
                      <w:szCs w:val="18"/>
                      <w:lang w:val="en-US" w:eastAsia="zh-CN"/>
                    </w:rPr>
                  </w:pPr>
                  <w:r>
                    <w:rPr>
                      <w:rFonts w:hint="eastAsia" w:ascii="宋体" w:hAnsi="宋体" w:eastAsia="宋体" w:cs="宋体"/>
                      <w:color w:val="000000"/>
                      <w:spacing w:val="0"/>
                      <w:position w:val="0"/>
                      <w:sz w:val="18"/>
                      <w:szCs w:val="18"/>
                      <w:lang w:val="en-US" w:eastAsia="zh-CN"/>
                    </w:rPr>
                    <w:t>硒（以总硒计）</w:t>
                  </w:r>
                </w:p>
              </w:tc>
              <w:tc>
                <w:tcPr>
                  <w:tcW w:w="1184" w:type="dxa"/>
                  <w:vAlign w:val="center"/>
                </w:tcPr>
                <w:p w14:paraId="46CF1A7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0.0005</w:t>
                  </w:r>
                </w:p>
              </w:tc>
              <w:tc>
                <w:tcPr>
                  <w:tcW w:w="1319" w:type="dxa"/>
                  <w:vAlign w:val="center"/>
                </w:tcPr>
                <w:p w14:paraId="3E6E15EA">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w:t>
                  </w:r>
                </w:p>
              </w:tc>
              <w:tc>
                <w:tcPr>
                  <w:tcW w:w="1319" w:type="dxa"/>
                  <w:vAlign w:val="center"/>
                </w:tcPr>
                <w:p w14:paraId="33B74BC5">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74CC614F">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319" w:type="dxa"/>
                  <w:tcBorders>
                    <w:right w:val="nil"/>
                  </w:tcBorders>
                  <w:vAlign w:val="center"/>
                </w:tcPr>
                <w:p w14:paraId="47688C75">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739C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149E8C41">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000000"/>
                      <w:spacing w:val="0"/>
                      <w:position w:val="0"/>
                      <w:sz w:val="18"/>
                      <w:szCs w:val="18"/>
                      <w:lang w:val="en-US" w:eastAsia="zh-CN"/>
                    </w:rPr>
                  </w:pPr>
                  <w:r>
                    <w:rPr>
                      <w:rFonts w:hint="eastAsia" w:ascii="宋体" w:hAnsi="宋体" w:eastAsia="宋体" w:cs="宋体"/>
                      <w:color w:val="000000"/>
                      <w:spacing w:val="0"/>
                      <w:position w:val="0"/>
                      <w:sz w:val="18"/>
                      <w:szCs w:val="18"/>
                    </w:rPr>
                    <w:t>铍（以总铍计）</w:t>
                  </w:r>
                </w:p>
              </w:tc>
              <w:tc>
                <w:tcPr>
                  <w:tcW w:w="1184" w:type="dxa"/>
                  <w:vAlign w:val="center"/>
                </w:tcPr>
                <w:p w14:paraId="4189028A">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453E0C51">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0.02</w:t>
                  </w:r>
                </w:p>
              </w:tc>
              <w:tc>
                <w:tcPr>
                  <w:tcW w:w="1319" w:type="dxa"/>
                  <w:vAlign w:val="center"/>
                </w:tcPr>
                <w:p w14:paraId="49FE397F">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09148DAC">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0.005</w:t>
                  </w:r>
                </w:p>
              </w:tc>
              <w:tc>
                <w:tcPr>
                  <w:tcW w:w="1319" w:type="dxa"/>
                  <w:tcBorders>
                    <w:right w:val="nil"/>
                  </w:tcBorders>
                  <w:vAlign w:val="center"/>
                </w:tcPr>
                <w:p w14:paraId="3C6A27D7">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4A13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0476DDB6">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000000"/>
                      <w:spacing w:val="0"/>
                      <w:position w:val="0"/>
                      <w:sz w:val="18"/>
                      <w:szCs w:val="18"/>
                    </w:rPr>
                  </w:pPr>
                  <w:r>
                    <w:rPr>
                      <w:rFonts w:hint="eastAsia" w:ascii="宋体" w:hAnsi="宋体" w:eastAsia="宋体" w:cs="宋体"/>
                      <w:color w:val="000000"/>
                      <w:spacing w:val="0"/>
                      <w:position w:val="0"/>
                      <w:sz w:val="18"/>
                      <w:szCs w:val="18"/>
                    </w:rPr>
                    <w:t>钡（以总钡计</w:t>
                  </w:r>
                </w:p>
              </w:tc>
              <w:tc>
                <w:tcPr>
                  <w:tcW w:w="1184" w:type="dxa"/>
                  <w:vAlign w:val="center"/>
                </w:tcPr>
                <w:p w14:paraId="28E94DC8">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3A24A6C2">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100</w:t>
                  </w:r>
                </w:p>
              </w:tc>
              <w:tc>
                <w:tcPr>
                  <w:tcW w:w="1319" w:type="dxa"/>
                  <w:vAlign w:val="center"/>
                </w:tcPr>
                <w:p w14:paraId="34201A07">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2942ACCF">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319" w:type="dxa"/>
                  <w:tcBorders>
                    <w:right w:val="nil"/>
                  </w:tcBorders>
                  <w:vAlign w:val="center"/>
                </w:tcPr>
                <w:p w14:paraId="21486A77">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7685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559107CB">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000000"/>
                      <w:spacing w:val="0"/>
                      <w:position w:val="0"/>
                      <w:sz w:val="18"/>
                      <w:szCs w:val="18"/>
                    </w:rPr>
                  </w:pPr>
                  <w:r>
                    <w:rPr>
                      <w:rFonts w:hint="eastAsia" w:ascii="宋体" w:hAnsi="宋体" w:eastAsia="宋体" w:cs="宋体"/>
                      <w:color w:val="000000"/>
                      <w:spacing w:val="0"/>
                      <w:position w:val="0"/>
                      <w:sz w:val="18"/>
                      <w:szCs w:val="18"/>
                    </w:rPr>
                    <w:t>总银</w:t>
                  </w:r>
                </w:p>
              </w:tc>
              <w:tc>
                <w:tcPr>
                  <w:tcW w:w="1184" w:type="dxa"/>
                  <w:vAlign w:val="center"/>
                </w:tcPr>
                <w:p w14:paraId="3A96369C">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未检出</w:t>
                  </w:r>
                </w:p>
              </w:tc>
              <w:tc>
                <w:tcPr>
                  <w:tcW w:w="1319" w:type="dxa"/>
                  <w:vAlign w:val="center"/>
                </w:tcPr>
                <w:p w14:paraId="32922405">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4D68E1EC">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5D26C834">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0.5</w:t>
                  </w:r>
                </w:p>
              </w:tc>
              <w:tc>
                <w:tcPr>
                  <w:tcW w:w="1319" w:type="dxa"/>
                  <w:tcBorders>
                    <w:right w:val="nil"/>
                  </w:tcBorders>
                  <w:vAlign w:val="center"/>
                </w:tcPr>
                <w:p w14:paraId="29464773">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07BA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36EE6026">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000000"/>
                      <w:spacing w:val="0"/>
                      <w:position w:val="0"/>
                      <w:sz w:val="18"/>
                      <w:szCs w:val="18"/>
                      <w:lang w:val="en-US" w:eastAsia="zh-CN"/>
                    </w:rPr>
                  </w:pPr>
                  <w:r>
                    <w:rPr>
                      <w:rFonts w:hint="eastAsia" w:cs="宋体"/>
                      <w:color w:val="000000"/>
                      <w:spacing w:val="0"/>
                      <w:position w:val="0"/>
                      <w:sz w:val="18"/>
                      <w:szCs w:val="18"/>
                      <w:lang w:val="en-US" w:eastAsia="zh-CN"/>
                    </w:rPr>
                    <w:t>腐蚀性</w:t>
                  </w:r>
                </w:p>
              </w:tc>
              <w:tc>
                <w:tcPr>
                  <w:tcW w:w="1184" w:type="dxa"/>
                  <w:vAlign w:val="center"/>
                </w:tcPr>
                <w:p w14:paraId="4A23DA01">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8.58</w:t>
                  </w:r>
                </w:p>
              </w:tc>
              <w:tc>
                <w:tcPr>
                  <w:tcW w:w="1319" w:type="dxa"/>
                  <w:vAlign w:val="center"/>
                </w:tcPr>
                <w:p w14:paraId="77306DE7">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&gt;12.5或&lt;2.0</w:t>
                  </w:r>
                </w:p>
              </w:tc>
              <w:tc>
                <w:tcPr>
                  <w:tcW w:w="1319" w:type="dxa"/>
                  <w:vAlign w:val="center"/>
                </w:tcPr>
                <w:p w14:paraId="5CD3AE74">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c>
                <w:tcPr>
                  <w:tcW w:w="1319" w:type="dxa"/>
                  <w:vAlign w:val="center"/>
                </w:tcPr>
                <w:p w14:paraId="76D26659">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6-9</w:t>
                  </w:r>
                </w:p>
              </w:tc>
              <w:tc>
                <w:tcPr>
                  <w:tcW w:w="1319" w:type="dxa"/>
                  <w:tcBorders>
                    <w:right w:val="nil"/>
                  </w:tcBorders>
                  <w:vAlign w:val="center"/>
                </w:tcPr>
                <w:p w14:paraId="3799B241">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bl>
          <w:p w14:paraId="3C3C11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根据上表底吹炉熔炼渣浸出毒性鉴别结果：</w:t>
            </w:r>
          </w:p>
          <w:p w14:paraId="3311DA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default" w:cs="Times New Roman"/>
                <w:color w:val="auto"/>
                <w:sz w:val="24"/>
                <w:szCs w:val="24"/>
                <w:lang w:val="en-US" w:eastAsia="zh-CN"/>
              </w:rPr>
              <w:t>1</w:t>
            </w:r>
            <w:r>
              <w:rPr>
                <w:rFonts w:hint="eastAsia" w:cs="Times New Roman"/>
                <w:color w:val="auto"/>
                <w:sz w:val="24"/>
                <w:szCs w:val="24"/>
                <w:lang w:val="en-US" w:eastAsia="zh-CN"/>
              </w:rPr>
              <w:t>）按《危险废物鉴别标准</w:t>
            </w:r>
            <w:r>
              <w:rPr>
                <w:rFonts w:hint="default" w:cs="Times New Roman"/>
                <w:color w:val="auto"/>
                <w:sz w:val="24"/>
                <w:szCs w:val="24"/>
                <w:lang w:val="en-US" w:eastAsia="zh-CN"/>
              </w:rPr>
              <w:t>-</w:t>
            </w:r>
            <w:r>
              <w:rPr>
                <w:rFonts w:hint="eastAsia" w:cs="Times New Roman"/>
                <w:color w:val="auto"/>
                <w:sz w:val="24"/>
                <w:szCs w:val="24"/>
                <w:lang w:val="en-US" w:eastAsia="zh-CN"/>
              </w:rPr>
              <w:t>浸出毒性鉴别》（</w:t>
            </w:r>
            <w:r>
              <w:rPr>
                <w:rFonts w:hint="default" w:cs="Times New Roman"/>
                <w:color w:val="auto"/>
                <w:sz w:val="24"/>
                <w:szCs w:val="24"/>
                <w:lang w:val="en-US" w:eastAsia="zh-CN"/>
              </w:rPr>
              <w:t>GB5085.3—2007</w:t>
            </w:r>
            <w:r>
              <w:rPr>
                <w:rFonts w:hint="eastAsia" w:cs="Times New Roman"/>
                <w:color w:val="auto"/>
                <w:sz w:val="24"/>
                <w:szCs w:val="24"/>
                <w:lang w:val="en-US" w:eastAsia="zh-CN"/>
              </w:rPr>
              <w:t>）和《危险废物鉴别技术规范》（</w:t>
            </w:r>
            <w:r>
              <w:rPr>
                <w:rFonts w:hint="default" w:cs="Times New Roman"/>
                <w:color w:val="auto"/>
                <w:sz w:val="24"/>
                <w:szCs w:val="24"/>
                <w:lang w:val="en-US" w:eastAsia="zh-CN"/>
              </w:rPr>
              <w:t>HJ</w:t>
            </w:r>
            <w:r>
              <w:rPr>
                <w:rFonts w:hint="eastAsia" w:cs="Times New Roman"/>
                <w:color w:val="auto"/>
                <w:sz w:val="24"/>
                <w:szCs w:val="24"/>
                <w:lang w:val="en-US" w:eastAsia="zh-CN"/>
              </w:rPr>
              <w:t xml:space="preserve"> </w:t>
            </w:r>
            <w:r>
              <w:rPr>
                <w:rFonts w:hint="default" w:cs="Times New Roman"/>
                <w:color w:val="auto"/>
                <w:sz w:val="24"/>
                <w:szCs w:val="24"/>
                <w:lang w:val="en-US" w:eastAsia="zh-CN"/>
              </w:rPr>
              <w:t>298-20</w:t>
            </w:r>
            <w:r>
              <w:rPr>
                <w:rFonts w:hint="eastAsia" w:cs="Times New Roman"/>
                <w:color w:val="auto"/>
                <w:sz w:val="24"/>
                <w:szCs w:val="24"/>
                <w:lang w:val="en-US" w:eastAsia="zh-CN"/>
              </w:rPr>
              <w:t>19）标准考核：底吹炉熔炼渣不属于危险废弃物。</w:t>
            </w:r>
          </w:p>
          <w:p w14:paraId="58EC10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default" w:cs="Times New Roman"/>
                <w:color w:val="auto"/>
                <w:sz w:val="24"/>
                <w:szCs w:val="24"/>
                <w:lang w:val="en-US" w:eastAsia="zh-CN"/>
              </w:rPr>
              <w:t>2</w:t>
            </w:r>
            <w:r>
              <w:rPr>
                <w:rFonts w:hint="eastAsia" w:cs="Times New Roman"/>
                <w:color w:val="auto"/>
                <w:sz w:val="24"/>
                <w:szCs w:val="24"/>
                <w:lang w:val="en-US" w:eastAsia="zh-CN"/>
              </w:rPr>
              <w:t>）按《一般工业固体废物贮存和填埋污染控制标准》</w:t>
            </w:r>
            <w:r>
              <w:rPr>
                <w:rFonts w:hint="default" w:cs="Times New Roman"/>
                <w:color w:val="auto"/>
                <w:sz w:val="24"/>
                <w:szCs w:val="24"/>
                <w:lang w:val="en-US" w:eastAsia="zh-CN"/>
              </w:rPr>
              <w:t>(GB18599-</w:t>
            </w:r>
            <w:r>
              <w:rPr>
                <w:rFonts w:hint="eastAsia" w:cs="Times New Roman"/>
                <w:color w:val="auto"/>
                <w:sz w:val="24"/>
                <w:szCs w:val="24"/>
                <w:lang w:val="en-US" w:eastAsia="zh-CN"/>
              </w:rPr>
              <w:t>2020</w:t>
            </w:r>
            <w:r>
              <w:rPr>
                <w:rFonts w:hint="default" w:cs="Times New Roman"/>
                <w:color w:val="auto"/>
                <w:sz w:val="24"/>
                <w:szCs w:val="24"/>
                <w:lang w:val="en-US" w:eastAsia="zh-CN"/>
              </w:rPr>
              <w:t>)</w:t>
            </w:r>
            <w:r>
              <w:rPr>
                <w:rFonts w:hint="eastAsia" w:cs="Times New Roman"/>
                <w:color w:val="auto"/>
                <w:sz w:val="24"/>
                <w:szCs w:val="24"/>
                <w:lang w:val="en-US" w:eastAsia="zh-CN"/>
              </w:rPr>
              <w:t>和《污水综合排放标准》（</w:t>
            </w:r>
            <w:r>
              <w:rPr>
                <w:rFonts w:hint="default" w:cs="Times New Roman"/>
                <w:color w:val="auto"/>
                <w:sz w:val="24"/>
                <w:szCs w:val="24"/>
                <w:lang w:val="en-US" w:eastAsia="zh-CN"/>
              </w:rPr>
              <w:t>GB8978-1996</w:t>
            </w:r>
            <w:r>
              <w:rPr>
                <w:rFonts w:hint="eastAsia" w:cs="Times New Roman"/>
                <w:color w:val="auto"/>
                <w:sz w:val="24"/>
                <w:szCs w:val="24"/>
                <w:lang w:val="en-US" w:eastAsia="zh-CN"/>
              </w:rPr>
              <w:t>）标准考核：底吹炉熔炼渣属于第Ⅰ类一般工业固体废物。</w:t>
            </w:r>
          </w:p>
          <w:p w14:paraId="532AD5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（5）铜炉渣及元素物相分析</w:t>
            </w:r>
          </w:p>
          <w:p w14:paraId="2F4229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底吹炉熔炼渣主要元素分析详见下表。</w:t>
            </w:r>
          </w:p>
          <w:p w14:paraId="758F325E">
            <w:pPr>
              <w:pStyle w:val="38"/>
              <w:spacing w:line="360" w:lineRule="auto"/>
              <w:rPr>
                <w:rFonts w:hint="default" w:ascii="黑体" w:hAnsi="黑体" w:cs="黑体"/>
                <w:b w:val="0"/>
                <w:bCs/>
                <w:color w:val="auto"/>
                <w:lang w:val="en-US" w:eastAsia="zh-CN"/>
              </w:rPr>
            </w:pPr>
            <w:r>
              <w:rPr>
                <w:rFonts w:hint="eastAsia" w:ascii="黑体" w:hAnsi="黑体" w:eastAsia="黑体" w:cs="黑体"/>
                <w:b w:val="0"/>
                <w:bCs/>
                <w:color w:val="auto"/>
              </w:rPr>
              <w:t>表2-</w:t>
            </w:r>
            <w:r>
              <w:rPr>
                <w:rFonts w:hint="eastAsia" w:ascii="黑体" w:hAnsi="黑体" w:cs="黑体"/>
                <w:b w:val="0"/>
                <w:bCs/>
                <w:color w:val="auto"/>
                <w:lang w:val="en-US" w:eastAsia="zh-CN"/>
              </w:rPr>
              <w:t>7</w:t>
            </w:r>
            <w:r>
              <w:rPr>
                <w:rFonts w:hint="eastAsia" w:ascii="黑体" w:hAnsi="黑体" w:eastAsia="黑体" w:cs="黑体"/>
                <w:b w:val="0"/>
                <w:bCs/>
                <w:color w:val="auto"/>
              </w:rPr>
              <w:t xml:space="preserve"> </w:t>
            </w:r>
            <w:r>
              <w:rPr>
                <w:rFonts w:hint="eastAsia" w:ascii="黑体" w:hAnsi="黑体" w:cs="黑体"/>
                <w:b w:val="0"/>
                <w:bCs/>
                <w:color w:val="auto"/>
                <w:lang w:val="en-US" w:eastAsia="zh-CN"/>
              </w:rPr>
              <w:t>底吹炉熔炼渣主要元素</w:t>
            </w:r>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871"/>
              <w:gridCol w:w="871"/>
              <w:gridCol w:w="871"/>
              <w:gridCol w:w="871"/>
              <w:gridCol w:w="871"/>
              <w:gridCol w:w="871"/>
              <w:gridCol w:w="871"/>
              <w:gridCol w:w="871"/>
            </w:tblGrid>
            <w:tr w14:paraId="6913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left w:val="nil"/>
                  </w:tcBorders>
                  <w:vAlign w:val="center"/>
                </w:tcPr>
                <w:p w14:paraId="50874F3F">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项目</w:t>
                  </w:r>
                </w:p>
              </w:tc>
              <w:tc>
                <w:tcPr>
                  <w:tcW w:w="871" w:type="dxa"/>
                  <w:vAlign w:val="center"/>
                </w:tcPr>
                <w:p w14:paraId="2AD9F777">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Cu</w:t>
                  </w:r>
                </w:p>
              </w:tc>
              <w:tc>
                <w:tcPr>
                  <w:tcW w:w="871" w:type="dxa"/>
                  <w:vAlign w:val="center"/>
                </w:tcPr>
                <w:p w14:paraId="72DAB020">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Fe</w:t>
                  </w:r>
                </w:p>
              </w:tc>
              <w:tc>
                <w:tcPr>
                  <w:tcW w:w="871" w:type="dxa"/>
                  <w:vAlign w:val="center"/>
                </w:tcPr>
                <w:p w14:paraId="1CEBF64D">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S</w:t>
                  </w:r>
                </w:p>
              </w:tc>
              <w:tc>
                <w:tcPr>
                  <w:tcW w:w="871" w:type="dxa"/>
                  <w:vAlign w:val="center"/>
                </w:tcPr>
                <w:p w14:paraId="13F90297">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Pb</w:t>
                  </w:r>
                </w:p>
              </w:tc>
              <w:tc>
                <w:tcPr>
                  <w:tcW w:w="871" w:type="dxa"/>
                  <w:vAlign w:val="center"/>
                </w:tcPr>
                <w:p w14:paraId="3B0FE112">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Zn</w:t>
                  </w:r>
                </w:p>
              </w:tc>
              <w:tc>
                <w:tcPr>
                  <w:tcW w:w="871" w:type="dxa"/>
                  <w:tcBorders>
                    <w:right w:val="nil"/>
                  </w:tcBorders>
                  <w:vAlign w:val="center"/>
                </w:tcPr>
                <w:p w14:paraId="5AC4AC73">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Cd</w:t>
                  </w:r>
                </w:p>
              </w:tc>
              <w:tc>
                <w:tcPr>
                  <w:tcW w:w="871" w:type="dxa"/>
                  <w:tcBorders>
                    <w:right w:val="nil"/>
                  </w:tcBorders>
                  <w:vAlign w:val="center"/>
                </w:tcPr>
                <w:p w14:paraId="0FDF288B">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Bi</w:t>
                  </w:r>
                </w:p>
              </w:tc>
              <w:tc>
                <w:tcPr>
                  <w:tcW w:w="871" w:type="dxa"/>
                  <w:tcBorders>
                    <w:right w:val="nil"/>
                  </w:tcBorders>
                  <w:vAlign w:val="center"/>
                </w:tcPr>
                <w:p w14:paraId="0C9995D0">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Sn</w:t>
                  </w:r>
                </w:p>
              </w:tc>
            </w:tr>
            <w:tr w14:paraId="695D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left w:val="nil"/>
                  </w:tcBorders>
                  <w:vAlign w:val="center"/>
                </w:tcPr>
                <w:p w14:paraId="25A151C5">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含量%</w:t>
                  </w:r>
                </w:p>
              </w:tc>
              <w:tc>
                <w:tcPr>
                  <w:tcW w:w="871" w:type="dxa"/>
                  <w:vAlign w:val="center"/>
                </w:tcPr>
                <w:p w14:paraId="7BB02F83">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3.16</w:t>
                  </w:r>
                </w:p>
              </w:tc>
              <w:tc>
                <w:tcPr>
                  <w:tcW w:w="871" w:type="dxa"/>
                  <w:vAlign w:val="center"/>
                </w:tcPr>
                <w:p w14:paraId="74BF238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40.5</w:t>
                  </w:r>
                </w:p>
              </w:tc>
              <w:tc>
                <w:tcPr>
                  <w:tcW w:w="871" w:type="dxa"/>
                  <w:vAlign w:val="center"/>
                </w:tcPr>
                <w:p w14:paraId="0C75029B">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0.62</w:t>
                  </w:r>
                </w:p>
              </w:tc>
              <w:tc>
                <w:tcPr>
                  <w:tcW w:w="871" w:type="dxa"/>
                  <w:vAlign w:val="center"/>
                </w:tcPr>
                <w:p w14:paraId="3802B468">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0.35</w:t>
                  </w:r>
                </w:p>
              </w:tc>
              <w:tc>
                <w:tcPr>
                  <w:tcW w:w="871" w:type="dxa"/>
                  <w:vAlign w:val="center"/>
                </w:tcPr>
                <w:p w14:paraId="1BD6BAFF">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1.75</w:t>
                  </w:r>
                </w:p>
              </w:tc>
              <w:tc>
                <w:tcPr>
                  <w:tcW w:w="871" w:type="dxa"/>
                  <w:tcBorders>
                    <w:right w:val="nil"/>
                  </w:tcBorders>
                  <w:vAlign w:val="center"/>
                </w:tcPr>
                <w:p w14:paraId="6474751E">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0.05</w:t>
                  </w:r>
                </w:p>
              </w:tc>
              <w:tc>
                <w:tcPr>
                  <w:tcW w:w="871" w:type="dxa"/>
                  <w:tcBorders>
                    <w:right w:val="nil"/>
                  </w:tcBorders>
                  <w:vAlign w:val="center"/>
                </w:tcPr>
                <w:p w14:paraId="463B0C9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0.01</w:t>
                  </w:r>
                </w:p>
              </w:tc>
              <w:tc>
                <w:tcPr>
                  <w:tcW w:w="871" w:type="dxa"/>
                  <w:tcBorders>
                    <w:right w:val="nil"/>
                  </w:tcBorders>
                  <w:vAlign w:val="center"/>
                </w:tcPr>
                <w:p w14:paraId="15DE2D77">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0.03</w:t>
                  </w:r>
                </w:p>
              </w:tc>
            </w:tr>
            <w:tr w14:paraId="2543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left w:val="nil"/>
                  </w:tcBorders>
                  <w:vAlign w:val="center"/>
                </w:tcPr>
                <w:p w14:paraId="1E0F04C8">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项目</w:t>
                  </w:r>
                </w:p>
              </w:tc>
              <w:tc>
                <w:tcPr>
                  <w:tcW w:w="871" w:type="dxa"/>
                  <w:vAlign w:val="center"/>
                </w:tcPr>
                <w:p w14:paraId="6E15F5A0">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As</w:t>
                  </w:r>
                </w:p>
              </w:tc>
              <w:tc>
                <w:tcPr>
                  <w:tcW w:w="871" w:type="dxa"/>
                  <w:vAlign w:val="center"/>
                </w:tcPr>
                <w:p w14:paraId="78BD0866">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SiO</w:t>
                  </w:r>
                  <w:r>
                    <w:rPr>
                      <w:rFonts w:hint="eastAsia" w:cs="Times New Roman"/>
                      <w:color w:val="auto"/>
                      <w:sz w:val="18"/>
                      <w:szCs w:val="18"/>
                      <w:vertAlign w:val="subscript"/>
                      <w:lang w:val="en-US" w:eastAsia="zh-CN"/>
                    </w:rPr>
                    <w:t>2</w:t>
                  </w:r>
                </w:p>
              </w:tc>
              <w:tc>
                <w:tcPr>
                  <w:tcW w:w="871" w:type="dxa"/>
                  <w:vAlign w:val="center"/>
                </w:tcPr>
                <w:p w14:paraId="3D2BBD2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CaO</w:t>
                  </w:r>
                </w:p>
              </w:tc>
              <w:tc>
                <w:tcPr>
                  <w:tcW w:w="871" w:type="dxa"/>
                  <w:vAlign w:val="center"/>
                </w:tcPr>
                <w:p w14:paraId="4D01A56E">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MgO</w:t>
                  </w:r>
                </w:p>
              </w:tc>
              <w:tc>
                <w:tcPr>
                  <w:tcW w:w="871" w:type="dxa"/>
                  <w:vAlign w:val="center"/>
                </w:tcPr>
                <w:p w14:paraId="20A36475">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Sb</w:t>
                  </w:r>
                </w:p>
              </w:tc>
              <w:tc>
                <w:tcPr>
                  <w:tcW w:w="871" w:type="dxa"/>
                  <w:tcBorders>
                    <w:right w:val="nil"/>
                  </w:tcBorders>
                  <w:vAlign w:val="center"/>
                </w:tcPr>
                <w:p w14:paraId="76639079">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Al</w:t>
                  </w:r>
                  <w:r>
                    <w:rPr>
                      <w:rFonts w:hint="eastAsia" w:cs="Times New Roman"/>
                      <w:color w:val="auto"/>
                      <w:sz w:val="18"/>
                      <w:szCs w:val="18"/>
                      <w:vertAlign w:val="subscript"/>
                      <w:lang w:val="en-US" w:eastAsia="zh-CN"/>
                    </w:rPr>
                    <w:t>2</w:t>
                  </w:r>
                  <w:r>
                    <w:rPr>
                      <w:rFonts w:hint="eastAsia" w:cs="Times New Roman"/>
                      <w:color w:val="auto"/>
                      <w:sz w:val="18"/>
                      <w:szCs w:val="18"/>
                      <w:lang w:val="en-US" w:eastAsia="zh-CN"/>
                    </w:rPr>
                    <w:t>O</w:t>
                  </w:r>
                  <w:r>
                    <w:rPr>
                      <w:rFonts w:hint="eastAsia" w:cs="Times New Roman"/>
                      <w:color w:val="auto"/>
                      <w:sz w:val="18"/>
                      <w:szCs w:val="18"/>
                      <w:vertAlign w:val="subscript"/>
                      <w:lang w:val="en-US" w:eastAsia="zh-CN"/>
                    </w:rPr>
                    <w:t>3</w:t>
                  </w:r>
                </w:p>
              </w:tc>
              <w:tc>
                <w:tcPr>
                  <w:tcW w:w="871" w:type="dxa"/>
                  <w:tcBorders>
                    <w:right w:val="nil"/>
                  </w:tcBorders>
                  <w:vAlign w:val="center"/>
                </w:tcPr>
                <w:p w14:paraId="3B929EA5">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Ni</w:t>
                  </w:r>
                </w:p>
              </w:tc>
              <w:tc>
                <w:tcPr>
                  <w:tcW w:w="871" w:type="dxa"/>
                  <w:tcBorders>
                    <w:right w:val="nil"/>
                  </w:tcBorders>
                  <w:vAlign w:val="center"/>
                </w:tcPr>
                <w:p w14:paraId="3F70C38A">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p>
              </w:tc>
            </w:tr>
            <w:tr w14:paraId="78F7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870" w:type="dxa"/>
                  <w:tcBorders>
                    <w:left w:val="nil"/>
                  </w:tcBorders>
                  <w:vAlign w:val="center"/>
                </w:tcPr>
                <w:p w14:paraId="1F20C612">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含量%</w:t>
                  </w:r>
                </w:p>
              </w:tc>
              <w:tc>
                <w:tcPr>
                  <w:tcW w:w="871" w:type="dxa"/>
                  <w:vAlign w:val="center"/>
                </w:tcPr>
                <w:p w14:paraId="436C7D9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0.08</w:t>
                  </w:r>
                </w:p>
              </w:tc>
              <w:tc>
                <w:tcPr>
                  <w:tcW w:w="871" w:type="dxa"/>
                  <w:vAlign w:val="center"/>
                </w:tcPr>
                <w:p w14:paraId="66ADC752">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22.82</w:t>
                  </w:r>
                </w:p>
              </w:tc>
              <w:tc>
                <w:tcPr>
                  <w:tcW w:w="871" w:type="dxa"/>
                  <w:vAlign w:val="center"/>
                </w:tcPr>
                <w:p w14:paraId="33D39533">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3.46</w:t>
                  </w:r>
                </w:p>
              </w:tc>
              <w:tc>
                <w:tcPr>
                  <w:tcW w:w="871" w:type="dxa"/>
                  <w:vAlign w:val="center"/>
                </w:tcPr>
                <w:p w14:paraId="74F3D215">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2.01</w:t>
                  </w:r>
                </w:p>
              </w:tc>
              <w:tc>
                <w:tcPr>
                  <w:tcW w:w="871" w:type="dxa"/>
                  <w:vAlign w:val="center"/>
                </w:tcPr>
                <w:p w14:paraId="7F9E1D83">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0.01</w:t>
                  </w:r>
                </w:p>
              </w:tc>
              <w:tc>
                <w:tcPr>
                  <w:tcW w:w="871" w:type="dxa"/>
                  <w:tcBorders>
                    <w:right w:val="nil"/>
                  </w:tcBorders>
                  <w:vAlign w:val="center"/>
                </w:tcPr>
                <w:p w14:paraId="4292D28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3.67</w:t>
                  </w:r>
                </w:p>
              </w:tc>
              <w:tc>
                <w:tcPr>
                  <w:tcW w:w="871" w:type="dxa"/>
                  <w:tcBorders>
                    <w:right w:val="nil"/>
                  </w:tcBorders>
                  <w:vAlign w:val="center"/>
                </w:tcPr>
                <w:p w14:paraId="581A7604">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0.04</w:t>
                  </w:r>
                </w:p>
              </w:tc>
              <w:tc>
                <w:tcPr>
                  <w:tcW w:w="871" w:type="dxa"/>
                  <w:tcBorders>
                    <w:right w:val="nil"/>
                  </w:tcBorders>
                  <w:vAlign w:val="center"/>
                </w:tcPr>
                <w:p w14:paraId="771D9988">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p>
              </w:tc>
            </w:tr>
          </w:tbl>
          <w:p w14:paraId="5BDFC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底吹炉熔炼渣中铜和铁的物相组成，结果见表2-8和表2-9。</w:t>
            </w:r>
          </w:p>
          <w:p w14:paraId="7D6D7CD3">
            <w:pPr>
              <w:pStyle w:val="38"/>
              <w:spacing w:line="360" w:lineRule="auto"/>
              <w:rPr>
                <w:rFonts w:hint="eastAsia" w:ascii="黑体" w:hAnsi="黑体" w:eastAsia="黑体" w:cs="黑体"/>
                <w:b w:val="0"/>
                <w:bCs/>
                <w:color w:val="auto"/>
              </w:rPr>
            </w:pPr>
            <w:r>
              <w:rPr>
                <w:rFonts w:hint="eastAsia" w:ascii="黑体" w:hAnsi="黑体" w:eastAsia="黑体" w:cs="黑体"/>
                <w:b w:val="0"/>
                <w:bCs/>
                <w:color w:val="auto"/>
              </w:rPr>
              <w:t>表</w:t>
            </w:r>
            <w:r>
              <w:rPr>
                <w:rFonts w:hint="eastAsia" w:ascii="黑体" w:hAnsi="黑体" w:cs="黑体"/>
                <w:b w:val="0"/>
                <w:bCs/>
                <w:color w:val="auto"/>
                <w:lang w:val="en-US" w:eastAsia="zh-CN"/>
              </w:rPr>
              <w:t>2</w:t>
            </w:r>
            <w:r>
              <w:rPr>
                <w:rFonts w:hint="eastAsia" w:ascii="黑体" w:hAnsi="黑体" w:eastAsia="黑体" w:cs="黑体"/>
                <w:b w:val="0"/>
                <w:bCs/>
                <w:color w:val="auto"/>
              </w:rPr>
              <w:t>-</w:t>
            </w:r>
            <w:r>
              <w:rPr>
                <w:rFonts w:hint="eastAsia" w:ascii="黑体" w:hAnsi="黑体" w:cs="黑体"/>
                <w:b w:val="0"/>
                <w:bCs/>
                <w:color w:val="auto"/>
                <w:lang w:val="en-US" w:eastAsia="zh-CN"/>
              </w:rPr>
              <w:t>8</w:t>
            </w:r>
            <w:r>
              <w:rPr>
                <w:rFonts w:hint="eastAsia" w:ascii="黑体" w:hAnsi="黑体" w:eastAsia="黑体" w:cs="黑体"/>
                <w:b w:val="0"/>
                <w:bCs/>
                <w:color w:val="auto"/>
              </w:rPr>
              <w:t xml:space="preserve">   </w:t>
            </w:r>
            <w:r>
              <w:rPr>
                <w:rFonts w:hint="eastAsia" w:ascii="黑体" w:hAnsi="黑体" w:cs="黑体"/>
                <w:b w:val="0"/>
                <w:bCs/>
                <w:color w:val="auto"/>
                <w:lang w:val="en-US" w:eastAsia="zh-CN"/>
              </w:rPr>
              <w:t>底吹炉熔炼渣</w:t>
            </w:r>
            <w:r>
              <w:rPr>
                <w:rFonts w:hint="eastAsia" w:ascii="黑体" w:hAnsi="黑体" w:eastAsia="黑体" w:cs="黑体"/>
                <w:b w:val="0"/>
                <w:bCs/>
                <w:color w:val="auto"/>
              </w:rPr>
              <w:t>中的铜物相分析结果</w:t>
            </w:r>
          </w:p>
          <w:tbl>
            <w:tblPr>
              <w:tblStyle w:val="21"/>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301"/>
              <w:gridCol w:w="1301"/>
              <w:gridCol w:w="1301"/>
              <w:gridCol w:w="1301"/>
              <w:gridCol w:w="981"/>
            </w:tblGrid>
            <w:tr w14:paraId="16FB0C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pct"/>
                  <w:tcBorders>
                    <w:tl2br w:val="nil"/>
                    <w:tr2bl w:val="nil"/>
                  </w:tcBorders>
                  <w:vAlign w:val="center"/>
                </w:tcPr>
                <w:p w14:paraId="1E3A2542">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项目</w:t>
                  </w:r>
                </w:p>
              </w:tc>
              <w:tc>
                <w:tcPr>
                  <w:tcW w:w="828" w:type="pct"/>
                  <w:tcBorders>
                    <w:tl2br w:val="nil"/>
                    <w:tr2bl w:val="nil"/>
                  </w:tcBorders>
                  <w:vAlign w:val="center"/>
                </w:tcPr>
                <w:p w14:paraId="423F232A">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胆矾</w:t>
                  </w:r>
                </w:p>
              </w:tc>
              <w:tc>
                <w:tcPr>
                  <w:tcW w:w="828" w:type="pct"/>
                  <w:tcBorders>
                    <w:tl2br w:val="nil"/>
                    <w:tr2bl w:val="nil"/>
                  </w:tcBorders>
                  <w:vAlign w:val="center"/>
                </w:tcPr>
                <w:p w14:paraId="3C14F08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游离</w:t>
                  </w:r>
                </w:p>
                <w:p w14:paraId="04222543">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氧化铜</w:t>
                  </w:r>
                </w:p>
              </w:tc>
              <w:tc>
                <w:tcPr>
                  <w:tcW w:w="828" w:type="pct"/>
                  <w:tcBorders>
                    <w:tl2br w:val="nil"/>
                    <w:tr2bl w:val="nil"/>
                  </w:tcBorders>
                  <w:vAlign w:val="center"/>
                </w:tcPr>
                <w:p w14:paraId="6AAD726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结合</w:t>
                  </w:r>
                </w:p>
                <w:p w14:paraId="1EB6037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氧化铜</w:t>
                  </w:r>
                </w:p>
              </w:tc>
              <w:tc>
                <w:tcPr>
                  <w:tcW w:w="828" w:type="pct"/>
                  <w:tcBorders>
                    <w:tl2br w:val="nil"/>
                    <w:tr2bl w:val="nil"/>
                  </w:tcBorders>
                  <w:vAlign w:val="center"/>
                </w:tcPr>
                <w:p w14:paraId="5F7B02A0">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硫化铜</w:t>
                  </w:r>
                </w:p>
                <w:p w14:paraId="4961775E">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及其他</w:t>
                  </w:r>
                </w:p>
              </w:tc>
              <w:tc>
                <w:tcPr>
                  <w:tcW w:w="624" w:type="pct"/>
                  <w:tcBorders>
                    <w:tl2br w:val="nil"/>
                    <w:tr2bl w:val="nil"/>
                  </w:tcBorders>
                  <w:vAlign w:val="center"/>
                </w:tcPr>
                <w:p w14:paraId="00D678D7">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总铜</w:t>
                  </w:r>
                </w:p>
              </w:tc>
            </w:tr>
            <w:tr w14:paraId="4A7595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pct"/>
                  <w:tcBorders>
                    <w:tl2br w:val="nil"/>
                    <w:tr2bl w:val="nil"/>
                  </w:tcBorders>
                  <w:vAlign w:val="center"/>
                </w:tcPr>
                <w:p w14:paraId="33CD76AE">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含量/%</w:t>
                  </w:r>
                </w:p>
              </w:tc>
              <w:tc>
                <w:tcPr>
                  <w:tcW w:w="828" w:type="pct"/>
                  <w:tcBorders>
                    <w:tl2br w:val="nil"/>
                    <w:tr2bl w:val="nil"/>
                  </w:tcBorders>
                  <w:vAlign w:val="center"/>
                </w:tcPr>
                <w:p w14:paraId="392B9E9F">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&lt;0.01</w:t>
                  </w:r>
                </w:p>
              </w:tc>
              <w:tc>
                <w:tcPr>
                  <w:tcW w:w="828" w:type="pct"/>
                  <w:tcBorders>
                    <w:tl2br w:val="nil"/>
                    <w:tr2bl w:val="nil"/>
                  </w:tcBorders>
                  <w:vAlign w:val="center"/>
                </w:tcPr>
                <w:p w14:paraId="544BFD56">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0.04</w:t>
                  </w:r>
                </w:p>
              </w:tc>
              <w:tc>
                <w:tcPr>
                  <w:tcW w:w="828" w:type="pct"/>
                  <w:tcBorders>
                    <w:tl2br w:val="nil"/>
                    <w:tr2bl w:val="nil"/>
                  </w:tcBorders>
                  <w:vAlign w:val="center"/>
                </w:tcPr>
                <w:p w14:paraId="132B7353">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0.06</w:t>
                  </w:r>
                </w:p>
              </w:tc>
              <w:tc>
                <w:tcPr>
                  <w:tcW w:w="828" w:type="pct"/>
                  <w:tcBorders>
                    <w:tl2br w:val="nil"/>
                    <w:tr2bl w:val="nil"/>
                  </w:tcBorders>
                  <w:vAlign w:val="center"/>
                </w:tcPr>
                <w:p w14:paraId="5B0BCAD0">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3.06</w:t>
                  </w:r>
                </w:p>
              </w:tc>
              <w:tc>
                <w:tcPr>
                  <w:tcW w:w="624" w:type="pct"/>
                  <w:tcBorders>
                    <w:tl2br w:val="nil"/>
                    <w:tr2bl w:val="nil"/>
                  </w:tcBorders>
                  <w:vAlign w:val="center"/>
                </w:tcPr>
                <w:p w14:paraId="63C44B33">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3.16</w:t>
                  </w:r>
                </w:p>
              </w:tc>
            </w:tr>
            <w:tr w14:paraId="67AD3E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9" w:type="pct"/>
                  <w:tcBorders>
                    <w:tl2br w:val="nil"/>
                    <w:tr2bl w:val="nil"/>
                  </w:tcBorders>
                  <w:vAlign w:val="center"/>
                </w:tcPr>
                <w:p w14:paraId="793CCBFE">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分布率/%</w:t>
                  </w:r>
                </w:p>
              </w:tc>
              <w:tc>
                <w:tcPr>
                  <w:tcW w:w="828" w:type="pct"/>
                  <w:tcBorders>
                    <w:tl2br w:val="nil"/>
                    <w:tr2bl w:val="nil"/>
                  </w:tcBorders>
                  <w:vAlign w:val="center"/>
                </w:tcPr>
                <w:p w14:paraId="0BE340DA">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c>
                <w:tcPr>
                  <w:tcW w:w="828" w:type="pct"/>
                  <w:tcBorders>
                    <w:tl2br w:val="nil"/>
                    <w:tr2bl w:val="nil"/>
                  </w:tcBorders>
                  <w:vAlign w:val="center"/>
                </w:tcPr>
                <w:p w14:paraId="47691CAA">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1.27</w:t>
                  </w:r>
                </w:p>
              </w:tc>
              <w:tc>
                <w:tcPr>
                  <w:tcW w:w="828" w:type="pct"/>
                  <w:tcBorders>
                    <w:tl2br w:val="nil"/>
                    <w:tr2bl w:val="nil"/>
                  </w:tcBorders>
                  <w:vAlign w:val="center"/>
                </w:tcPr>
                <w:p w14:paraId="4E4130F7">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1.90</w:t>
                  </w:r>
                </w:p>
              </w:tc>
              <w:tc>
                <w:tcPr>
                  <w:tcW w:w="828" w:type="pct"/>
                  <w:tcBorders>
                    <w:tl2br w:val="nil"/>
                    <w:tr2bl w:val="nil"/>
                  </w:tcBorders>
                  <w:vAlign w:val="center"/>
                </w:tcPr>
                <w:p w14:paraId="0AF1893D">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96.83</w:t>
                  </w:r>
                </w:p>
              </w:tc>
              <w:tc>
                <w:tcPr>
                  <w:tcW w:w="624" w:type="pct"/>
                  <w:tcBorders>
                    <w:tl2br w:val="nil"/>
                    <w:tr2bl w:val="nil"/>
                  </w:tcBorders>
                  <w:vAlign w:val="center"/>
                </w:tcPr>
                <w:p w14:paraId="269CBD2A">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100.00</w:t>
                  </w:r>
                </w:p>
              </w:tc>
            </w:tr>
          </w:tbl>
          <w:p w14:paraId="2EAC08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由表2-8可知，底吹炉熔炼渣中铜炉渣的铜主要以硫化铜的形式存在。</w:t>
            </w:r>
          </w:p>
          <w:p w14:paraId="7F02303E">
            <w:pPr>
              <w:pStyle w:val="38"/>
              <w:spacing w:line="360" w:lineRule="auto"/>
              <w:rPr>
                <w:rFonts w:hint="eastAsia" w:ascii="黑体" w:hAnsi="黑体" w:eastAsia="黑体" w:cs="黑体"/>
                <w:b w:val="0"/>
                <w:bCs/>
                <w:color w:val="auto"/>
              </w:rPr>
            </w:pPr>
            <w:r>
              <w:rPr>
                <w:rFonts w:hint="eastAsia" w:ascii="黑体" w:hAnsi="黑体" w:eastAsia="黑体" w:cs="黑体"/>
                <w:b w:val="0"/>
                <w:bCs/>
                <w:color w:val="auto"/>
              </w:rPr>
              <w:t>表</w:t>
            </w:r>
            <w:r>
              <w:rPr>
                <w:rFonts w:hint="eastAsia" w:ascii="黑体" w:hAnsi="黑体" w:cs="黑体"/>
                <w:b w:val="0"/>
                <w:bCs/>
                <w:color w:val="auto"/>
                <w:lang w:val="en-US" w:eastAsia="zh-CN"/>
              </w:rPr>
              <w:t>2</w:t>
            </w:r>
            <w:r>
              <w:rPr>
                <w:rFonts w:hint="eastAsia" w:ascii="黑体" w:hAnsi="黑体" w:eastAsia="黑体" w:cs="黑体"/>
                <w:b w:val="0"/>
                <w:bCs/>
                <w:color w:val="auto"/>
              </w:rPr>
              <w:t>-</w:t>
            </w:r>
            <w:r>
              <w:rPr>
                <w:rFonts w:hint="eastAsia" w:ascii="黑体" w:hAnsi="黑体" w:cs="黑体"/>
                <w:b w:val="0"/>
                <w:bCs/>
                <w:color w:val="auto"/>
                <w:lang w:val="en-US" w:eastAsia="zh-CN"/>
              </w:rPr>
              <w:t>9</w:t>
            </w:r>
            <w:r>
              <w:rPr>
                <w:rFonts w:hint="eastAsia" w:ascii="黑体" w:hAnsi="黑体" w:eastAsia="黑体" w:cs="黑体"/>
                <w:b w:val="0"/>
                <w:bCs/>
                <w:color w:val="auto"/>
              </w:rPr>
              <w:t xml:space="preserve">     </w:t>
            </w:r>
            <w:r>
              <w:rPr>
                <w:rFonts w:hint="eastAsia" w:ascii="黑体" w:hAnsi="黑体" w:cs="黑体"/>
                <w:b w:val="0"/>
                <w:bCs/>
                <w:color w:val="auto"/>
                <w:lang w:val="en-US" w:eastAsia="zh-CN"/>
              </w:rPr>
              <w:t>底吹炉熔炼渣</w:t>
            </w:r>
            <w:r>
              <w:rPr>
                <w:rFonts w:hint="eastAsia" w:ascii="黑体" w:hAnsi="黑体" w:eastAsia="黑体" w:cs="黑体"/>
                <w:b w:val="0"/>
                <w:bCs/>
                <w:color w:val="auto"/>
              </w:rPr>
              <w:t>中的铁物相分析结果</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936"/>
              <w:gridCol w:w="1153"/>
              <w:gridCol w:w="1070"/>
              <w:gridCol w:w="1269"/>
              <w:gridCol w:w="1178"/>
              <w:gridCol w:w="994"/>
            </w:tblGrid>
            <w:tr w14:paraId="25AC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9" w:type="dxa"/>
                  <w:tcBorders>
                    <w:left w:val="nil"/>
                  </w:tcBorders>
                  <w:vAlign w:val="center"/>
                </w:tcPr>
                <w:p w14:paraId="2F80C052">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项目</w:t>
                  </w:r>
                </w:p>
              </w:tc>
              <w:tc>
                <w:tcPr>
                  <w:tcW w:w="936" w:type="dxa"/>
                  <w:vAlign w:val="center"/>
                </w:tcPr>
                <w:p w14:paraId="13F395CB">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磁性铁</w:t>
                  </w:r>
                </w:p>
              </w:tc>
              <w:tc>
                <w:tcPr>
                  <w:tcW w:w="1153" w:type="dxa"/>
                  <w:vAlign w:val="center"/>
                </w:tcPr>
                <w:p w14:paraId="0F5F08A3">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菱铁矿等碳酸盐</w:t>
                  </w:r>
                </w:p>
              </w:tc>
              <w:tc>
                <w:tcPr>
                  <w:tcW w:w="1070" w:type="dxa"/>
                  <w:vAlign w:val="center"/>
                </w:tcPr>
                <w:p w14:paraId="2D1994E6">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硅酸铁</w:t>
                  </w:r>
                </w:p>
              </w:tc>
              <w:tc>
                <w:tcPr>
                  <w:tcW w:w="1269" w:type="dxa"/>
                  <w:vAlign w:val="center"/>
                </w:tcPr>
                <w:p w14:paraId="35ECDA29">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黄铁矿及硫化物</w:t>
                  </w:r>
                </w:p>
              </w:tc>
              <w:tc>
                <w:tcPr>
                  <w:tcW w:w="1178" w:type="dxa"/>
                  <w:vAlign w:val="center"/>
                </w:tcPr>
                <w:p w14:paraId="3B2C9F1F">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赤褐铁矿及其它</w:t>
                  </w:r>
                </w:p>
              </w:tc>
              <w:tc>
                <w:tcPr>
                  <w:tcW w:w="994" w:type="dxa"/>
                  <w:tcBorders>
                    <w:right w:val="nil"/>
                  </w:tcBorders>
                  <w:vAlign w:val="center"/>
                </w:tcPr>
                <w:p w14:paraId="5E330E59">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总铁</w:t>
                  </w:r>
                </w:p>
              </w:tc>
            </w:tr>
            <w:tr w14:paraId="7674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9" w:type="dxa"/>
                  <w:tcBorders>
                    <w:left w:val="nil"/>
                  </w:tcBorders>
                  <w:vAlign w:val="center"/>
                </w:tcPr>
                <w:p w14:paraId="547C44E7">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含量/%</w:t>
                  </w:r>
                </w:p>
              </w:tc>
              <w:tc>
                <w:tcPr>
                  <w:tcW w:w="936" w:type="dxa"/>
                  <w:vAlign w:val="center"/>
                </w:tcPr>
                <w:p w14:paraId="73469422">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32.00</w:t>
                  </w:r>
                </w:p>
              </w:tc>
              <w:tc>
                <w:tcPr>
                  <w:tcW w:w="1153" w:type="dxa"/>
                  <w:vAlign w:val="center"/>
                </w:tcPr>
                <w:p w14:paraId="247171A5">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3.69</w:t>
                  </w:r>
                </w:p>
              </w:tc>
              <w:tc>
                <w:tcPr>
                  <w:tcW w:w="1070" w:type="dxa"/>
                  <w:vAlign w:val="center"/>
                </w:tcPr>
                <w:p w14:paraId="50F9DD61">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4.35</w:t>
                  </w:r>
                </w:p>
              </w:tc>
              <w:tc>
                <w:tcPr>
                  <w:tcW w:w="1269" w:type="dxa"/>
                  <w:vAlign w:val="center"/>
                </w:tcPr>
                <w:p w14:paraId="3D5DC6FD">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0.20</w:t>
                  </w:r>
                </w:p>
              </w:tc>
              <w:tc>
                <w:tcPr>
                  <w:tcW w:w="1178" w:type="dxa"/>
                  <w:vAlign w:val="center"/>
                </w:tcPr>
                <w:p w14:paraId="16C0FD7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0.26</w:t>
                  </w:r>
                </w:p>
              </w:tc>
              <w:tc>
                <w:tcPr>
                  <w:tcW w:w="994" w:type="dxa"/>
                  <w:tcBorders>
                    <w:right w:val="nil"/>
                  </w:tcBorders>
                  <w:vAlign w:val="center"/>
                </w:tcPr>
                <w:p w14:paraId="6C104C00">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40.5</w:t>
                  </w:r>
                </w:p>
              </w:tc>
            </w:tr>
            <w:tr w14:paraId="11E8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9" w:type="dxa"/>
                  <w:tcBorders>
                    <w:left w:val="nil"/>
                  </w:tcBorders>
                  <w:vAlign w:val="center"/>
                </w:tcPr>
                <w:p w14:paraId="2D891DC4">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分布率/%</w:t>
                  </w:r>
                </w:p>
              </w:tc>
              <w:tc>
                <w:tcPr>
                  <w:tcW w:w="936" w:type="dxa"/>
                  <w:vAlign w:val="center"/>
                </w:tcPr>
                <w:p w14:paraId="6F6C7F0B">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79.01</w:t>
                  </w:r>
                </w:p>
              </w:tc>
              <w:tc>
                <w:tcPr>
                  <w:tcW w:w="1153" w:type="dxa"/>
                  <w:vAlign w:val="center"/>
                </w:tcPr>
                <w:p w14:paraId="460D7FC8">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9.11</w:t>
                  </w:r>
                </w:p>
              </w:tc>
              <w:tc>
                <w:tcPr>
                  <w:tcW w:w="1070" w:type="dxa"/>
                  <w:vAlign w:val="center"/>
                </w:tcPr>
                <w:p w14:paraId="5A846BCA">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10.74</w:t>
                  </w:r>
                </w:p>
              </w:tc>
              <w:tc>
                <w:tcPr>
                  <w:tcW w:w="1269" w:type="dxa"/>
                  <w:vAlign w:val="center"/>
                </w:tcPr>
                <w:p w14:paraId="21DCC21A">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0.49</w:t>
                  </w:r>
                </w:p>
              </w:tc>
              <w:tc>
                <w:tcPr>
                  <w:tcW w:w="1178" w:type="dxa"/>
                  <w:vAlign w:val="center"/>
                </w:tcPr>
                <w:p w14:paraId="151E5305">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0.65</w:t>
                  </w:r>
                </w:p>
              </w:tc>
              <w:tc>
                <w:tcPr>
                  <w:tcW w:w="994" w:type="dxa"/>
                  <w:tcBorders>
                    <w:right w:val="nil"/>
                  </w:tcBorders>
                  <w:vAlign w:val="center"/>
                </w:tcPr>
                <w:p w14:paraId="29D8E3CC">
                  <w:pPr>
                    <w:pStyle w:val="30"/>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100.00</w:t>
                  </w:r>
                </w:p>
              </w:tc>
            </w:tr>
          </w:tbl>
          <w:p w14:paraId="32EB8615">
            <w:pPr>
              <w:pStyle w:val="25"/>
              <w:keepNext/>
              <w:keepLines w:val="0"/>
              <w:pageBreakBefore w:val="0"/>
              <w:widowControl w:val="0"/>
              <w:kinsoku/>
              <w:wordWrap w:val="0"/>
              <w:overflowPunct/>
              <w:topLinePunct/>
              <w:autoSpaceDE/>
              <w:autoSpaceDN/>
              <w:bidi w:val="0"/>
              <w:adjustRightInd w:val="0"/>
              <w:snapToGrid w:val="0"/>
              <w:textAlignment w:val="auto"/>
              <w:rPr>
                <w:rFonts w:hint="default"/>
                <w:lang w:val="en-US" w:eastAsia="zh-CN"/>
              </w:rPr>
            </w:pPr>
            <w:r>
              <w:t>由表</w:t>
            </w:r>
            <w:r>
              <w:rPr>
                <w:rFonts w:hint="eastAsia"/>
                <w:lang w:val="en-US" w:eastAsia="zh-CN"/>
              </w:rPr>
              <w:t>2</w:t>
            </w:r>
            <w:r>
              <w:t>-</w:t>
            </w:r>
            <w:r>
              <w:rPr>
                <w:rFonts w:hint="eastAsia"/>
                <w:lang w:val="en-US" w:eastAsia="zh-CN"/>
              </w:rPr>
              <w:t>9</w:t>
            </w:r>
            <w:r>
              <w:t>可知，</w:t>
            </w:r>
            <w:r>
              <w:rPr>
                <w:rFonts w:hint="eastAsia" w:cs="Times New Roman"/>
                <w:color w:val="auto"/>
                <w:sz w:val="24"/>
                <w:szCs w:val="24"/>
                <w:lang w:val="en-US" w:eastAsia="zh-CN"/>
              </w:rPr>
              <w:t>底吹炉熔炼渣</w:t>
            </w:r>
            <w:r>
              <w:t>中铜炉渣的铁主要以磁性铁的形式存在。</w:t>
            </w:r>
          </w:p>
          <w:p w14:paraId="77C4DE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default" w:cs="Times New Roman"/>
                <w:b/>
                <w:color w:val="auto"/>
                <w:sz w:val="24"/>
                <w:szCs w:val="24"/>
                <w:highlight w:val="none"/>
                <w:lang w:val="en-US" w:eastAsia="zh-CN"/>
              </w:rPr>
            </w:pPr>
            <w:r>
              <w:rPr>
                <w:rFonts w:hint="eastAsia" w:cs="Times New Roman"/>
                <w:b/>
                <w:color w:val="auto"/>
                <w:sz w:val="24"/>
                <w:szCs w:val="24"/>
                <w:highlight w:val="none"/>
                <w:lang w:val="en-US" w:eastAsia="zh-CN"/>
              </w:rPr>
              <w:t>6、尾渣性质</w:t>
            </w:r>
          </w:p>
          <w:p w14:paraId="6500BB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根据</w:t>
            </w:r>
            <w:r>
              <w:rPr>
                <w:rFonts w:hint="eastAsia" w:cs="Times New Roman"/>
                <w:kern w:val="2"/>
                <w:sz w:val="24"/>
                <w:szCs w:val="24"/>
                <w:lang w:val="en-US" w:eastAsia="zh-CN" w:bidi="ar-SA"/>
              </w:rPr>
              <w:t>易门铜业有限公司自行监测报告，尾渣属于</w:t>
            </w:r>
            <w:r>
              <w:rPr>
                <w:rFonts w:hint="default" w:ascii="Times New Roman" w:hAnsi="Times New Roman" w:cs="Times New Roman"/>
                <w:color w:val="auto"/>
                <w:sz w:val="24"/>
                <w:lang w:val="en-US" w:eastAsia="zh-CN"/>
              </w:rPr>
              <w:t>第I类一般工业固废</w:t>
            </w:r>
            <w:r>
              <w:rPr>
                <w:rFonts w:hint="eastAsia" w:ascii="Times New Roman" w:hAnsi="Times New Roman" w:cs="Times New Roman"/>
                <w:color w:val="auto"/>
                <w:sz w:val="24"/>
                <w:lang w:val="en-US" w:eastAsia="zh-CN"/>
              </w:rPr>
              <w:t>，监测数据详见下表：</w:t>
            </w:r>
          </w:p>
          <w:p w14:paraId="3CFC2D2B">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黑体" w:hAnsi="黑体" w:eastAsia="黑体" w:cs="黑体"/>
                <w:b w:val="0"/>
                <w:bCs/>
                <w:color w:val="auto"/>
              </w:rPr>
            </w:pPr>
            <w:r>
              <w:rPr>
                <w:rFonts w:hint="eastAsia" w:ascii="黑体" w:hAnsi="黑体" w:eastAsia="黑体" w:cs="黑体"/>
                <w:b w:val="0"/>
                <w:bCs/>
                <w:color w:val="auto"/>
              </w:rPr>
              <w:t>表2-</w:t>
            </w:r>
            <w:r>
              <w:rPr>
                <w:rFonts w:hint="eastAsia" w:ascii="黑体" w:hAnsi="黑体" w:cs="黑体"/>
                <w:b w:val="0"/>
                <w:bCs/>
                <w:color w:val="auto"/>
                <w:lang w:val="en-US" w:eastAsia="zh-CN"/>
              </w:rPr>
              <w:t>10</w:t>
            </w:r>
            <w:r>
              <w:rPr>
                <w:rFonts w:hint="eastAsia" w:ascii="黑体" w:hAnsi="黑体" w:eastAsia="黑体" w:cs="黑体"/>
                <w:b w:val="0"/>
                <w:bCs/>
                <w:color w:val="auto"/>
              </w:rPr>
              <w:t xml:space="preserve"> </w:t>
            </w:r>
            <w:r>
              <w:rPr>
                <w:rFonts w:hint="eastAsia" w:ascii="黑体" w:hAnsi="黑体" w:cs="黑体"/>
                <w:b w:val="0"/>
                <w:bCs/>
                <w:color w:val="auto"/>
                <w:lang w:val="en-US" w:eastAsia="zh-CN"/>
              </w:rPr>
              <w:t>尾渣</w:t>
            </w:r>
            <w:r>
              <w:rPr>
                <w:rFonts w:hint="eastAsia" w:ascii="黑体" w:hAnsi="黑体" w:eastAsia="黑体" w:cs="黑体"/>
                <w:b w:val="0"/>
                <w:bCs/>
                <w:color w:val="auto"/>
              </w:rPr>
              <w:t>浸出毒性鉴别结果 单位：</w:t>
            </w:r>
            <w:r>
              <w:rPr>
                <w:rFonts w:hint="default" w:ascii="黑体" w:hAnsi="黑体" w:eastAsia="黑体" w:cs="黑体"/>
                <w:b w:val="0"/>
                <w:bCs/>
                <w:color w:val="auto"/>
              </w:rPr>
              <w:t>mg/L</w:t>
            </w:r>
          </w:p>
          <w:tbl>
            <w:tblPr>
              <w:tblStyle w:val="22"/>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1184"/>
              <w:gridCol w:w="1319"/>
              <w:gridCol w:w="1319"/>
              <w:gridCol w:w="1319"/>
              <w:gridCol w:w="1319"/>
            </w:tblGrid>
            <w:tr w14:paraId="4C26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40A712A8">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项目</w:t>
                  </w:r>
                </w:p>
              </w:tc>
              <w:tc>
                <w:tcPr>
                  <w:tcW w:w="1184" w:type="dxa"/>
                  <w:vAlign w:val="center"/>
                </w:tcPr>
                <w:p w14:paraId="090B8B23">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浸出液中危害成分浓度限值</w:t>
                  </w:r>
                </w:p>
              </w:tc>
              <w:tc>
                <w:tcPr>
                  <w:tcW w:w="1319" w:type="dxa"/>
                  <w:vAlign w:val="center"/>
                </w:tcPr>
                <w:p w14:paraId="141993A7">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《危险废物鉴别标准-浸出毒性鉴别》</w:t>
                  </w:r>
                </w:p>
              </w:tc>
              <w:tc>
                <w:tcPr>
                  <w:tcW w:w="1319" w:type="dxa"/>
                  <w:vAlign w:val="center"/>
                </w:tcPr>
                <w:p w14:paraId="5D87E0A3">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《危险废物鉴别技术规范》</w:t>
                  </w:r>
                </w:p>
              </w:tc>
              <w:tc>
                <w:tcPr>
                  <w:tcW w:w="1319" w:type="dxa"/>
                  <w:vAlign w:val="center"/>
                </w:tcPr>
                <w:p w14:paraId="34E2753B">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sz w:val="18"/>
                      <w:szCs w:val="18"/>
                    </w:rPr>
                  </w:pPr>
                  <w:r>
                    <w:rPr>
                      <w:rFonts w:hint="eastAsia" w:ascii="宋体" w:hAnsi="宋体" w:eastAsia="宋体" w:cs="宋体"/>
                      <w:color w:val="000000"/>
                      <w:spacing w:val="0"/>
                      <w:position w:val="0"/>
                      <w:sz w:val="18"/>
                      <w:szCs w:val="18"/>
                    </w:rPr>
                    <w:t>《污水综合</w:t>
                  </w:r>
                </w:p>
                <w:p w14:paraId="4E3F3343">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排放标准》</w:t>
                  </w:r>
                </w:p>
              </w:tc>
              <w:tc>
                <w:tcPr>
                  <w:tcW w:w="1319" w:type="dxa"/>
                  <w:tcBorders>
                    <w:right w:val="nil"/>
                  </w:tcBorders>
                  <w:vAlign w:val="center"/>
                </w:tcPr>
                <w:p w14:paraId="4EAFBF35">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000000"/>
                      <w:spacing w:val="0"/>
                      <w:position w:val="0"/>
                      <w:sz w:val="18"/>
                      <w:szCs w:val="18"/>
                    </w:rPr>
                    <w:t>《危险废物鉴别技术规范》</w:t>
                  </w:r>
                </w:p>
              </w:tc>
            </w:tr>
            <w:tr w14:paraId="5BB1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56C8502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铅</w:t>
                  </w:r>
                </w:p>
              </w:tc>
              <w:tc>
                <w:tcPr>
                  <w:tcW w:w="1184" w:type="dxa"/>
                  <w:vAlign w:val="center"/>
                </w:tcPr>
                <w:p w14:paraId="6EB70ED0">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0.0117</w:t>
                  </w:r>
                </w:p>
              </w:tc>
              <w:tc>
                <w:tcPr>
                  <w:tcW w:w="1319" w:type="dxa"/>
                  <w:vAlign w:val="center"/>
                </w:tcPr>
                <w:p w14:paraId="6DF64868">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77C1D019">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3A77847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w:t>
                  </w:r>
                </w:p>
              </w:tc>
              <w:tc>
                <w:tcPr>
                  <w:tcW w:w="1319" w:type="dxa"/>
                  <w:tcBorders>
                    <w:right w:val="nil"/>
                  </w:tcBorders>
                  <w:vAlign w:val="center"/>
                </w:tcPr>
                <w:p w14:paraId="5AFB8972">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74DC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454" w:type="dxa"/>
                  <w:tcBorders>
                    <w:left w:val="nil"/>
                  </w:tcBorders>
                  <w:vAlign w:val="center"/>
                </w:tcPr>
                <w:p w14:paraId="5EB9E46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锌</w:t>
                  </w:r>
                </w:p>
              </w:tc>
              <w:tc>
                <w:tcPr>
                  <w:tcW w:w="1184" w:type="dxa"/>
                  <w:vAlign w:val="center"/>
                </w:tcPr>
                <w:p w14:paraId="0230C926">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0.79</w:t>
                  </w:r>
                </w:p>
              </w:tc>
              <w:tc>
                <w:tcPr>
                  <w:tcW w:w="1319" w:type="dxa"/>
                  <w:vAlign w:val="center"/>
                </w:tcPr>
                <w:p w14:paraId="620AECC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100</w:t>
                  </w:r>
                </w:p>
              </w:tc>
              <w:tc>
                <w:tcPr>
                  <w:tcW w:w="1319" w:type="dxa"/>
                  <w:vAlign w:val="center"/>
                </w:tcPr>
                <w:p w14:paraId="18562044">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6BAF3B4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5.0</w:t>
                  </w:r>
                </w:p>
              </w:tc>
              <w:tc>
                <w:tcPr>
                  <w:tcW w:w="1319" w:type="dxa"/>
                  <w:tcBorders>
                    <w:right w:val="nil"/>
                  </w:tcBorders>
                  <w:vAlign w:val="center"/>
                </w:tcPr>
                <w:p w14:paraId="00A217A3">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09CE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31FF78F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铜</w:t>
                  </w:r>
                </w:p>
              </w:tc>
              <w:tc>
                <w:tcPr>
                  <w:tcW w:w="1184" w:type="dxa"/>
                  <w:vAlign w:val="center"/>
                </w:tcPr>
                <w:p w14:paraId="353A47FD">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&lt;0.02</w:t>
                  </w:r>
                </w:p>
              </w:tc>
              <w:tc>
                <w:tcPr>
                  <w:tcW w:w="1319" w:type="dxa"/>
                  <w:vAlign w:val="center"/>
                </w:tcPr>
                <w:p w14:paraId="75AE8CA7">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100</w:t>
                  </w:r>
                </w:p>
              </w:tc>
              <w:tc>
                <w:tcPr>
                  <w:tcW w:w="1319" w:type="dxa"/>
                  <w:vAlign w:val="center"/>
                </w:tcPr>
                <w:p w14:paraId="4B1F32E3">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040006B7">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2.0</w:t>
                  </w:r>
                </w:p>
              </w:tc>
              <w:tc>
                <w:tcPr>
                  <w:tcW w:w="1319" w:type="dxa"/>
                  <w:tcBorders>
                    <w:right w:val="nil"/>
                  </w:tcBorders>
                  <w:vAlign w:val="center"/>
                </w:tcPr>
                <w:p w14:paraId="44D22E70">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250F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368517D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镉</w:t>
                  </w:r>
                </w:p>
              </w:tc>
              <w:tc>
                <w:tcPr>
                  <w:tcW w:w="1184" w:type="dxa"/>
                  <w:vAlign w:val="center"/>
                </w:tcPr>
                <w:p w14:paraId="64567678">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0.0189</w:t>
                  </w:r>
                </w:p>
              </w:tc>
              <w:tc>
                <w:tcPr>
                  <w:tcW w:w="1319" w:type="dxa"/>
                  <w:vAlign w:val="center"/>
                </w:tcPr>
                <w:p w14:paraId="31077E45">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w:t>
                  </w:r>
                </w:p>
              </w:tc>
              <w:tc>
                <w:tcPr>
                  <w:tcW w:w="1319" w:type="dxa"/>
                  <w:vAlign w:val="center"/>
                </w:tcPr>
                <w:p w14:paraId="6432F9BD">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5C39DB4A">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0.1</w:t>
                  </w:r>
                </w:p>
              </w:tc>
              <w:tc>
                <w:tcPr>
                  <w:tcW w:w="1319" w:type="dxa"/>
                  <w:tcBorders>
                    <w:right w:val="nil"/>
                  </w:tcBorders>
                  <w:vAlign w:val="center"/>
                </w:tcPr>
                <w:p w14:paraId="108DE981">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7C36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66B45443">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砷</w:t>
                  </w:r>
                </w:p>
              </w:tc>
              <w:tc>
                <w:tcPr>
                  <w:tcW w:w="1184" w:type="dxa"/>
                  <w:vAlign w:val="center"/>
                </w:tcPr>
                <w:p w14:paraId="4C3EAF17">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1.06</w:t>
                  </w:r>
                </w:p>
              </w:tc>
              <w:tc>
                <w:tcPr>
                  <w:tcW w:w="1319" w:type="dxa"/>
                  <w:vAlign w:val="center"/>
                </w:tcPr>
                <w:p w14:paraId="1175AB4A">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2E78423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2AB5DEE5">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0.5</w:t>
                  </w:r>
                </w:p>
              </w:tc>
              <w:tc>
                <w:tcPr>
                  <w:tcW w:w="1319" w:type="dxa"/>
                  <w:tcBorders>
                    <w:right w:val="nil"/>
                  </w:tcBorders>
                  <w:vAlign w:val="center"/>
                </w:tcPr>
                <w:p w14:paraId="49BCDDAC">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44E9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454" w:type="dxa"/>
                  <w:tcBorders>
                    <w:left w:val="nil"/>
                  </w:tcBorders>
                  <w:vAlign w:val="center"/>
                </w:tcPr>
                <w:p w14:paraId="1BAE0310">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镍</w:t>
                  </w:r>
                </w:p>
              </w:tc>
              <w:tc>
                <w:tcPr>
                  <w:tcW w:w="1184" w:type="dxa"/>
                  <w:vAlign w:val="center"/>
                </w:tcPr>
                <w:p w14:paraId="7F81DEE9">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0.04</w:t>
                  </w:r>
                </w:p>
              </w:tc>
              <w:tc>
                <w:tcPr>
                  <w:tcW w:w="1319" w:type="dxa"/>
                  <w:vAlign w:val="center"/>
                </w:tcPr>
                <w:p w14:paraId="36B83EDC">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5B3DA402">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08E8C397">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w:t>
                  </w:r>
                </w:p>
              </w:tc>
              <w:tc>
                <w:tcPr>
                  <w:tcW w:w="1319" w:type="dxa"/>
                  <w:tcBorders>
                    <w:right w:val="nil"/>
                  </w:tcBorders>
                  <w:vAlign w:val="center"/>
                </w:tcPr>
                <w:p w14:paraId="5BD937DF">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3623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Borders>
                    <w:left w:val="nil"/>
                  </w:tcBorders>
                  <w:vAlign w:val="center"/>
                </w:tcPr>
                <w:p w14:paraId="71B62C12">
                  <w:pPr>
                    <w:pStyle w:val="20"/>
                    <w:keepNext w:val="0"/>
                    <w:keepLines w:val="0"/>
                    <w:widowControl/>
                    <w:suppressLineNumbers w:val="0"/>
                    <w:spacing w:line="240" w:lineRule="auto"/>
                    <w:ind w:left="0" w:leftChars="0" w:right="0" w:rightChars="0" w:firstLine="0" w:firstLineChars="0"/>
                    <w:jc w:val="center"/>
                    <w:textAlignment w:val="center"/>
                    <w:rPr>
                      <w:rFonts w:hint="default" w:cs="Times New Roman"/>
                      <w:color w:val="auto"/>
                      <w:sz w:val="18"/>
                      <w:szCs w:val="18"/>
                      <w:lang w:val="en-US" w:eastAsia="zh-CN"/>
                    </w:rPr>
                  </w:pPr>
                  <w:r>
                    <w:rPr>
                      <w:rFonts w:hint="eastAsia" w:ascii="宋体" w:hAnsi="宋体" w:eastAsia="宋体" w:cs="宋体"/>
                      <w:color w:val="auto"/>
                      <w:spacing w:val="0"/>
                      <w:position w:val="0"/>
                      <w:sz w:val="18"/>
                      <w:szCs w:val="18"/>
                    </w:rPr>
                    <w:t>氟化物</w:t>
                  </w:r>
                </w:p>
              </w:tc>
              <w:tc>
                <w:tcPr>
                  <w:tcW w:w="1184" w:type="dxa"/>
                  <w:vAlign w:val="center"/>
                </w:tcPr>
                <w:p w14:paraId="158D9EC8">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9.44</w:t>
                  </w:r>
                </w:p>
              </w:tc>
              <w:tc>
                <w:tcPr>
                  <w:tcW w:w="1319" w:type="dxa"/>
                  <w:vAlign w:val="center"/>
                </w:tcPr>
                <w:p w14:paraId="04A02031">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100</w:t>
                  </w:r>
                </w:p>
              </w:tc>
              <w:tc>
                <w:tcPr>
                  <w:tcW w:w="1319" w:type="dxa"/>
                  <w:vAlign w:val="center"/>
                </w:tcPr>
                <w:p w14:paraId="5BD16BC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13345B2C">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20</w:t>
                  </w:r>
                </w:p>
              </w:tc>
              <w:tc>
                <w:tcPr>
                  <w:tcW w:w="1319" w:type="dxa"/>
                  <w:tcBorders>
                    <w:right w:val="nil"/>
                  </w:tcBorders>
                  <w:vAlign w:val="center"/>
                </w:tcPr>
                <w:p w14:paraId="55A94C1B">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52F6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74A9656D">
                  <w:pPr>
                    <w:pStyle w:val="20"/>
                    <w:keepNext w:val="0"/>
                    <w:keepLines w:val="0"/>
                    <w:widowControl/>
                    <w:suppressLineNumbers w:val="0"/>
                    <w:spacing w:line="240" w:lineRule="auto"/>
                    <w:ind w:left="0" w:leftChars="0" w:right="0" w:rightChars="0" w:firstLine="0" w:firstLineChars="0"/>
                    <w:jc w:val="center"/>
                    <w:textAlignment w:val="center"/>
                    <w:rPr>
                      <w:rFonts w:hint="eastAsia" w:eastAsia="宋体" w:cs="Times New Roman"/>
                      <w:color w:val="auto"/>
                      <w:sz w:val="18"/>
                      <w:szCs w:val="18"/>
                      <w:lang w:val="en-US" w:eastAsia="zh-CN"/>
                    </w:rPr>
                  </w:pPr>
                  <w:r>
                    <w:rPr>
                      <w:rFonts w:hint="eastAsia" w:ascii="宋体" w:hAnsi="宋体" w:eastAsia="宋体" w:cs="宋体"/>
                      <w:color w:val="auto"/>
                      <w:spacing w:val="0"/>
                      <w:position w:val="0"/>
                      <w:sz w:val="18"/>
                      <w:szCs w:val="18"/>
                    </w:rPr>
                    <w:t>汞</w:t>
                  </w:r>
                </w:p>
              </w:tc>
              <w:tc>
                <w:tcPr>
                  <w:tcW w:w="1184" w:type="dxa"/>
                  <w:vAlign w:val="center"/>
                </w:tcPr>
                <w:p w14:paraId="007961A1">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0.00105</w:t>
                  </w:r>
                </w:p>
              </w:tc>
              <w:tc>
                <w:tcPr>
                  <w:tcW w:w="1319" w:type="dxa"/>
                  <w:vAlign w:val="center"/>
                </w:tcPr>
                <w:p w14:paraId="66A8FF3A">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0.1</w:t>
                  </w:r>
                </w:p>
              </w:tc>
              <w:tc>
                <w:tcPr>
                  <w:tcW w:w="1319" w:type="dxa"/>
                  <w:vAlign w:val="center"/>
                </w:tcPr>
                <w:p w14:paraId="29B09A22">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6C361C7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0.05</w:t>
                  </w:r>
                </w:p>
              </w:tc>
              <w:tc>
                <w:tcPr>
                  <w:tcW w:w="1319" w:type="dxa"/>
                  <w:tcBorders>
                    <w:right w:val="nil"/>
                  </w:tcBorders>
                  <w:vAlign w:val="center"/>
                </w:tcPr>
                <w:p w14:paraId="342819A8">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71F1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058C0918">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总铬</w:t>
                  </w:r>
                </w:p>
              </w:tc>
              <w:tc>
                <w:tcPr>
                  <w:tcW w:w="1184" w:type="dxa"/>
                  <w:vAlign w:val="center"/>
                </w:tcPr>
                <w:p w14:paraId="6F644350">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&lt;0.03</w:t>
                  </w:r>
                </w:p>
              </w:tc>
              <w:tc>
                <w:tcPr>
                  <w:tcW w:w="1319" w:type="dxa"/>
                  <w:vAlign w:val="center"/>
                </w:tcPr>
                <w:p w14:paraId="0A2324E0">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055F6F32">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4997812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1.5</w:t>
                  </w:r>
                </w:p>
              </w:tc>
              <w:tc>
                <w:tcPr>
                  <w:tcW w:w="1319" w:type="dxa"/>
                  <w:tcBorders>
                    <w:right w:val="nil"/>
                  </w:tcBorders>
                  <w:vAlign w:val="center"/>
                </w:tcPr>
                <w:p w14:paraId="40A5B687">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37D9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51A7164E">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auto"/>
                      <w:spacing w:val="0"/>
                      <w:position w:val="0"/>
                      <w:sz w:val="18"/>
                      <w:szCs w:val="18"/>
                      <w:lang w:val="en-US" w:eastAsia="zh-CN"/>
                    </w:rPr>
                  </w:pPr>
                  <w:r>
                    <w:rPr>
                      <w:rFonts w:hint="eastAsia" w:ascii="宋体" w:hAnsi="宋体" w:eastAsia="宋体" w:cs="宋体"/>
                      <w:color w:val="auto"/>
                      <w:spacing w:val="0"/>
                      <w:position w:val="0"/>
                      <w:sz w:val="18"/>
                      <w:szCs w:val="18"/>
                      <w:lang w:val="en-US" w:eastAsia="zh-CN"/>
                    </w:rPr>
                    <w:t>六价铬</w:t>
                  </w:r>
                </w:p>
              </w:tc>
              <w:tc>
                <w:tcPr>
                  <w:tcW w:w="1184" w:type="dxa"/>
                  <w:vAlign w:val="center"/>
                </w:tcPr>
                <w:p w14:paraId="7675F328">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&lt;0.004</w:t>
                  </w:r>
                </w:p>
              </w:tc>
              <w:tc>
                <w:tcPr>
                  <w:tcW w:w="1319" w:type="dxa"/>
                  <w:vAlign w:val="center"/>
                </w:tcPr>
                <w:p w14:paraId="3368343F">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21FA190A">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020225E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0.5</w:t>
                  </w:r>
                </w:p>
              </w:tc>
              <w:tc>
                <w:tcPr>
                  <w:tcW w:w="1319" w:type="dxa"/>
                  <w:tcBorders>
                    <w:right w:val="nil"/>
                  </w:tcBorders>
                  <w:vAlign w:val="center"/>
                </w:tcPr>
                <w:p w14:paraId="07118376">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1588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43F1B714">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auto"/>
                      <w:spacing w:val="0"/>
                      <w:position w:val="0"/>
                      <w:sz w:val="18"/>
                      <w:szCs w:val="18"/>
                      <w:lang w:val="en-US" w:eastAsia="zh-CN"/>
                    </w:rPr>
                  </w:pPr>
                  <w:r>
                    <w:rPr>
                      <w:rFonts w:hint="eastAsia" w:ascii="宋体" w:hAnsi="宋体" w:eastAsia="宋体" w:cs="宋体"/>
                      <w:color w:val="auto"/>
                      <w:spacing w:val="0"/>
                      <w:position w:val="0"/>
                      <w:sz w:val="18"/>
                      <w:szCs w:val="18"/>
                      <w:lang w:val="en-US" w:eastAsia="zh-CN"/>
                    </w:rPr>
                    <w:t>硒</w:t>
                  </w:r>
                </w:p>
              </w:tc>
              <w:tc>
                <w:tcPr>
                  <w:tcW w:w="1184" w:type="dxa"/>
                  <w:vAlign w:val="center"/>
                </w:tcPr>
                <w:p w14:paraId="0B1F55A2">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0.0005</w:t>
                  </w:r>
                </w:p>
              </w:tc>
              <w:tc>
                <w:tcPr>
                  <w:tcW w:w="1319" w:type="dxa"/>
                  <w:vAlign w:val="center"/>
                </w:tcPr>
                <w:p w14:paraId="450C79E9">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w:t>
                  </w:r>
                </w:p>
              </w:tc>
              <w:tc>
                <w:tcPr>
                  <w:tcW w:w="1319" w:type="dxa"/>
                  <w:vAlign w:val="center"/>
                </w:tcPr>
                <w:p w14:paraId="1CBEE883">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30309D1C">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319" w:type="dxa"/>
                  <w:tcBorders>
                    <w:right w:val="nil"/>
                  </w:tcBorders>
                  <w:vAlign w:val="center"/>
                </w:tcPr>
                <w:p w14:paraId="66C25A16">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2104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71D12824">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auto"/>
                      <w:spacing w:val="0"/>
                      <w:position w:val="0"/>
                      <w:sz w:val="18"/>
                      <w:szCs w:val="18"/>
                      <w:lang w:val="en-US" w:eastAsia="zh-CN"/>
                    </w:rPr>
                  </w:pPr>
                  <w:r>
                    <w:rPr>
                      <w:rFonts w:hint="eastAsia" w:ascii="宋体" w:hAnsi="宋体" w:eastAsia="宋体" w:cs="宋体"/>
                      <w:color w:val="auto"/>
                      <w:spacing w:val="0"/>
                      <w:position w:val="0"/>
                      <w:sz w:val="18"/>
                      <w:szCs w:val="18"/>
                    </w:rPr>
                    <w:t>铍</w:t>
                  </w:r>
                </w:p>
              </w:tc>
              <w:tc>
                <w:tcPr>
                  <w:tcW w:w="1184" w:type="dxa"/>
                  <w:vAlign w:val="center"/>
                </w:tcPr>
                <w:p w14:paraId="3E430812">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0.0028</w:t>
                  </w:r>
                </w:p>
              </w:tc>
              <w:tc>
                <w:tcPr>
                  <w:tcW w:w="1319" w:type="dxa"/>
                  <w:vAlign w:val="center"/>
                </w:tcPr>
                <w:p w14:paraId="050D251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0.02</w:t>
                  </w:r>
                </w:p>
              </w:tc>
              <w:tc>
                <w:tcPr>
                  <w:tcW w:w="1319" w:type="dxa"/>
                  <w:vAlign w:val="center"/>
                </w:tcPr>
                <w:p w14:paraId="17D6F4C5">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0D33DF3D">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0.005</w:t>
                  </w:r>
                </w:p>
              </w:tc>
              <w:tc>
                <w:tcPr>
                  <w:tcW w:w="1319" w:type="dxa"/>
                  <w:tcBorders>
                    <w:right w:val="nil"/>
                  </w:tcBorders>
                  <w:vAlign w:val="center"/>
                </w:tcPr>
                <w:p w14:paraId="4DD0A2E5">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6AD1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0833274A">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auto"/>
                      <w:spacing w:val="0"/>
                      <w:position w:val="0"/>
                      <w:sz w:val="18"/>
                      <w:szCs w:val="18"/>
                    </w:rPr>
                  </w:pPr>
                  <w:r>
                    <w:rPr>
                      <w:rFonts w:hint="eastAsia" w:ascii="宋体" w:hAnsi="宋体" w:eastAsia="宋体" w:cs="宋体"/>
                      <w:color w:val="auto"/>
                      <w:spacing w:val="0"/>
                      <w:position w:val="0"/>
                      <w:sz w:val="18"/>
                      <w:szCs w:val="18"/>
                    </w:rPr>
                    <w:t>钡</w:t>
                  </w:r>
                </w:p>
              </w:tc>
              <w:tc>
                <w:tcPr>
                  <w:tcW w:w="1184" w:type="dxa"/>
                  <w:vAlign w:val="center"/>
                </w:tcPr>
                <w:p w14:paraId="14F83A23">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0.0453</w:t>
                  </w:r>
                </w:p>
              </w:tc>
              <w:tc>
                <w:tcPr>
                  <w:tcW w:w="1319" w:type="dxa"/>
                  <w:vAlign w:val="center"/>
                </w:tcPr>
                <w:p w14:paraId="07526EF1">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100</w:t>
                  </w:r>
                </w:p>
              </w:tc>
              <w:tc>
                <w:tcPr>
                  <w:tcW w:w="1319" w:type="dxa"/>
                  <w:vAlign w:val="center"/>
                </w:tcPr>
                <w:p w14:paraId="26839BBA">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2449C8BF">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319" w:type="dxa"/>
                  <w:tcBorders>
                    <w:right w:val="nil"/>
                  </w:tcBorders>
                  <w:vAlign w:val="center"/>
                </w:tcPr>
                <w:p w14:paraId="74DE702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6604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776022F2">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auto"/>
                      <w:spacing w:val="0"/>
                      <w:position w:val="0"/>
                      <w:sz w:val="18"/>
                      <w:szCs w:val="18"/>
                    </w:rPr>
                  </w:pPr>
                  <w:r>
                    <w:rPr>
                      <w:rFonts w:hint="eastAsia" w:ascii="宋体" w:hAnsi="宋体" w:eastAsia="宋体" w:cs="宋体"/>
                      <w:color w:val="auto"/>
                      <w:spacing w:val="0"/>
                      <w:position w:val="0"/>
                      <w:sz w:val="18"/>
                      <w:szCs w:val="18"/>
                    </w:rPr>
                    <w:t>银</w:t>
                  </w:r>
                </w:p>
              </w:tc>
              <w:tc>
                <w:tcPr>
                  <w:tcW w:w="1184" w:type="dxa"/>
                  <w:vAlign w:val="center"/>
                </w:tcPr>
                <w:p w14:paraId="610B3EC6">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&lt;0.01</w:t>
                  </w:r>
                </w:p>
              </w:tc>
              <w:tc>
                <w:tcPr>
                  <w:tcW w:w="1319" w:type="dxa"/>
                  <w:vAlign w:val="center"/>
                </w:tcPr>
                <w:p w14:paraId="56404CDD">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1319" w:type="dxa"/>
                  <w:vAlign w:val="center"/>
                </w:tcPr>
                <w:p w14:paraId="135215B4">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c>
                <w:tcPr>
                  <w:tcW w:w="1319" w:type="dxa"/>
                  <w:vAlign w:val="center"/>
                </w:tcPr>
                <w:p w14:paraId="124EC60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0.5</w:t>
                  </w:r>
                </w:p>
              </w:tc>
              <w:tc>
                <w:tcPr>
                  <w:tcW w:w="1319" w:type="dxa"/>
                  <w:tcBorders>
                    <w:right w:val="nil"/>
                  </w:tcBorders>
                  <w:vAlign w:val="center"/>
                </w:tcPr>
                <w:p w14:paraId="670C69A9">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达标</w:t>
                  </w:r>
                </w:p>
              </w:tc>
            </w:tr>
            <w:tr w14:paraId="3501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54" w:type="dxa"/>
                  <w:tcBorders>
                    <w:left w:val="nil"/>
                  </w:tcBorders>
                  <w:vAlign w:val="center"/>
                </w:tcPr>
                <w:p w14:paraId="6DDF7F14">
                  <w:pPr>
                    <w:pStyle w:val="20"/>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color w:val="auto"/>
                      <w:spacing w:val="0"/>
                      <w:position w:val="0"/>
                      <w:sz w:val="18"/>
                      <w:szCs w:val="18"/>
                      <w:lang w:val="en-US" w:eastAsia="zh-CN"/>
                    </w:rPr>
                  </w:pPr>
                  <w:r>
                    <w:rPr>
                      <w:rFonts w:hint="eastAsia" w:ascii="宋体" w:hAnsi="宋体" w:eastAsia="宋体" w:cs="宋体"/>
                      <w:color w:val="auto"/>
                      <w:spacing w:val="0"/>
                      <w:position w:val="0"/>
                      <w:sz w:val="18"/>
                      <w:szCs w:val="18"/>
                      <w:lang w:val="en-US" w:eastAsia="zh-CN"/>
                    </w:rPr>
                    <w:t>锑</w:t>
                  </w:r>
                </w:p>
              </w:tc>
              <w:tc>
                <w:tcPr>
                  <w:tcW w:w="1184" w:type="dxa"/>
                  <w:vAlign w:val="center"/>
                </w:tcPr>
                <w:p w14:paraId="403FEFC0">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1.13</w:t>
                  </w:r>
                </w:p>
              </w:tc>
              <w:tc>
                <w:tcPr>
                  <w:tcW w:w="1319" w:type="dxa"/>
                  <w:vAlign w:val="center"/>
                </w:tcPr>
                <w:p w14:paraId="7AC9A80B">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319" w:type="dxa"/>
                  <w:vAlign w:val="center"/>
                </w:tcPr>
                <w:p w14:paraId="7F760892">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319" w:type="dxa"/>
                  <w:vAlign w:val="center"/>
                </w:tcPr>
                <w:p w14:paraId="68CFD53E">
                  <w:pPr>
                    <w:pStyle w:val="30"/>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319" w:type="dxa"/>
                  <w:tcBorders>
                    <w:right w:val="nil"/>
                  </w:tcBorders>
                  <w:vAlign w:val="center"/>
                </w:tcPr>
                <w:p w14:paraId="3E7E6AF3">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r>
          </w:tbl>
          <w:p w14:paraId="4A9AD8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根据上表尾渣浸出毒性鉴别结果：</w:t>
            </w:r>
          </w:p>
          <w:p w14:paraId="3EE336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default" w:cs="Times New Roman"/>
                <w:color w:val="auto"/>
                <w:sz w:val="24"/>
                <w:szCs w:val="24"/>
                <w:lang w:val="en-US" w:eastAsia="zh-CN"/>
              </w:rPr>
              <w:t>1</w:t>
            </w:r>
            <w:r>
              <w:rPr>
                <w:rFonts w:hint="eastAsia" w:cs="Times New Roman"/>
                <w:color w:val="auto"/>
                <w:sz w:val="24"/>
                <w:szCs w:val="24"/>
                <w:lang w:val="en-US" w:eastAsia="zh-CN"/>
              </w:rPr>
              <w:t>）按《危险废物鉴别标准</w:t>
            </w:r>
            <w:r>
              <w:rPr>
                <w:rFonts w:hint="default" w:cs="Times New Roman"/>
                <w:color w:val="auto"/>
                <w:sz w:val="24"/>
                <w:szCs w:val="24"/>
                <w:lang w:val="en-US" w:eastAsia="zh-CN"/>
              </w:rPr>
              <w:t>-</w:t>
            </w:r>
            <w:r>
              <w:rPr>
                <w:rFonts w:hint="eastAsia" w:cs="Times New Roman"/>
                <w:color w:val="auto"/>
                <w:sz w:val="24"/>
                <w:szCs w:val="24"/>
                <w:lang w:val="en-US" w:eastAsia="zh-CN"/>
              </w:rPr>
              <w:t>浸出毒性鉴别》（</w:t>
            </w:r>
            <w:r>
              <w:rPr>
                <w:rFonts w:hint="default" w:cs="Times New Roman"/>
                <w:color w:val="auto"/>
                <w:sz w:val="24"/>
                <w:szCs w:val="24"/>
                <w:lang w:val="en-US" w:eastAsia="zh-CN"/>
              </w:rPr>
              <w:t>GB5085.3—2007</w:t>
            </w:r>
            <w:r>
              <w:rPr>
                <w:rFonts w:hint="eastAsia" w:cs="Times New Roman"/>
                <w:color w:val="auto"/>
                <w:sz w:val="24"/>
                <w:szCs w:val="24"/>
                <w:lang w:val="en-US" w:eastAsia="zh-CN"/>
              </w:rPr>
              <w:t>）和《危险废物鉴别技术规范》（</w:t>
            </w:r>
            <w:r>
              <w:rPr>
                <w:rFonts w:hint="default" w:cs="Times New Roman"/>
                <w:color w:val="auto"/>
                <w:sz w:val="24"/>
                <w:szCs w:val="24"/>
                <w:lang w:val="en-US" w:eastAsia="zh-CN"/>
              </w:rPr>
              <w:t>HJ</w:t>
            </w:r>
            <w:r>
              <w:rPr>
                <w:rFonts w:hint="eastAsia" w:cs="Times New Roman"/>
                <w:color w:val="auto"/>
                <w:sz w:val="24"/>
                <w:szCs w:val="24"/>
                <w:lang w:val="en-US" w:eastAsia="zh-CN"/>
              </w:rPr>
              <w:t xml:space="preserve"> </w:t>
            </w:r>
            <w:r>
              <w:rPr>
                <w:rFonts w:hint="default" w:cs="Times New Roman"/>
                <w:color w:val="auto"/>
                <w:sz w:val="24"/>
                <w:szCs w:val="24"/>
                <w:lang w:val="en-US" w:eastAsia="zh-CN"/>
              </w:rPr>
              <w:t>298-20</w:t>
            </w:r>
            <w:r>
              <w:rPr>
                <w:rFonts w:hint="eastAsia" w:cs="Times New Roman"/>
                <w:color w:val="auto"/>
                <w:sz w:val="24"/>
                <w:szCs w:val="24"/>
                <w:lang w:val="en-US" w:eastAsia="zh-CN"/>
              </w:rPr>
              <w:t>19）标准考核：尾渣不属于危险废弃物。</w:t>
            </w:r>
          </w:p>
          <w:p w14:paraId="1E8B97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default" w:cs="Times New Roman"/>
                <w:color w:val="auto"/>
                <w:sz w:val="24"/>
                <w:szCs w:val="24"/>
                <w:lang w:val="en-US" w:eastAsia="zh-CN"/>
              </w:rPr>
              <w:t>2</w:t>
            </w:r>
            <w:r>
              <w:rPr>
                <w:rFonts w:hint="eastAsia" w:cs="Times New Roman"/>
                <w:color w:val="auto"/>
                <w:sz w:val="24"/>
                <w:szCs w:val="24"/>
                <w:lang w:val="en-US" w:eastAsia="zh-CN"/>
              </w:rPr>
              <w:t>）按《一般工业固体废物贮存和填埋污染控制标准》</w:t>
            </w:r>
            <w:r>
              <w:rPr>
                <w:rFonts w:hint="default" w:cs="Times New Roman"/>
                <w:color w:val="auto"/>
                <w:sz w:val="24"/>
                <w:szCs w:val="24"/>
                <w:lang w:val="en-US" w:eastAsia="zh-CN"/>
              </w:rPr>
              <w:t>(GB18599-</w:t>
            </w:r>
            <w:r>
              <w:rPr>
                <w:rFonts w:hint="eastAsia" w:cs="Times New Roman"/>
                <w:color w:val="auto"/>
                <w:sz w:val="24"/>
                <w:szCs w:val="24"/>
                <w:lang w:val="en-US" w:eastAsia="zh-CN"/>
              </w:rPr>
              <w:t>2020</w:t>
            </w:r>
            <w:r>
              <w:rPr>
                <w:rFonts w:hint="default" w:cs="Times New Roman"/>
                <w:color w:val="auto"/>
                <w:sz w:val="24"/>
                <w:szCs w:val="24"/>
                <w:lang w:val="en-US" w:eastAsia="zh-CN"/>
              </w:rPr>
              <w:t>)</w:t>
            </w:r>
            <w:r>
              <w:rPr>
                <w:rFonts w:hint="eastAsia" w:cs="Times New Roman"/>
                <w:color w:val="auto"/>
                <w:sz w:val="24"/>
                <w:szCs w:val="24"/>
                <w:lang w:val="en-US" w:eastAsia="zh-CN"/>
              </w:rPr>
              <w:t>和《污水综合排放标准》（</w:t>
            </w:r>
            <w:r>
              <w:rPr>
                <w:rFonts w:hint="default" w:cs="Times New Roman"/>
                <w:color w:val="auto"/>
                <w:sz w:val="24"/>
                <w:szCs w:val="24"/>
                <w:lang w:val="en-US" w:eastAsia="zh-CN"/>
              </w:rPr>
              <w:t>GB8978-1996</w:t>
            </w:r>
            <w:r>
              <w:rPr>
                <w:rFonts w:hint="eastAsia" w:cs="Times New Roman"/>
                <w:color w:val="auto"/>
                <w:sz w:val="24"/>
                <w:szCs w:val="24"/>
                <w:lang w:val="en-US" w:eastAsia="zh-CN"/>
              </w:rPr>
              <w:t>）标准考核：尾渣属于第Ⅰ类一般工业固体废物。</w:t>
            </w:r>
          </w:p>
          <w:p w14:paraId="1C6565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7、物料平衡</w:t>
            </w:r>
          </w:p>
          <w:p w14:paraId="5DBAD5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项目物料平衡情况见下表。</w:t>
            </w:r>
          </w:p>
          <w:p w14:paraId="26440FAD">
            <w:pPr>
              <w:pStyle w:val="38"/>
              <w:spacing w:line="360" w:lineRule="auto"/>
              <w:rPr>
                <w:rFonts w:hint="eastAsia" w:ascii="黑体" w:hAnsi="黑体" w:cs="黑体"/>
                <w:b w:val="0"/>
                <w:bCs/>
                <w:color w:val="auto"/>
                <w:lang w:val="en-US" w:eastAsia="zh-CN"/>
              </w:rPr>
            </w:pPr>
            <w:r>
              <w:rPr>
                <w:rFonts w:hint="eastAsia" w:ascii="黑体" w:hAnsi="黑体" w:eastAsia="黑体" w:cs="黑体"/>
                <w:b w:val="0"/>
                <w:bCs/>
                <w:color w:val="auto"/>
              </w:rPr>
              <w:t>表2-</w:t>
            </w:r>
            <w:r>
              <w:rPr>
                <w:rFonts w:hint="eastAsia" w:ascii="黑体" w:hAnsi="黑体" w:cs="黑体"/>
                <w:b w:val="0"/>
                <w:bCs/>
                <w:color w:val="auto"/>
                <w:lang w:val="en-US" w:eastAsia="zh-CN"/>
              </w:rPr>
              <w:t>11</w:t>
            </w:r>
            <w:r>
              <w:rPr>
                <w:rFonts w:hint="eastAsia" w:ascii="黑体" w:hAnsi="黑体" w:eastAsia="黑体" w:cs="黑体"/>
                <w:b w:val="0"/>
                <w:bCs/>
                <w:color w:val="auto"/>
              </w:rPr>
              <w:t xml:space="preserve"> </w:t>
            </w:r>
            <w:r>
              <w:rPr>
                <w:rFonts w:hint="eastAsia" w:ascii="黑体" w:hAnsi="黑体" w:cs="黑体"/>
                <w:b w:val="0"/>
                <w:bCs/>
                <w:color w:val="auto"/>
                <w:lang w:val="en-US" w:eastAsia="zh-CN"/>
              </w:rPr>
              <w:t>物料平衡表</w:t>
            </w:r>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2419"/>
              <w:gridCol w:w="1496"/>
              <w:gridCol w:w="2612"/>
            </w:tblGrid>
            <w:tr w14:paraId="18F9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4" w:type="dxa"/>
                  <w:gridSpan w:val="2"/>
                  <w:tcBorders>
                    <w:left w:val="nil"/>
                  </w:tcBorders>
                  <w:vAlign w:val="center"/>
                </w:tcPr>
                <w:p w14:paraId="04819CEB">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投入</w:t>
                  </w:r>
                </w:p>
              </w:tc>
              <w:tc>
                <w:tcPr>
                  <w:tcW w:w="4108" w:type="dxa"/>
                  <w:gridSpan w:val="2"/>
                  <w:tcBorders>
                    <w:right w:val="nil"/>
                  </w:tcBorders>
                  <w:vAlign w:val="center"/>
                </w:tcPr>
                <w:p w14:paraId="3525798D">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产出</w:t>
                  </w:r>
                </w:p>
              </w:tc>
            </w:tr>
            <w:tr w14:paraId="37D8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left w:val="nil"/>
                  </w:tcBorders>
                  <w:vAlign w:val="center"/>
                </w:tcPr>
                <w:p w14:paraId="425929BD">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物料名称</w:t>
                  </w:r>
                </w:p>
              </w:tc>
              <w:tc>
                <w:tcPr>
                  <w:tcW w:w="2419" w:type="dxa"/>
                  <w:vAlign w:val="center"/>
                </w:tcPr>
                <w:p w14:paraId="7DB6491E">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t/a</w:t>
                  </w:r>
                </w:p>
              </w:tc>
              <w:tc>
                <w:tcPr>
                  <w:tcW w:w="1496" w:type="dxa"/>
                  <w:vAlign w:val="center"/>
                </w:tcPr>
                <w:p w14:paraId="3D01EFA5">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物料名称</w:t>
                  </w:r>
                </w:p>
              </w:tc>
              <w:tc>
                <w:tcPr>
                  <w:tcW w:w="2612" w:type="dxa"/>
                  <w:tcBorders>
                    <w:right w:val="nil"/>
                  </w:tcBorders>
                  <w:vAlign w:val="center"/>
                </w:tcPr>
                <w:p w14:paraId="4BCA5954">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t/a</w:t>
                  </w:r>
                </w:p>
              </w:tc>
            </w:tr>
            <w:tr w14:paraId="2302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left w:val="nil"/>
                  </w:tcBorders>
                  <w:vAlign w:val="center"/>
                </w:tcPr>
                <w:p w14:paraId="34F29793">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铜冶炼渣</w:t>
                  </w:r>
                </w:p>
              </w:tc>
              <w:tc>
                <w:tcPr>
                  <w:tcW w:w="2419" w:type="dxa"/>
                  <w:vAlign w:val="center"/>
                </w:tcPr>
                <w:p w14:paraId="0054551A">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561000</w:t>
                  </w:r>
                </w:p>
              </w:tc>
              <w:tc>
                <w:tcPr>
                  <w:tcW w:w="1496" w:type="dxa"/>
                  <w:vAlign w:val="center"/>
                </w:tcPr>
                <w:p w14:paraId="6068EEC6">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铜精矿</w:t>
                  </w:r>
                </w:p>
              </w:tc>
              <w:tc>
                <w:tcPr>
                  <w:tcW w:w="2612" w:type="dxa"/>
                  <w:tcBorders>
                    <w:right w:val="nil"/>
                  </w:tcBorders>
                  <w:vAlign w:val="center"/>
                </w:tcPr>
                <w:p w14:paraId="4993B8A3">
                  <w:pPr>
                    <w:pStyle w:val="32"/>
                    <w:rPr>
                      <w:rFonts w:hint="default" w:ascii="Times New Roman" w:hAnsi="Times New Roman" w:eastAsia="宋体" w:cs="Times New Roman"/>
                      <w:color w:val="auto"/>
                      <w:sz w:val="18"/>
                      <w:szCs w:val="18"/>
                      <w:lang w:val="en-US" w:eastAsia="zh-CN"/>
                    </w:rPr>
                  </w:pPr>
                  <w:r>
                    <w:rPr>
                      <w:rFonts w:hint="eastAsia" w:cs="Times New Roman"/>
                      <w:b w:val="0"/>
                      <w:bCs w:val="0"/>
                      <w:sz w:val="18"/>
                      <w:szCs w:val="18"/>
                      <w:lang w:val="en-US" w:eastAsia="zh-CN"/>
                    </w:rPr>
                    <w:t>65412.6</w:t>
                  </w:r>
                </w:p>
              </w:tc>
            </w:tr>
            <w:tr w14:paraId="5763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left w:val="nil"/>
                  </w:tcBorders>
                  <w:vAlign w:val="center"/>
                </w:tcPr>
                <w:p w14:paraId="00B3A0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sz w:val="18"/>
                      <w:szCs w:val="18"/>
                    </w:rPr>
                    <w:t>硫化钠</w:t>
                  </w:r>
                </w:p>
              </w:tc>
              <w:tc>
                <w:tcPr>
                  <w:tcW w:w="2419" w:type="dxa"/>
                  <w:vAlign w:val="center"/>
                </w:tcPr>
                <w:p w14:paraId="064523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val="0"/>
                      <w:color w:val="auto"/>
                      <w:sz w:val="18"/>
                      <w:szCs w:val="18"/>
                      <w:highlight w:val="none"/>
                      <w:lang w:val="en-US" w:eastAsia="zh-CN"/>
                    </w:rPr>
                    <w:t>134.64</w:t>
                  </w:r>
                </w:p>
              </w:tc>
              <w:tc>
                <w:tcPr>
                  <w:tcW w:w="1496" w:type="dxa"/>
                  <w:vAlign w:val="center"/>
                </w:tcPr>
                <w:p w14:paraId="354509F3">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铁精矿</w:t>
                  </w:r>
                </w:p>
              </w:tc>
              <w:tc>
                <w:tcPr>
                  <w:tcW w:w="2612" w:type="dxa"/>
                  <w:tcBorders>
                    <w:right w:val="nil"/>
                  </w:tcBorders>
                  <w:vAlign w:val="center"/>
                </w:tcPr>
                <w:p w14:paraId="2C4D08E5">
                  <w:pPr>
                    <w:pStyle w:val="32"/>
                    <w:rPr>
                      <w:rFonts w:hint="default" w:ascii="Times New Roman" w:hAnsi="Times New Roman" w:eastAsia="宋体" w:cs="Times New Roman"/>
                      <w:color w:val="auto"/>
                      <w:sz w:val="18"/>
                      <w:szCs w:val="18"/>
                      <w:lang w:val="en-US" w:eastAsia="zh-CN"/>
                    </w:rPr>
                  </w:pPr>
                  <w:r>
                    <w:rPr>
                      <w:rFonts w:hint="eastAsia" w:cs="Times New Roman"/>
                      <w:b w:val="0"/>
                      <w:bCs w:val="0"/>
                      <w:sz w:val="18"/>
                      <w:szCs w:val="18"/>
                      <w:lang w:val="en-US" w:eastAsia="zh-CN"/>
                    </w:rPr>
                    <w:t>250037.7</w:t>
                  </w:r>
                </w:p>
              </w:tc>
            </w:tr>
            <w:tr w14:paraId="7CFF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left w:val="nil"/>
                  </w:tcBorders>
                  <w:vAlign w:val="center"/>
                </w:tcPr>
                <w:p w14:paraId="6D09DB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sz w:val="18"/>
                      <w:szCs w:val="18"/>
                    </w:rPr>
                    <w:t>黄药</w:t>
                  </w:r>
                </w:p>
              </w:tc>
              <w:tc>
                <w:tcPr>
                  <w:tcW w:w="2419" w:type="dxa"/>
                  <w:vAlign w:val="center"/>
                </w:tcPr>
                <w:p w14:paraId="37A2BA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val="0"/>
                      <w:color w:val="auto"/>
                      <w:sz w:val="18"/>
                      <w:szCs w:val="18"/>
                      <w:highlight w:val="none"/>
                      <w:lang w:val="en-US" w:eastAsia="zh-CN"/>
                    </w:rPr>
                    <w:t>297.33</w:t>
                  </w:r>
                </w:p>
              </w:tc>
              <w:tc>
                <w:tcPr>
                  <w:tcW w:w="1496" w:type="dxa"/>
                  <w:vAlign w:val="center"/>
                </w:tcPr>
                <w:p w14:paraId="44ADCC50">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尾矿</w:t>
                  </w:r>
                </w:p>
              </w:tc>
              <w:tc>
                <w:tcPr>
                  <w:tcW w:w="2612" w:type="dxa"/>
                  <w:tcBorders>
                    <w:right w:val="nil"/>
                  </w:tcBorders>
                  <w:vAlign w:val="center"/>
                </w:tcPr>
                <w:p w14:paraId="028DB9F7">
                  <w:pPr>
                    <w:pStyle w:val="32"/>
                    <w:rPr>
                      <w:rFonts w:hint="default" w:ascii="Times New Roman" w:hAnsi="Times New Roman" w:eastAsia="宋体" w:cs="Times New Roman"/>
                      <w:color w:val="auto"/>
                      <w:sz w:val="18"/>
                      <w:szCs w:val="18"/>
                      <w:lang w:val="en-US" w:eastAsia="zh-CN"/>
                    </w:rPr>
                  </w:pPr>
                  <w:r>
                    <w:rPr>
                      <w:rFonts w:hint="eastAsia" w:cs="Times New Roman"/>
                      <w:b w:val="0"/>
                      <w:bCs w:val="0"/>
                      <w:sz w:val="18"/>
                      <w:szCs w:val="18"/>
                      <w:lang w:val="en-US" w:eastAsia="zh-CN"/>
                    </w:rPr>
                    <w:t>245549.7</w:t>
                  </w:r>
                </w:p>
              </w:tc>
            </w:tr>
            <w:tr w14:paraId="1B0A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left w:val="nil"/>
                  </w:tcBorders>
                  <w:vAlign w:val="center"/>
                </w:tcPr>
                <w:p w14:paraId="7D4601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sz w:val="18"/>
                      <w:szCs w:val="18"/>
                    </w:rPr>
                    <w:t>丁铵黑药</w:t>
                  </w:r>
                </w:p>
              </w:tc>
              <w:tc>
                <w:tcPr>
                  <w:tcW w:w="2419" w:type="dxa"/>
                  <w:vAlign w:val="center"/>
                </w:tcPr>
                <w:p w14:paraId="6B117D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val="0"/>
                      <w:color w:val="auto"/>
                      <w:sz w:val="18"/>
                      <w:szCs w:val="18"/>
                      <w:highlight w:val="none"/>
                      <w:lang w:val="en-US" w:eastAsia="zh-CN"/>
                    </w:rPr>
                    <w:t>50.49</w:t>
                  </w:r>
                </w:p>
              </w:tc>
              <w:tc>
                <w:tcPr>
                  <w:tcW w:w="1496" w:type="dxa"/>
                  <w:vAlign w:val="center"/>
                </w:tcPr>
                <w:p w14:paraId="7B1F5967">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有组织粉尘</w:t>
                  </w:r>
                </w:p>
              </w:tc>
              <w:tc>
                <w:tcPr>
                  <w:tcW w:w="2612" w:type="dxa"/>
                  <w:tcBorders>
                    <w:right w:val="nil"/>
                  </w:tcBorders>
                  <w:vAlign w:val="center"/>
                </w:tcPr>
                <w:p w14:paraId="367C4AF2">
                  <w:pPr>
                    <w:pStyle w:val="30"/>
                    <w:ind w:left="0" w:leftChars="0" w:right="0" w:rightChars="0"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3.15</w:t>
                  </w:r>
                </w:p>
              </w:tc>
            </w:tr>
            <w:tr w14:paraId="6E49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left w:val="nil"/>
                  </w:tcBorders>
                  <w:vAlign w:val="center"/>
                </w:tcPr>
                <w:p w14:paraId="1F6B39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sz w:val="18"/>
                      <w:szCs w:val="18"/>
                    </w:rPr>
                    <w:t>2#油</w:t>
                  </w:r>
                </w:p>
              </w:tc>
              <w:tc>
                <w:tcPr>
                  <w:tcW w:w="2419" w:type="dxa"/>
                  <w:vAlign w:val="center"/>
                </w:tcPr>
                <w:p w14:paraId="57D768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val="0"/>
                      <w:color w:val="auto"/>
                      <w:sz w:val="18"/>
                      <w:szCs w:val="18"/>
                      <w:highlight w:val="none"/>
                      <w:lang w:val="en-US" w:eastAsia="zh-CN"/>
                    </w:rPr>
                    <w:t>72.93</w:t>
                  </w:r>
                </w:p>
              </w:tc>
              <w:tc>
                <w:tcPr>
                  <w:tcW w:w="1496" w:type="dxa"/>
                  <w:vAlign w:val="center"/>
                </w:tcPr>
                <w:p w14:paraId="1CC0A9E8">
                  <w:pPr>
                    <w:pStyle w:val="3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无组织粉尘</w:t>
                  </w:r>
                </w:p>
              </w:tc>
              <w:tc>
                <w:tcPr>
                  <w:tcW w:w="2612" w:type="dxa"/>
                  <w:tcBorders>
                    <w:right w:val="nil"/>
                  </w:tcBorders>
                  <w:vAlign w:val="center"/>
                </w:tcPr>
                <w:p w14:paraId="175C286F">
                  <w:pPr>
                    <w:pStyle w:val="30"/>
                    <w:ind w:left="0" w:leftChars="0" w:right="0" w:rightChars="0"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10.73</w:t>
                  </w:r>
                </w:p>
              </w:tc>
            </w:tr>
            <w:tr w14:paraId="0928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left w:val="nil"/>
                  </w:tcBorders>
                  <w:vAlign w:val="center"/>
                </w:tcPr>
                <w:p w14:paraId="606E13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18"/>
                      <w:szCs w:val="18"/>
                      <w:lang w:val="en-US" w:eastAsia="zh-CN"/>
                    </w:rPr>
                  </w:pPr>
                  <w:r>
                    <w:rPr>
                      <w:rFonts w:hint="eastAsia"/>
                      <w:sz w:val="18"/>
                      <w:szCs w:val="18"/>
                      <w:lang w:val="en-US" w:eastAsia="zh-CN"/>
                    </w:rPr>
                    <w:t>合计</w:t>
                  </w:r>
                </w:p>
              </w:tc>
              <w:tc>
                <w:tcPr>
                  <w:tcW w:w="2419" w:type="dxa"/>
                  <w:vAlign w:val="center"/>
                </w:tcPr>
                <w:p w14:paraId="12C49F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561555.39</w:t>
                  </w:r>
                </w:p>
              </w:tc>
              <w:tc>
                <w:tcPr>
                  <w:tcW w:w="1496" w:type="dxa"/>
                  <w:vAlign w:val="center"/>
                </w:tcPr>
                <w:p w14:paraId="18DE170D">
                  <w:pPr>
                    <w:pStyle w:val="30"/>
                    <w:ind w:left="0" w:leftChars="0" w:right="0" w:rightChars="0"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合计</w:t>
                  </w:r>
                </w:p>
              </w:tc>
              <w:tc>
                <w:tcPr>
                  <w:tcW w:w="2612" w:type="dxa"/>
                  <w:tcBorders>
                    <w:right w:val="nil"/>
                  </w:tcBorders>
                  <w:vAlign w:val="center"/>
                </w:tcPr>
                <w:p w14:paraId="66B51F06">
                  <w:pPr>
                    <w:pStyle w:val="30"/>
                    <w:ind w:left="0" w:leftChars="0" w:right="0" w:rightChars="0" w:firstLine="0" w:firstLineChars="0"/>
                    <w:jc w:val="center"/>
                    <w:rPr>
                      <w:rFonts w:hint="eastAsia" w:cs="Times New Roman"/>
                      <w:color w:val="auto"/>
                      <w:sz w:val="18"/>
                      <w:szCs w:val="18"/>
                      <w:lang w:val="en-US" w:eastAsia="zh-CN"/>
                    </w:rPr>
                  </w:pPr>
                  <w:r>
                    <w:rPr>
                      <w:rFonts w:hint="eastAsia" w:cs="Times New Roman"/>
                      <w:b w:val="0"/>
                      <w:bCs w:val="0"/>
                      <w:color w:val="auto"/>
                      <w:sz w:val="18"/>
                      <w:szCs w:val="18"/>
                      <w:highlight w:val="none"/>
                      <w:lang w:val="en-US" w:eastAsia="zh-CN"/>
                    </w:rPr>
                    <w:t>561555.39</w:t>
                  </w:r>
                </w:p>
              </w:tc>
            </w:tr>
          </w:tbl>
          <w:p w14:paraId="041F8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根据项目初步设计和建设单位提供资料，按照</w:t>
            </w:r>
            <w:r>
              <w:rPr>
                <w:rFonts w:hint="eastAsia" w:cs="Times New Roman"/>
                <w:color w:val="auto"/>
                <w:kern w:val="0"/>
                <w:sz w:val="24"/>
                <w:szCs w:val="24"/>
                <w:highlight w:val="none"/>
                <w:lang w:val="en-US" w:eastAsia="zh-CN"/>
              </w:rPr>
              <w:t>含量</w:t>
            </w:r>
            <w:r>
              <w:rPr>
                <w:rFonts w:hint="eastAsia" w:ascii="Times New Roman" w:hAnsi="Times New Roman" w:eastAsia="宋体" w:cs="Times New Roman"/>
                <w:color w:val="auto"/>
                <w:kern w:val="0"/>
                <w:sz w:val="24"/>
                <w:szCs w:val="24"/>
                <w:highlight w:val="none"/>
                <w:lang w:val="en-US" w:eastAsia="zh-CN"/>
              </w:rPr>
              <w:t>百分比计算项目铜元素和铁元素平衡</w:t>
            </w:r>
            <w:r>
              <w:rPr>
                <w:rFonts w:hint="eastAsia" w:cs="Times New Roman"/>
                <w:color w:val="auto"/>
                <w:kern w:val="0"/>
                <w:sz w:val="24"/>
                <w:szCs w:val="24"/>
                <w:highlight w:val="none"/>
                <w:lang w:val="en-US" w:eastAsia="zh-CN"/>
              </w:rPr>
              <w:t>。</w:t>
            </w:r>
          </w:p>
          <w:p w14:paraId="79A279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（1）项目铜元素平衡详见下图：</w:t>
            </w:r>
          </w:p>
          <w:p w14:paraId="3D9EF3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object>
                <v:shape id="_x0000_i1025" o:spt="75" type="#_x0000_t75" style="height:130.05pt;width:375.6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14:paraId="6C4CCB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图2-1铜元素平衡（t/</w:t>
            </w:r>
            <w:r>
              <w:rPr>
                <w:rFonts w:hint="eastAsia" w:cs="Times New Roman"/>
                <w:b/>
                <w:bCs/>
                <w:color w:val="auto"/>
                <w:sz w:val="24"/>
                <w:szCs w:val="24"/>
                <w:highlight w:val="none"/>
                <w:lang w:val="en-US" w:eastAsia="zh-CN"/>
              </w:rPr>
              <w:t>a</w:t>
            </w:r>
            <w:r>
              <w:rPr>
                <w:rFonts w:hint="eastAsia" w:ascii="Times New Roman" w:hAnsi="Times New Roman" w:eastAsia="宋体" w:cs="Times New Roman"/>
                <w:b/>
                <w:bCs/>
                <w:color w:val="auto"/>
                <w:sz w:val="24"/>
                <w:szCs w:val="24"/>
                <w:highlight w:val="none"/>
                <w:lang w:val="en-US" w:eastAsia="zh-CN"/>
              </w:rPr>
              <w:t>）</w:t>
            </w:r>
          </w:p>
          <w:p w14:paraId="7007DF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（2）项目铁元素平衡详见下图：</w:t>
            </w:r>
          </w:p>
          <w:p w14:paraId="3D0D064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object>
                <v:shape id="_x0000_i1026" o:spt="75" type="#_x0000_t75" style="height:155.3pt;width:375.6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14:paraId="0BA78B6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图2-1铁元素平衡（t/</w:t>
            </w:r>
            <w:r>
              <w:rPr>
                <w:rFonts w:hint="eastAsia" w:cs="Times New Roman"/>
                <w:b/>
                <w:bCs/>
                <w:color w:val="auto"/>
                <w:sz w:val="24"/>
                <w:szCs w:val="24"/>
                <w:highlight w:val="none"/>
                <w:lang w:val="en-US" w:eastAsia="zh-CN"/>
              </w:rPr>
              <w:t>a</w:t>
            </w:r>
            <w:r>
              <w:rPr>
                <w:rFonts w:hint="eastAsia" w:ascii="Times New Roman" w:hAnsi="Times New Roman" w:eastAsia="宋体" w:cs="Times New Roman"/>
                <w:b/>
                <w:bCs/>
                <w:color w:val="auto"/>
                <w:sz w:val="24"/>
                <w:szCs w:val="24"/>
                <w:highlight w:val="none"/>
                <w:lang w:val="en-US" w:eastAsia="zh-CN"/>
              </w:rPr>
              <w:t>）</w:t>
            </w:r>
          </w:p>
          <w:p w14:paraId="57B317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水平衡</w:t>
            </w:r>
          </w:p>
          <w:p w14:paraId="09B1ED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w:t>
            </w:r>
            <w:r>
              <w:rPr>
                <w:rFonts w:hint="eastAsia" w:cs="Times New Roman"/>
                <w:color w:val="auto"/>
                <w:kern w:val="0"/>
                <w:sz w:val="24"/>
                <w:szCs w:val="24"/>
                <w:highlight w:val="none"/>
                <w:lang w:val="en-US" w:eastAsia="zh-CN"/>
              </w:rPr>
              <w:t>运营期</w:t>
            </w:r>
            <w:r>
              <w:rPr>
                <w:rFonts w:hint="eastAsia" w:ascii="Times New Roman" w:hAnsi="Times New Roman" w:eastAsia="宋体" w:cs="Times New Roman"/>
                <w:color w:val="auto"/>
                <w:kern w:val="0"/>
                <w:sz w:val="24"/>
                <w:szCs w:val="24"/>
                <w:highlight w:val="none"/>
                <w:lang w:val="en-US" w:eastAsia="zh-CN"/>
              </w:rPr>
              <w:t>用水主要</w:t>
            </w:r>
            <w:r>
              <w:rPr>
                <w:rFonts w:hint="eastAsia" w:cs="Times New Roman"/>
                <w:color w:val="auto"/>
                <w:kern w:val="0"/>
                <w:sz w:val="24"/>
                <w:szCs w:val="24"/>
                <w:highlight w:val="none"/>
                <w:lang w:val="en-US" w:eastAsia="zh-CN"/>
              </w:rPr>
              <w:t>包括磨浮用水</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设备冷却水</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渣浆泵轴封水、</w:t>
            </w:r>
            <w:r>
              <w:rPr>
                <w:rFonts w:hint="eastAsia" w:ascii="Times New Roman" w:hAnsi="Times New Roman" w:eastAsia="宋体" w:cs="Times New Roman"/>
                <w:color w:val="auto"/>
                <w:kern w:val="0"/>
                <w:sz w:val="24"/>
                <w:szCs w:val="24"/>
                <w:highlight w:val="none"/>
                <w:lang w:val="en-US" w:eastAsia="zh-CN"/>
              </w:rPr>
              <w:t>缓冷场</w:t>
            </w:r>
            <w:r>
              <w:rPr>
                <w:rFonts w:hint="eastAsia" w:cs="Times New Roman"/>
                <w:color w:val="auto"/>
                <w:kern w:val="0"/>
                <w:sz w:val="24"/>
                <w:szCs w:val="24"/>
                <w:highlight w:val="none"/>
                <w:lang w:val="en-US" w:eastAsia="zh-CN"/>
              </w:rPr>
              <w:t>冷却用水、选矿药剂制备用水、车辆冲洗用水以及工作人员生活用水</w:t>
            </w:r>
            <w:r>
              <w:rPr>
                <w:rFonts w:hint="eastAsia" w:ascii="Times New Roman" w:hAnsi="Times New Roman" w:eastAsia="宋体" w:cs="Times New Roman"/>
                <w:color w:val="auto"/>
                <w:kern w:val="0"/>
                <w:sz w:val="24"/>
                <w:szCs w:val="24"/>
                <w:highlight w:val="none"/>
                <w:lang w:val="en-US" w:eastAsia="zh-CN"/>
              </w:rPr>
              <w:t>。</w:t>
            </w:r>
          </w:p>
          <w:p w14:paraId="6B20D055">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（1）磨浮用水</w:t>
            </w:r>
          </w:p>
          <w:p w14:paraId="4CE773B3">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根据项目资料，项目磨矿工段和浮选工段用水总量为7444.76m³/d，其中，工艺回水量为7151m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/d，铜</w:t>
            </w:r>
            <w:r>
              <w:rPr>
                <w:rFonts w:hint="eastAsia"/>
                <w:sz w:val="24"/>
                <w:szCs w:val="24"/>
              </w:rPr>
              <w:t>精矿浓缩厂前回水量</w:t>
            </w:r>
            <w:r>
              <w:rPr>
                <w:rFonts w:hint="eastAsia"/>
                <w:sz w:val="24"/>
                <w:szCs w:val="24"/>
                <w:lang w:val="en-US" w:eastAsia="zh-CN"/>
              </w:rPr>
              <w:t>897</w:t>
            </w:r>
            <w:r>
              <w:rPr>
                <w:rFonts w:hint="eastAsia"/>
                <w:sz w:val="24"/>
                <w:szCs w:val="24"/>
              </w:rPr>
              <w:t>m</w:t>
            </w:r>
            <w:r>
              <w:rPr>
                <w:rFonts w:hint="eastAsia"/>
                <w:sz w:val="24"/>
                <w:szCs w:val="24"/>
                <w:vertAlign w:val="superscript"/>
              </w:rPr>
              <w:t>3</w:t>
            </w:r>
            <w:r>
              <w:rPr>
                <w:rFonts w:hint="eastAsia"/>
                <w:sz w:val="24"/>
                <w:szCs w:val="24"/>
              </w:rPr>
              <w:t>/d，</w:t>
            </w:r>
            <w:r>
              <w:rPr>
                <w:rFonts w:hint="eastAsia" w:cs="Times New Roman"/>
                <w:color w:val="auto"/>
                <w:kern w:val="0"/>
                <w:sz w:val="24"/>
                <w:szCs w:val="24"/>
                <w:highlight w:val="none"/>
                <w:lang w:val="en-US" w:eastAsia="zh-CN"/>
              </w:rPr>
              <w:t>铁</w:t>
            </w:r>
            <w:r>
              <w:rPr>
                <w:rFonts w:hint="eastAsia"/>
                <w:sz w:val="24"/>
                <w:szCs w:val="24"/>
              </w:rPr>
              <w:t>精矿浓缩厂前回水量</w:t>
            </w:r>
            <w:r>
              <w:rPr>
                <w:rFonts w:hint="eastAsia"/>
                <w:sz w:val="24"/>
                <w:szCs w:val="24"/>
                <w:lang w:val="en-US" w:eastAsia="zh-CN"/>
              </w:rPr>
              <w:t>1285</w:t>
            </w:r>
            <w:r>
              <w:rPr>
                <w:rFonts w:hint="eastAsia"/>
                <w:sz w:val="24"/>
                <w:szCs w:val="24"/>
              </w:rPr>
              <w:t>m</w:t>
            </w:r>
            <w:r>
              <w:rPr>
                <w:rFonts w:hint="eastAsia"/>
                <w:sz w:val="24"/>
                <w:szCs w:val="24"/>
                <w:vertAlign w:val="superscript"/>
              </w:rPr>
              <w:t>3</w:t>
            </w:r>
            <w:r>
              <w:rPr>
                <w:rFonts w:hint="eastAsia"/>
                <w:sz w:val="24"/>
                <w:szCs w:val="24"/>
              </w:rPr>
              <w:t>/d，尾矿浓缩厂前回水量4969m</w:t>
            </w:r>
            <w:r>
              <w:rPr>
                <w:rFonts w:hint="eastAsia"/>
                <w:sz w:val="24"/>
                <w:szCs w:val="24"/>
                <w:vertAlign w:val="superscript"/>
              </w:rPr>
              <w:t>3</w:t>
            </w:r>
            <w:r>
              <w:rPr>
                <w:rFonts w:hint="eastAsia"/>
                <w:sz w:val="24"/>
                <w:szCs w:val="24"/>
              </w:rPr>
              <w:t>/d，</w:t>
            </w:r>
            <w:r>
              <w:rPr>
                <w:rFonts w:hint="eastAsia" w:cs="Times New Roman"/>
                <w:color w:val="auto"/>
                <w:kern w:val="0"/>
                <w:sz w:val="24"/>
                <w:szCs w:val="24"/>
                <w:highlight w:val="none"/>
                <w:lang w:val="en-US" w:eastAsia="zh-CN"/>
              </w:rPr>
              <w:t>新水用量为109m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/d。精矿浓缩溢流水和尾矿渣浓缩溢流水经废水回用系统（回水池）处理后回用于浮选，不外排。</w:t>
            </w:r>
          </w:p>
          <w:p w14:paraId="78A421FA">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（2）设备冷却水</w:t>
            </w:r>
          </w:p>
          <w:p w14:paraId="74D09E0C">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根据建设单位提供资料，本次改建新增1台塔磨机，冷却用水量约为150m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/d，损失水量为6m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/d，废水产生量144m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/d，做为二次利用水就近供至一段磨矿排矿溜槽等处做为工艺用水，采用DN80直缝焊接钢管。</w:t>
            </w:r>
          </w:p>
          <w:p w14:paraId="54761A66">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（3）渣浆泵轴封水</w:t>
            </w:r>
          </w:p>
          <w:p w14:paraId="23F99C90">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根据项目资料，渣浆泵轴封用水量为72m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w:t>
            </w:r>
          </w:p>
          <w:p w14:paraId="6B6C56ED">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4</w:t>
            </w:r>
            <w:r>
              <w:rPr>
                <w:rFonts w:hint="eastAsia" w:ascii="Times New Roman" w:hAnsi="Times New Roman" w:eastAsia="宋体" w:cs="Times New Roman"/>
                <w:color w:val="auto"/>
                <w:kern w:val="0"/>
                <w:sz w:val="24"/>
                <w:szCs w:val="24"/>
                <w:highlight w:val="none"/>
                <w:lang w:val="en-US" w:eastAsia="zh-CN"/>
              </w:rPr>
              <w:t>）缓冷场冷却用水</w:t>
            </w:r>
          </w:p>
          <w:p w14:paraId="245693FA">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易门铜业转炉渣以铁轨运输方式运至缓冷场并由龙门吊有序排列12m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大渣包，然后进行自然缓冷24h—间断缓水冷24h—连续水冷24h—翻包—</w:t>
            </w:r>
            <w:r>
              <w:rPr>
                <w:rFonts w:hint="eastAsia" w:cs="Times New Roman"/>
                <w:color w:val="auto"/>
                <w:kern w:val="0"/>
                <w:sz w:val="24"/>
                <w:szCs w:val="24"/>
                <w:highlight w:val="none"/>
                <w:lang w:val="en-US" w:eastAsia="zh-CN"/>
              </w:rPr>
              <w:t>破</w:t>
            </w:r>
            <w:r>
              <w:rPr>
                <w:rFonts w:hint="eastAsia" w:ascii="Times New Roman" w:hAnsi="Times New Roman" w:eastAsia="宋体" w:cs="Times New Roman"/>
                <w:color w:val="auto"/>
                <w:kern w:val="0"/>
                <w:sz w:val="24"/>
                <w:szCs w:val="24"/>
                <w:highlight w:val="none"/>
                <w:lang w:val="en-US" w:eastAsia="zh-CN"/>
              </w:rPr>
              <w:t>碎至300mm堆存于铜冶炼渣堆场。总用水量为</w:t>
            </w:r>
            <w:r>
              <w:rPr>
                <w:rFonts w:hint="eastAsia" w:cs="Times New Roman"/>
                <w:color w:val="auto"/>
                <w:kern w:val="0"/>
                <w:sz w:val="24"/>
                <w:szCs w:val="24"/>
                <w:highlight w:val="none"/>
                <w:lang w:val="en-US" w:eastAsia="zh-CN"/>
              </w:rPr>
              <w:t>4130</w:t>
            </w:r>
            <w:r>
              <w:rPr>
                <w:rFonts w:hint="eastAsia" w:ascii="Times New Roman" w:hAnsi="Times New Roman" w:eastAsia="宋体" w:cs="Times New Roman"/>
                <w:color w:val="auto"/>
                <w:kern w:val="0"/>
                <w:sz w:val="24"/>
                <w:szCs w:val="24"/>
                <w:highlight w:val="none"/>
                <w:lang w:val="en-US" w:eastAsia="zh-CN"/>
              </w:rPr>
              <w:t>m³/d，新水补充量为170m³/d，循环冷却用水量约为</w:t>
            </w:r>
            <w:r>
              <w:rPr>
                <w:rFonts w:hint="eastAsia" w:cs="Times New Roman"/>
                <w:color w:val="auto"/>
                <w:kern w:val="0"/>
                <w:sz w:val="24"/>
                <w:szCs w:val="24"/>
                <w:highlight w:val="none"/>
                <w:lang w:val="en-US" w:eastAsia="zh-CN"/>
              </w:rPr>
              <w:t>3960</w:t>
            </w:r>
            <w:r>
              <w:rPr>
                <w:rFonts w:hint="eastAsia" w:ascii="Times New Roman" w:hAnsi="Times New Roman" w:eastAsia="宋体" w:cs="Times New Roman"/>
                <w:color w:val="auto"/>
                <w:kern w:val="0"/>
                <w:sz w:val="24"/>
                <w:szCs w:val="24"/>
                <w:highlight w:val="none"/>
                <w:lang w:val="en-US" w:eastAsia="zh-CN"/>
              </w:rPr>
              <w:t>m³/d，损耗量约为</w:t>
            </w:r>
            <w:r>
              <w:rPr>
                <w:rFonts w:hint="eastAsia" w:cs="Times New Roman"/>
                <w:color w:val="auto"/>
                <w:kern w:val="0"/>
                <w:sz w:val="24"/>
                <w:szCs w:val="24"/>
                <w:highlight w:val="none"/>
                <w:lang w:val="en-US" w:eastAsia="zh-CN"/>
              </w:rPr>
              <w:t>170</w:t>
            </w:r>
            <w:r>
              <w:rPr>
                <w:rFonts w:hint="eastAsia" w:ascii="Times New Roman" w:hAnsi="Times New Roman" w:eastAsia="宋体" w:cs="Times New Roman"/>
                <w:color w:val="auto"/>
                <w:kern w:val="0"/>
                <w:sz w:val="24"/>
                <w:szCs w:val="24"/>
                <w:highlight w:val="none"/>
                <w:lang w:val="en-US" w:eastAsia="zh-CN"/>
              </w:rPr>
              <w:t>m³/d，不外排。</w:t>
            </w:r>
          </w:p>
          <w:p w14:paraId="3EA04F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（5）选矿药剂制备用水</w:t>
            </w:r>
          </w:p>
          <w:p w14:paraId="203F6B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kern w:val="0"/>
                <w:sz w:val="24"/>
                <w:szCs w:val="24"/>
                <w:highlight w:val="none"/>
                <w:vertAlign w:val="baseline"/>
                <w:lang w:val="en-US" w:eastAsia="zh-CN"/>
              </w:rPr>
            </w:pPr>
            <w:r>
              <w:rPr>
                <w:rFonts w:hint="eastAsia" w:cs="Times New Roman"/>
                <w:color w:val="auto"/>
                <w:kern w:val="0"/>
                <w:sz w:val="24"/>
                <w:szCs w:val="24"/>
                <w:highlight w:val="none"/>
                <w:lang w:val="en-US" w:eastAsia="zh-CN"/>
              </w:rPr>
              <w:t>根据项目资料，选矿药剂制备用水为42m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/d，损耗为2m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/d，其余40m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vertAlign w:val="baseline"/>
                <w:lang w:val="en-US" w:eastAsia="zh-CN"/>
              </w:rPr>
              <w:t>随药剂进入浮选工段。</w:t>
            </w:r>
          </w:p>
          <w:p w14:paraId="763872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6</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bCs/>
                <w:color w:val="auto"/>
                <w:sz w:val="24"/>
                <w:highlight w:val="none"/>
              </w:rPr>
              <w:t>车辆冲洗用水</w:t>
            </w:r>
          </w:p>
          <w:p w14:paraId="5E876389">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bCs/>
                <w:color w:val="auto"/>
                <w:sz w:val="24"/>
                <w:highlight w:val="none"/>
              </w:rPr>
              <w:t>本项目在</w:t>
            </w:r>
            <w:r>
              <w:rPr>
                <w:rFonts w:hint="eastAsia" w:ascii="Times New Roman" w:hAnsi="Times New Roman" w:cs="Times New Roman"/>
                <w:bCs/>
                <w:color w:val="auto"/>
                <w:sz w:val="24"/>
                <w:highlight w:val="none"/>
                <w:lang w:val="en-US" w:eastAsia="zh-CN"/>
              </w:rPr>
              <w:t>尾矿仓旁</w:t>
            </w:r>
            <w:r>
              <w:rPr>
                <w:rFonts w:hint="default" w:ascii="Times New Roman" w:hAnsi="Times New Roman" w:cs="Times New Roman"/>
                <w:bCs/>
                <w:color w:val="auto"/>
                <w:sz w:val="24"/>
                <w:highlight w:val="none"/>
              </w:rPr>
              <w:t>设置</w:t>
            </w:r>
            <w:r>
              <w:rPr>
                <w:rFonts w:hint="eastAsia" w:ascii="Times New Roman" w:hAnsi="Times New Roman" w:cs="Times New Roman"/>
                <w:bCs/>
                <w:color w:val="auto"/>
                <w:sz w:val="24"/>
                <w:highlight w:val="none"/>
                <w:lang w:val="en-US" w:eastAsia="zh-CN"/>
              </w:rPr>
              <w:t>车辆清洗点</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rPr>
              <w:t>对进出车辆底盘及车</w:t>
            </w:r>
            <w:r>
              <w:rPr>
                <w:rFonts w:hint="default" w:ascii="Times New Roman" w:hAnsi="Times New Roman" w:cs="Times New Roman"/>
                <w:b w:val="0"/>
                <w:bCs/>
                <w:color w:val="auto"/>
                <w:sz w:val="24"/>
                <w:highlight w:val="none"/>
              </w:rPr>
              <w:t>轮</w:t>
            </w:r>
            <w:r>
              <w:rPr>
                <w:rFonts w:hint="default" w:ascii="Times New Roman" w:hAnsi="Times New Roman" w:cs="Times New Roman"/>
                <w:bCs/>
                <w:color w:val="auto"/>
                <w:sz w:val="24"/>
                <w:highlight w:val="none"/>
              </w:rPr>
              <w:t>进行冲洗。本项目运输总车次</w:t>
            </w:r>
            <w:r>
              <w:rPr>
                <w:rFonts w:hint="default" w:ascii="Times New Roman" w:hAnsi="Times New Roman" w:cs="Times New Roman"/>
                <w:bCs/>
                <w:color w:val="auto"/>
                <w:sz w:val="24"/>
                <w:highlight w:val="none"/>
                <w:lang w:val="en-US" w:eastAsia="zh-CN"/>
              </w:rPr>
              <w:t>约</w:t>
            </w:r>
            <w:r>
              <w:rPr>
                <w:rFonts w:hint="default" w:ascii="Times New Roman" w:hAnsi="Times New Roman" w:cs="Times New Roman"/>
                <w:bCs/>
                <w:color w:val="auto"/>
                <w:sz w:val="24"/>
                <w:highlight w:val="none"/>
              </w:rPr>
              <w:t>为</w:t>
            </w:r>
            <w:r>
              <w:rPr>
                <w:rFonts w:hint="eastAsia" w:ascii="Times New Roman" w:hAnsi="Times New Roman" w:cs="Times New Roman"/>
                <w:bCs/>
                <w:color w:val="auto"/>
                <w:sz w:val="24"/>
                <w:highlight w:val="none"/>
                <w:lang w:val="en-US" w:eastAsia="zh-CN"/>
              </w:rPr>
              <w:t>25</w:t>
            </w:r>
            <w:r>
              <w:rPr>
                <w:rFonts w:hint="default" w:ascii="Times New Roman" w:hAnsi="Times New Roman" w:cs="Times New Roman"/>
                <w:bCs/>
                <w:color w:val="auto"/>
                <w:sz w:val="24"/>
                <w:highlight w:val="none"/>
              </w:rPr>
              <w:t>次/天，</w:t>
            </w:r>
            <w:r>
              <w:rPr>
                <w:rFonts w:hint="default" w:ascii="Times New Roman" w:hAnsi="Times New Roman" w:cs="Times New Roman"/>
                <w:color w:val="auto"/>
                <w:sz w:val="24"/>
                <w:highlight w:val="none"/>
              </w:rPr>
              <w:t>根据《云南省用水定额》（DB53/T168-</w:t>
            </w:r>
            <w:r>
              <w:rPr>
                <w:rFonts w:hint="eastAsia" w:ascii="Times New Roman" w:hAnsi="Times New Roman" w:cs="Times New Roman"/>
                <w:color w:val="auto"/>
                <w:sz w:val="24"/>
                <w:highlight w:val="none"/>
                <w:lang w:val="en-US" w:eastAsia="zh-CN"/>
              </w:rPr>
              <w:t>2026</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车辆清洗用水量按照</w:t>
            </w:r>
            <w:r>
              <w:rPr>
                <w:rFonts w:hint="eastAsia" w:ascii="Times New Roman" w:hAnsi="Times New Roman" w:cs="Times New Roman"/>
                <w:bCs/>
                <w:color w:val="auto"/>
                <w:sz w:val="24"/>
                <w:highlight w:val="none"/>
                <w:lang w:val="en-US" w:eastAsia="zh-CN"/>
              </w:rPr>
              <w:t>38L</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val="en-US" w:eastAsia="zh-CN"/>
              </w:rPr>
              <w:t>辆</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rPr>
              <w:t>次）计算，则总用</w:t>
            </w:r>
            <w:r>
              <w:rPr>
                <w:rFonts w:hint="default" w:ascii="Times New Roman" w:hAnsi="Times New Roman" w:cs="Times New Roman"/>
                <w:b w:val="0"/>
                <w:bCs/>
                <w:color w:val="auto"/>
                <w:sz w:val="24"/>
                <w:highlight w:val="none"/>
              </w:rPr>
              <w:t>水</w:t>
            </w:r>
            <w:r>
              <w:rPr>
                <w:rFonts w:hint="default" w:ascii="Times New Roman" w:hAnsi="Times New Roman" w:cs="Times New Roman"/>
                <w:bCs/>
                <w:color w:val="auto"/>
                <w:sz w:val="24"/>
                <w:highlight w:val="none"/>
              </w:rPr>
              <w:t>量</w:t>
            </w:r>
            <w:r>
              <w:rPr>
                <w:rFonts w:hint="eastAsia" w:ascii="Times New Roman" w:hAnsi="Times New Roman" w:cs="Times New Roman"/>
                <w:bCs/>
                <w:color w:val="auto"/>
                <w:sz w:val="24"/>
                <w:highlight w:val="none"/>
                <w:lang w:val="en-US" w:eastAsia="zh-CN"/>
              </w:rPr>
              <w:t>0.95</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则</w:t>
            </w:r>
            <w:r>
              <w:rPr>
                <w:rFonts w:hint="default" w:ascii="Times New Roman" w:hAnsi="Times New Roman" w:cs="Times New Roman"/>
                <w:bCs/>
                <w:color w:val="auto"/>
                <w:sz w:val="24"/>
                <w:highlight w:val="none"/>
              </w:rPr>
              <w:t>损耗量按用水量的20%计，则每天需补充新水量为</w:t>
            </w:r>
            <w:r>
              <w:rPr>
                <w:rFonts w:hint="eastAsia" w:ascii="Times New Roman" w:hAnsi="Times New Roman" w:cs="Times New Roman"/>
                <w:bCs/>
                <w:color w:val="auto"/>
                <w:sz w:val="24"/>
                <w:highlight w:val="none"/>
                <w:lang w:val="en-US" w:eastAsia="zh-CN"/>
              </w:rPr>
              <w:t>0.19</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清洗废水直接用潜水泵抽回脱水工艺，</w:t>
            </w:r>
            <w:r>
              <w:rPr>
                <w:rFonts w:hint="eastAsia" w:cs="Times New Roman"/>
                <w:bCs/>
                <w:color w:val="auto"/>
                <w:sz w:val="24"/>
                <w:highlight w:val="none"/>
                <w:lang w:val="en-US" w:eastAsia="zh-CN"/>
              </w:rPr>
              <w:t>回用于磨浮车间，</w:t>
            </w:r>
            <w:r>
              <w:rPr>
                <w:rFonts w:hint="eastAsia" w:ascii="Times New Roman" w:hAnsi="Times New Roman" w:eastAsia="宋体" w:cs="Times New Roman"/>
                <w:bCs/>
                <w:color w:val="auto"/>
                <w:sz w:val="24"/>
                <w:highlight w:val="none"/>
                <w:lang w:val="en-US" w:eastAsia="zh-CN"/>
              </w:rPr>
              <w:t>如潜污泵损坏，废水收集到容积为600m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的缓冷循环水池，</w:t>
            </w:r>
            <w:r>
              <w:rPr>
                <w:rFonts w:hint="default" w:ascii="Times New Roman" w:hAnsi="Times New Roman" w:eastAsia="宋体" w:cs="Times New Roman"/>
                <w:bCs/>
                <w:color w:val="auto"/>
                <w:sz w:val="24"/>
                <w:highlight w:val="none"/>
                <w:lang w:val="en-US" w:eastAsia="zh-CN"/>
              </w:rPr>
              <w:t>处理</w:t>
            </w:r>
            <w:r>
              <w:rPr>
                <w:rFonts w:hint="default" w:ascii="Times New Roman" w:hAnsi="Times New Roman" w:eastAsia="宋体" w:cs="Times New Roman"/>
                <w:bCs/>
                <w:color w:val="auto"/>
                <w:sz w:val="24"/>
                <w:highlight w:val="none"/>
              </w:rPr>
              <w:t>后回用于，不外排。</w:t>
            </w:r>
            <w:r>
              <w:rPr>
                <w:rFonts w:hint="default" w:ascii="Times New Roman" w:hAnsi="Times New Roman" w:cs="Times New Roman"/>
                <w:bCs/>
                <w:color w:val="auto"/>
                <w:sz w:val="24"/>
                <w:highlight w:val="none"/>
              </w:rPr>
              <w:t>项目要求运输车辆驶出项目区时进行清洗，避免运输过程中车体泥沙脱落造成污染。</w:t>
            </w:r>
          </w:p>
          <w:p w14:paraId="2F31B01E">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7</w:t>
            </w:r>
            <w:r>
              <w:rPr>
                <w:rFonts w:hint="eastAsia" w:ascii="Times New Roman" w:hAnsi="Times New Roman" w:eastAsia="宋体" w:cs="Times New Roman"/>
                <w:color w:val="auto"/>
                <w:kern w:val="0"/>
                <w:sz w:val="24"/>
                <w:szCs w:val="24"/>
                <w:highlight w:val="none"/>
                <w:lang w:val="en-US" w:eastAsia="zh-CN"/>
              </w:rPr>
              <w:t>）工作人员生活用水</w:t>
            </w:r>
          </w:p>
          <w:p w14:paraId="4577070C">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本项目建成运营后，人员从总厂现有人员调配，不新增劳动定员，因此，不新增生活用水，</w:t>
            </w:r>
            <w:r>
              <w:rPr>
                <w:rFonts w:hint="eastAsia" w:ascii="Times New Roman" w:hAnsi="Times New Roman" w:eastAsia="宋体" w:cs="Times New Roman"/>
                <w:color w:val="000000"/>
                <w:kern w:val="0"/>
                <w:sz w:val="24"/>
                <w:szCs w:val="24"/>
                <w:lang w:val="en-US" w:eastAsia="zh-CN" w:bidi="ar"/>
              </w:rPr>
              <w:t>生活污水收集后进入生活污水处理站（200m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/d），处理后回用于厂区绿化、道路洒水，不外排。</w:t>
            </w:r>
          </w:p>
          <w:p w14:paraId="359069EE">
            <w:pPr>
              <w:pStyle w:val="4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表2-12 项目用水排水情况一览表</w:t>
            </w:r>
          </w:p>
          <w:tbl>
            <w:tblPr>
              <w:tblStyle w:val="22"/>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633"/>
              <w:gridCol w:w="915"/>
              <w:gridCol w:w="939"/>
              <w:gridCol w:w="915"/>
              <w:gridCol w:w="915"/>
              <w:gridCol w:w="915"/>
              <w:gridCol w:w="915"/>
              <w:gridCol w:w="1302"/>
            </w:tblGrid>
            <w:tr w14:paraId="15651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19F1AB41">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序号</w:t>
                  </w:r>
                </w:p>
              </w:tc>
              <w:tc>
                <w:tcPr>
                  <w:tcW w:w="422" w:type="pct"/>
                  <w:tcBorders>
                    <w:tl2br w:val="nil"/>
                    <w:tr2bl w:val="nil"/>
                  </w:tcBorders>
                  <w:noWrap w:val="0"/>
                  <w:vAlign w:val="center"/>
                </w:tcPr>
                <w:p w14:paraId="7A407D41">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用水/废水产生环节</w:t>
                  </w:r>
                </w:p>
              </w:tc>
              <w:tc>
                <w:tcPr>
                  <w:tcW w:w="547" w:type="pct"/>
                  <w:tcBorders>
                    <w:tl2br w:val="nil"/>
                    <w:tr2bl w:val="nil"/>
                  </w:tcBorders>
                  <w:noWrap w:val="0"/>
                  <w:vAlign w:val="center"/>
                </w:tcPr>
                <w:p w14:paraId="63A4A8E7">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kern w:val="2"/>
                      <w:sz w:val="18"/>
                      <w:szCs w:val="18"/>
                      <w:highlight w:val="none"/>
                      <w:lang w:bidi="ar"/>
                    </w:rPr>
                    <w:t>用水量（</w:t>
                  </w:r>
                  <w:r>
                    <w:rPr>
                      <w:rFonts w:hint="default" w:ascii="Times New Roman" w:hAnsi="Times New Roman" w:eastAsia="宋体" w:cs="Times New Roman"/>
                      <w:b w:val="0"/>
                      <w:bCs w:val="0"/>
                      <w:color w:val="auto"/>
                      <w:sz w:val="18"/>
                      <w:szCs w:val="18"/>
                      <w:highlight w:val="none"/>
                    </w:rPr>
                    <w:t>m</w:t>
                  </w:r>
                  <w:r>
                    <w:rPr>
                      <w:rFonts w:hint="default" w:ascii="Times New Roman" w:hAnsi="Times New Roman" w:eastAsia="宋体" w:cs="Times New Roman"/>
                      <w:b w:val="0"/>
                      <w:bCs w:val="0"/>
                      <w:color w:val="auto"/>
                      <w:sz w:val="18"/>
                      <w:szCs w:val="18"/>
                      <w:highlight w:val="none"/>
                      <w:vertAlign w:val="superscript"/>
                    </w:rPr>
                    <w:t>3</w:t>
                  </w:r>
                  <w:r>
                    <w:rPr>
                      <w:rFonts w:hint="default" w:ascii="Times New Roman" w:hAnsi="Times New Roman" w:eastAsia="宋体" w:cs="Times New Roman"/>
                      <w:b w:val="0"/>
                      <w:bCs w:val="0"/>
                      <w:color w:val="auto"/>
                      <w:sz w:val="18"/>
                      <w:szCs w:val="18"/>
                      <w:highlight w:val="none"/>
                    </w:rPr>
                    <w:t>/d</w:t>
                  </w:r>
                  <w:r>
                    <w:rPr>
                      <w:rFonts w:hint="default" w:ascii="Times New Roman" w:hAnsi="Times New Roman" w:eastAsia="宋体" w:cs="Times New Roman"/>
                      <w:b w:val="0"/>
                      <w:bCs w:val="0"/>
                      <w:color w:val="auto"/>
                      <w:kern w:val="2"/>
                      <w:sz w:val="18"/>
                      <w:szCs w:val="18"/>
                      <w:highlight w:val="none"/>
                      <w:lang w:bidi="ar"/>
                    </w:rPr>
                    <w:t>）</w:t>
                  </w:r>
                </w:p>
              </w:tc>
              <w:tc>
                <w:tcPr>
                  <w:tcW w:w="617" w:type="pct"/>
                  <w:tcBorders>
                    <w:tl2br w:val="nil"/>
                    <w:tr2bl w:val="nil"/>
                  </w:tcBorders>
                  <w:noWrap w:val="0"/>
                  <w:vAlign w:val="center"/>
                </w:tcPr>
                <w:p w14:paraId="1400051A">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cs="Times New Roman"/>
                      <w:b w:val="0"/>
                      <w:bCs w:val="0"/>
                      <w:color w:val="auto"/>
                      <w:kern w:val="2"/>
                      <w:sz w:val="18"/>
                      <w:szCs w:val="18"/>
                      <w:highlight w:val="none"/>
                      <w:lang w:val="en-US" w:eastAsia="zh-CN" w:bidi="ar"/>
                    </w:rPr>
                    <w:t>新水量</w:t>
                  </w:r>
                  <w:r>
                    <w:rPr>
                      <w:rFonts w:hint="default" w:ascii="Times New Roman" w:hAnsi="Times New Roman" w:eastAsia="宋体" w:cs="Times New Roman"/>
                      <w:b w:val="0"/>
                      <w:bCs w:val="0"/>
                      <w:color w:val="auto"/>
                      <w:kern w:val="2"/>
                      <w:sz w:val="18"/>
                      <w:szCs w:val="18"/>
                      <w:highlight w:val="none"/>
                      <w:lang w:bidi="ar"/>
                    </w:rPr>
                    <w:t>（</w:t>
                  </w:r>
                  <w:r>
                    <w:rPr>
                      <w:rFonts w:hint="default" w:ascii="Times New Roman" w:hAnsi="Times New Roman" w:eastAsia="宋体" w:cs="Times New Roman"/>
                      <w:b w:val="0"/>
                      <w:bCs w:val="0"/>
                      <w:color w:val="auto"/>
                      <w:sz w:val="18"/>
                      <w:szCs w:val="18"/>
                      <w:highlight w:val="none"/>
                    </w:rPr>
                    <w:t>m</w:t>
                  </w:r>
                  <w:r>
                    <w:rPr>
                      <w:rFonts w:hint="default" w:ascii="Times New Roman" w:hAnsi="Times New Roman" w:eastAsia="宋体" w:cs="Times New Roman"/>
                      <w:b w:val="0"/>
                      <w:bCs w:val="0"/>
                      <w:color w:val="auto"/>
                      <w:sz w:val="18"/>
                      <w:szCs w:val="18"/>
                      <w:highlight w:val="none"/>
                      <w:vertAlign w:val="superscript"/>
                    </w:rPr>
                    <w:t>3</w:t>
                  </w:r>
                  <w:r>
                    <w:rPr>
                      <w:rFonts w:hint="default" w:ascii="Times New Roman" w:hAnsi="Times New Roman" w:eastAsia="宋体" w:cs="Times New Roman"/>
                      <w:b w:val="0"/>
                      <w:bCs w:val="0"/>
                      <w:color w:val="auto"/>
                      <w:sz w:val="18"/>
                      <w:szCs w:val="18"/>
                      <w:highlight w:val="none"/>
                    </w:rPr>
                    <w:t>/d</w:t>
                  </w:r>
                  <w:r>
                    <w:rPr>
                      <w:rFonts w:hint="default" w:ascii="Times New Roman" w:hAnsi="Times New Roman" w:eastAsia="宋体" w:cs="Times New Roman"/>
                      <w:b w:val="0"/>
                      <w:bCs w:val="0"/>
                      <w:color w:val="auto"/>
                      <w:kern w:val="2"/>
                      <w:sz w:val="18"/>
                      <w:szCs w:val="18"/>
                      <w:highlight w:val="none"/>
                      <w:lang w:bidi="ar"/>
                    </w:rPr>
                    <w:t>）</w:t>
                  </w:r>
                </w:p>
              </w:tc>
              <w:tc>
                <w:tcPr>
                  <w:tcW w:w="582" w:type="pct"/>
                  <w:tcBorders>
                    <w:tl2br w:val="nil"/>
                    <w:tr2bl w:val="nil"/>
                  </w:tcBorders>
                  <w:noWrap w:val="0"/>
                  <w:vAlign w:val="center"/>
                </w:tcPr>
                <w:p w14:paraId="4592C291">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kern w:val="2"/>
                      <w:sz w:val="18"/>
                      <w:szCs w:val="18"/>
                      <w:highlight w:val="none"/>
                      <w:lang w:val="en-US" w:eastAsia="zh-CN" w:bidi="ar"/>
                    </w:rPr>
                  </w:pPr>
                  <w:r>
                    <w:rPr>
                      <w:rFonts w:hint="eastAsia" w:ascii="Times New Roman" w:hAnsi="Times New Roman" w:cs="Times New Roman"/>
                      <w:b w:val="0"/>
                      <w:bCs w:val="0"/>
                      <w:color w:val="auto"/>
                      <w:kern w:val="2"/>
                      <w:sz w:val="18"/>
                      <w:szCs w:val="18"/>
                      <w:highlight w:val="none"/>
                      <w:lang w:val="en-US" w:eastAsia="zh-CN" w:bidi="ar"/>
                    </w:rPr>
                    <w:t>循环水量</w:t>
                  </w:r>
                  <w:r>
                    <w:rPr>
                      <w:rFonts w:hint="default" w:ascii="Times New Roman" w:hAnsi="Times New Roman" w:eastAsia="宋体" w:cs="Times New Roman"/>
                      <w:b w:val="0"/>
                      <w:bCs w:val="0"/>
                      <w:color w:val="auto"/>
                      <w:kern w:val="2"/>
                      <w:sz w:val="18"/>
                      <w:szCs w:val="18"/>
                      <w:highlight w:val="none"/>
                      <w:lang w:bidi="ar"/>
                    </w:rPr>
                    <w:t>（</w:t>
                  </w:r>
                  <w:r>
                    <w:rPr>
                      <w:rFonts w:hint="default" w:ascii="Times New Roman" w:hAnsi="Times New Roman" w:eastAsia="宋体" w:cs="Times New Roman"/>
                      <w:b w:val="0"/>
                      <w:bCs w:val="0"/>
                      <w:color w:val="auto"/>
                      <w:sz w:val="18"/>
                      <w:szCs w:val="18"/>
                      <w:highlight w:val="none"/>
                    </w:rPr>
                    <w:t>m</w:t>
                  </w:r>
                  <w:r>
                    <w:rPr>
                      <w:rFonts w:hint="default" w:ascii="Times New Roman" w:hAnsi="Times New Roman" w:eastAsia="宋体" w:cs="Times New Roman"/>
                      <w:b w:val="0"/>
                      <w:bCs w:val="0"/>
                      <w:color w:val="auto"/>
                      <w:sz w:val="18"/>
                      <w:szCs w:val="18"/>
                      <w:highlight w:val="none"/>
                      <w:vertAlign w:val="superscript"/>
                    </w:rPr>
                    <w:t>3</w:t>
                  </w:r>
                  <w:r>
                    <w:rPr>
                      <w:rFonts w:hint="default" w:ascii="Times New Roman" w:hAnsi="Times New Roman" w:eastAsia="宋体" w:cs="Times New Roman"/>
                      <w:b w:val="0"/>
                      <w:bCs w:val="0"/>
                      <w:color w:val="auto"/>
                      <w:sz w:val="18"/>
                      <w:szCs w:val="18"/>
                      <w:highlight w:val="none"/>
                    </w:rPr>
                    <w:t>/d</w:t>
                  </w:r>
                  <w:r>
                    <w:rPr>
                      <w:rFonts w:hint="default" w:ascii="Times New Roman" w:hAnsi="Times New Roman" w:eastAsia="宋体" w:cs="Times New Roman"/>
                      <w:b w:val="0"/>
                      <w:bCs w:val="0"/>
                      <w:color w:val="auto"/>
                      <w:kern w:val="2"/>
                      <w:sz w:val="18"/>
                      <w:szCs w:val="18"/>
                      <w:highlight w:val="none"/>
                      <w:lang w:bidi="ar"/>
                    </w:rPr>
                    <w:t>）</w:t>
                  </w:r>
                </w:p>
              </w:tc>
              <w:tc>
                <w:tcPr>
                  <w:tcW w:w="598" w:type="pct"/>
                  <w:tcBorders>
                    <w:tl2br w:val="nil"/>
                    <w:tr2bl w:val="nil"/>
                  </w:tcBorders>
                  <w:noWrap w:val="0"/>
                  <w:vAlign w:val="center"/>
                </w:tcPr>
                <w:p w14:paraId="2AB2F5C7">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eastAsia="zh-CN" w:bidi="ar"/>
                    </w:rPr>
                  </w:pPr>
                  <w:r>
                    <w:rPr>
                      <w:rFonts w:hint="default" w:ascii="Times New Roman" w:hAnsi="Times New Roman" w:eastAsia="宋体" w:cs="Times New Roman"/>
                      <w:b w:val="0"/>
                      <w:bCs w:val="0"/>
                      <w:color w:val="auto"/>
                      <w:kern w:val="2"/>
                      <w:sz w:val="18"/>
                      <w:szCs w:val="18"/>
                      <w:highlight w:val="none"/>
                      <w:lang w:eastAsia="zh-CN" w:bidi="ar"/>
                    </w:rPr>
                    <w:t>废水产生量（</w:t>
                  </w:r>
                  <w:r>
                    <w:rPr>
                      <w:rFonts w:hint="default" w:ascii="Times New Roman" w:hAnsi="Times New Roman" w:eastAsia="宋体" w:cs="Times New Roman"/>
                      <w:b w:val="0"/>
                      <w:bCs w:val="0"/>
                      <w:color w:val="auto"/>
                      <w:sz w:val="18"/>
                      <w:szCs w:val="18"/>
                      <w:highlight w:val="none"/>
                      <w:vertAlign w:val="baseline"/>
                      <w:lang w:val="en-US" w:eastAsia="zh-CN"/>
                    </w:rPr>
                    <w:t>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vertAlign w:val="baseline"/>
                      <w:lang w:val="en-US" w:eastAsia="zh-CN"/>
                    </w:rPr>
                    <w:t>/d</w:t>
                  </w:r>
                  <w:r>
                    <w:rPr>
                      <w:rFonts w:hint="default" w:ascii="Times New Roman" w:hAnsi="Times New Roman" w:eastAsia="宋体" w:cs="Times New Roman"/>
                      <w:b w:val="0"/>
                      <w:bCs w:val="0"/>
                      <w:color w:val="auto"/>
                      <w:kern w:val="2"/>
                      <w:sz w:val="18"/>
                      <w:szCs w:val="18"/>
                      <w:highlight w:val="none"/>
                      <w:lang w:eastAsia="zh-CN" w:bidi="ar"/>
                    </w:rPr>
                    <w:t>）</w:t>
                  </w:r>
                </w:p>
              </w:tc>
              <w:tc>
                <w:tcPr>
                  <w:tcW w:w="583" w:type="pct"/>
                  <w:tcBorders>
                    <w:tl2br w:val="nil"/>
                    <w:tr2bl w:val="nil"/>
                  </w:tcBorders>
                  <w:noWrap w:val="0"/>
                  <w:vAlign w:val="center"/>
                </w:tcPr>
                <w:p w14:paraId="49B8A1C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
                    </w:rPr>
                  </w:pPr>
                  <w:r>
                    <w:rPr>
                      <w:rFonts w:hint="eastAsia" w:ascii="Times New Roman" w:hAnsi="Times New Roman" w:cs="Times New Roman"/>
                      <w:b w:val="0"/>
                      <w:bCs w:val="0"/>
                      <w:color w:val="auto"/>
                      <w:kern w:val="2"/>
                      <w:sz w:val="18"/>
                      <w:szCs w:val="18"/>
                      <w:highlight w:val="none"/>
                      <w:lang w:val="en-US" w:eastAsia="zh-CN" w:bidi="ar"/>
                    </w:rPr>
                    <w:t>损耗量（</w:t>
                  </w:r>
                  <w:r>
                    <w:rPr>
                      <w:rFonts w:hint="default" w:ascii="Times New Roman" w:hAnsi="Times New Roman" w:eastAsia="宋体" w:cs="Times New Roman"/>
                      <w:b w:val="0"/>
                      <w:bCs w:val="0"/>
                      <w:color w:val="auto"/>
                      <w:sz w:val="18"/>
                      <w:szCs w:val="18"/>
                      <w:highlight w:val="none"/>
                      <w:vertAlign w:val="baseline"/>
                      <w:lang w:val="en-US" w:eastAsia="zh-CN"/>
                    </w:rPr>
                    <w:t>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vertAlign w:val="baseline"/>
                      <w:lang w:val="en-US" w:eastAsia="zh-CN"/>
                    </w:rPr>
                    <w:t>/d</w:t>
                  </w:r>
                  <w:r>
                    <w:rPr>
                      <w:rFonts w:hint="eastAsia" w:ascii="Times New Roman" w:hAnsi="Times New Roman" w:cs="Times New Roman"/>
                      <w:b w:val="0"/>
                      <w:bCs w:val="0"/>
                      <w:color w:val="auto"/>
                      <w:kern w:val="2"/>
                      <w:sz w:val="18"/>
                      <w:szCs w:val="18"/>
                      <w:highlight w:val="none"/>
                      <w:lang w:val="en-US" w:eastAsia="zh-CN" w:bidi="ar"/>
                    </w:rPr>
                    <w:t>）</w:t>
                  </w:r>
                </w:p>
              </w:tc>
              <w:tc>
                <w:tcPr>
                  <w:tcW w:w="543" w:type="pct"/>
                  <w:tcBorders>
                    <w:tl2br w:val="nil"/>
                    <w:tr2bl w:val="nil"/>
                  </w:tcBorders>
                  <w:noWrap w:val="0"/>
                  <w:vAlign w:val="center"/>
                </w:tcPr>
                <w:p w14:paraId="07F62051">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kern w:val="2"/>
                      <w:sz w:val="18"/>
                      <w:szCs w:val="18"/>
                      <w:highlight w:val="none"/>
                      <w:lang w:val="en-US" w:eastAsia="zh-CN" w:bidi="ar"/>
                    </w:rPr>
                  </w:pPr>
                  <w:r>
                    <w:rPr>
                      <w:rFonts w:hint="eastAsia" w:ascii="Times New Roman" w:hAnsi="Times New Roman" w:cs="Times New Roman"/>
                      <w:b w:val="0"/>
                      <w:bCs w:val="0"/>
                      <w:color w:val="auto"/>
                      <w:kern w:val="2"/>
                      <w:sz w:val="18"/>
                      <w:szCs w:val="18"/>
                      <w:highlight w:val="none"/>
                      <w:lang w:val="en-US" w:eastAsia="zh-CN" w:bidi="ar"/>
                    </w:rPr>
                    <w:t>排放量（</w:t>
                  </w:r>
                  <w:r>
                    <w:rPr>
                      <w:rFonts w:hint="default" w:ascii="Times New Roman" w:hAnsi="Times New Roman" w:eastAsia="宋体" w:cs="Times New Roman"/>
                      <w:b w:val="0"/>
                      <w:bCs w:val="0"/>
                      <w:color w:val="auto"/>
                      <w:sz w:val="18"/>
                      <w:szCs w:val="18"/>
                      <w:highlight w:val="none"/>
                      <w:vertAlign w:val="baseline"/>
                      <w:lang w:val="en-US" w:eastAsia="zh-CN"/>
                    </w:rPr>
                    <w:t>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vertAlign w:val="baseline"/>
                      <w:lang w:val="en-US" w:eastAsia="zh-CN"/>
                    </w:rPr>
                    <w:t>/d</w:t>
                  </w:r>
                  <w:r>
                    <w:rPr>
                      <w:rFonts w:hint="eastAsia" w:ascii="Times New Roman" w:hAnsi="Times New Roman" w:cs="Times New Roman"/>
                      <w:b w:val="0"/>
                      <w:bCs w:val="0"/>
                      <w:color w:val="auto"/>
                      <w:kern w:val="2"/>
                      <w:sz w:val="18"/>
                      <w:szCs w:val="18"/>
                      <w:highlight w:val="none"/>
                      <w:lang w:val="en-US" w:eastAsia="zh-CN" w:bidi="ar"/>
                    </w:rPr>
                    <w:t>）</w:t>
                  </w:r>
                </w:p>
              </w:tc>
              <w:tc>
                <w:tcPr>
                  <w:tcW w:w="852" w:type="pct"/>
                  <w:tcBorders>
                    <w:tl2br w:val="nil"/>
                    <w:tr2bl w:val="nil"/>
                  </w:tcBorders>
                  <w:noWrap w:val="0"/>
                  <w:vAlign w:val="center"/>
                </w:tcPr>
                <w:p w14:paraId="7593EF43">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eastAsia="zh-CN" w:bidi="ar"/>
                    </w:rPr>
                  </w:pPr>
                  <w:r>
                    <w:rPr>
                      <w:rFonts w:hint="default" w:ascii="Times New Roman" w:hAnsi="Times New Roman" w:eastAsia="宋体" w:cs="Times New Roman"/>
                      <w:b w:val="0"/>
                      <w:bCs w:val="0"/>
                      <w:color w:val="auto"/>
                      <w:kern w:val="2"/>
                      <w:sz w:val="18"/>
                      <w:szCs w:val="18"/>
                      <w:highlight w:val="none"/>
                      <w:lang w:eastAsia="zh-CN" w:bidi="ar"/>
                    </w:rPr>
                    <w:t>排放去向</w:t>
                  </w:r>
                </w:p>
              </w:tc>
            </w:tr>
            <w:tr w14:paraId="626488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528D0372">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1</w:t>
                  </w:r>
                </w:p>
              </w:tc>
              <w:tc>
                <w:tcPr>
                  <w:tcW w:w="422" w:type="pct"/>
                  <w:tcBorders>
                    <w:tl2br w:val="nil"/>
                    <w:tr2bl w:val="nil"/>
                  </w:tcBorders>
                  <w:noWrap w:val="0"/>
                  <w:vAlign w:val="center"/>
                </w:tcPr>
                <w:p w14:paraId="3263516A">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磨矿浮选</w:t>
                  </w:r>
                </w:p>
              </w:tc>
              <w:tc>
                <w:tcPr>
                  <w:tcW w:w="547" w:type="pct"/>
                  <w:tcBorders>
                    <w:tl2br w:val="nil"/>
                    <w:tr2bl w:val="nil"/>
                  </w:tcBorders>
                  <w:noWrap w:val="0"/>
                  <w:vAlign w:val="center"/>
                </w:tcPr>
                <w:p w14:paraId="1D1053C4">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7444</w:t>
                  </w:r>
                </w:p>
              </w:tc>
              <w:tc>
                <w:tcPr>
                  <w:tcW w:w="617" w:type="pct"/>
                  <w:tcBorders>
                    <w:tl2br w:val="nil"/>
                    <w:tr2bl w:val="nil"/>
                  </w:tcBorders>
                  <w:noWrap w:val="0"/>
                  <w:vAlign w:val="center"/>
                </w:tcPr>
                <w:p w14:paraId="52B39E90">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109</w:t>
                  </w:r>
                </w:p>
              </w:tc>
              <w:tc>
                <w:tcPr>
                  <w:tcW w:w="582" w:type="pct"/>
                  <w:tcBorders>
                    <w:tl2br w:val="nil"/>
                    <w:tr2bl w:val="nil"/>
                  </w:tcBorders>
                  <w:noWrap w:val="0"/>
                  <w:vAlign w:val="center"/>
                </w:tcPr>
                <w:p w14:paraId="1D777E3B">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7151</w:t>
                  </w:r>
                </w:p>
              </w:tc>
              <w:tc>
                <w:tcPr>
                  <w:tcW w:w="598" w:type="pct"/>
                  <w:tcBorders>
                    <w:tl2br w:val="nil"/>
                    <w:tr2bl w:val="nil"/>
                  </w:tcBorders>
                  <w:noWrap w:val="0"/>
                  <w:vAlign w:val="center"/>
                </w:tcPr>
                <w:p w14:paraId="6C27922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7151</w:t>
                  </w:r>
                </w:p>
              </w:tc>
              <w:tc>
                <w:tcPr>
                  <w:tcW w:w="583" w:type="pct"/>
                  <w:tcBorders>
                    <w:tl2br w:val="nil"/>
                    <w:tr2bl w:val="nil"/>
                  </w:tcBorders>
                  <w:noWrap w:val="0"/>
                  <w:vAlign w:val="center"/>
                </w:tcPr>
                <w:p w14:paraId="1FF8DD1A">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109</w:t>
                  </w:r>
                </w:p>
              </w:tc>
              <w:tc>
                <w:tcPr>
                  <w:tcW w:w="543" w:type="pct"/>
                  <w:tcBorders>
                    <w:tl2br w:val="nil"/>
                    <w:tr2bl w:val="nil"/>
                  </w:tcBorders>
                  <w:noWrap w:val="0"/>
                  <w:vAlign w:val="center"/>
                </w:tcPr>
                <w:p w14:paraId="2E3AE72F">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noWrap w:val="0"/>
                  <w:vAlign w:val="center"/>
                </w:tcPr>
                <w:p w14:paraId="2433D4B1">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排入回水池，经</w:t>
                  </w:r>
                  <w:r>
                    <w:rPr>
                      <w:rFonts w:hint="eastAsia" w:cs="Times New Roman"/>
                      <w:b w:val="0"/>
                      <w:bCs w:val="0"/>
                      <w:color w:val="auto"/>
                      <w:sz w:val="18"/>
                      <w:szCs w:val="18"/>
                      <w:highlight w:val="none"/>
                      <w:vertAlign w:val="baseline"/>
                      <w:lang w:val="en-US" w:eastAsia="zh-CN"/>
                    </w:rPr>
                    <w:t>处理</w:t>
                  </w:r>
                  <w:r>
                    <w:rPr>
                      <w:rFonts w:hint="eastAsia" w:ascii="Times New Roman" w:hAnsi="Times New Roman" w:eastAsia="宋体" w:cs="Times New Roman"/>
                      <w:b w:val="0"/>
                      <w:bCs w:val="0"/>
                      <w:color w:val="auto"/>
                      <w:sz w:val="18"/>
                      <w:szCs w:val="18"/>
                      <w:highlight w:val="none"/>
                      <w:vertAlign w:val="baseline"/>
                      <w:lang w:val="en-US" w:eastAsia="zh-CN"/>
                    </w:rPr>
                    <w:t>后回用于磨矿工段和浮选工段。</w:t>
                  </w:r>
                </w:p>
              </w:tc>
            </w:tr>
            <w:tr w14:paraId="480F9B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3D503D1B">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cs="Times New Roman"/>
                      <w:b w:val="0"/>
                      <w:bCs w:val="0"/>
                      <w:color w:val="auto"/>
                      <w:sz w:val="18"/>
                      <w:szCs w:val="18"/>
                      <w:highlight w:val="none"/>
                      <w:vertAlign w:val="baseline"/>
                      <w:lang w:val="en-US" w:eastAsia="zh-CN"/>
                    </w:rPr>
                    <w:t>2</w:t>
                  </w:r>
                </w:p>
              </w:tc>
              <w:tc>
                <w:tcPr>
                  <w:tcW w:w="422" w:type="pct"/>
                  <w:tcBorders>
                    <w:tl2br w:val="nil"/>
                    <w:tr2bl w:val="nil"/>
                  </w:tcBorders>
                  <w:noWrap w:val="0"/>
                  <w:vAlign w:val="center"/>
                </w:tcPr>
                <w:p w14:paraId="3674A154">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
                    </w:rPr>
                  </w:pPr>
                  <w:r>
                    <w:rPr>
                      <w:rFonts w:hint="eastAsia" w:cs="Times New Roman"/>
                      <w:b w:val="0"/>
                      <w:bCs w:val="0"/>
                      <w:color w:val="auto"/>
                      <w:kern w:val="2"/>
                      <w:sz w:val="18"/>
                      <w:szCs w:val="18"/>
                      <w:highlight w:val="none"/>
                      <w:lang w:val="en-US" w:eastAsia="zh-CN" w:bidi="ar"/>
                    </w:rPr>
                    <w:t>设备冷却</w:t>
                  </w:r>
                </w:p>
              </w:tc>
              <w:tc>
                <w:tcPr>
                  <w:tcW w:w="547" w:type="pct"/>
                  <w:tcBorders>
                    <w:tl2br w:val="nil"/>
                    <w:tr2bl w:val="nil"/>
                  </w:tcBorders>
                  <w:noWrap w:val="0"/>
                  <w:vAlign w:val="center"/>
                </w:tcPr>
                <w:p w14:paraId="5D066FAA">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
                    </w:rPr>
                  </w:pPr>
                  <w:r>
                    <w:rPr>
                      <w:rFonts w:hint="eastAsia" w:cs="Times New Roman"/>
                      <w:b w:val="0"/>
                      <w:bCs w:val="0"/>
                      <w:color w:val="auto"/>
                      <w:kern w:val="2"/>
                      <w:sz w:val="18"/>
                      <w:szCs w:val="18"/>
                      <w:highlight w:val="none"/>
                      <w:lang w:val="en-US" w:eastAsia="zh-CN" w:bidi="ar"/>
                    </w:rPr>
                    <w:t>150</w:t>
                  </w:r>
                </w:p>
              </w:tc>
              <w:tc>
                <w:tcPr>
                  <w:tcW w:w="617" w:type="pct"/>
                  <w:tcBorders>
                    <w:tl2br w:val="nil"/>
                    <w:tr2bl w:val="nil"/>
                  </w:tcBorders>
                  <w:noWrap w:val="0"/>
                  <w:vAlign w:val="center"/>
                </w:tcPr>
                <w:p w14:paraId="2681578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150</w:t>
                  </w:r>
                </w:p>
              </w:tc>
              <w:tc>
                <w:tcPr>
                  <w:tcW w:w="582" w:type="pct"/>
                  <w:tcBorders>
                    <w:tl2br w:val="nil"/>
                    <w:tr2bl w:val="nil"/>
                  </w:tcBorders>
                  <w:noWrap w:val="0"/>
                  <w:vAlign w:val="center"/>
                </w:tcPr>
                <w:p w14:paraId="75DD4BE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98" w:type="pct"/>
                  <w:tcBorders>
                    <w:tl2br w:val="nil"/>
                    <w:tr2bl w:val="nil"/>
                  </w:tcBorders>
                  <w:noWrap w:val="0"/>
                  <w:vAlign w:val="center"/>
                </w:tcPr>
                <w:p w14:paraId="55067FBF">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144</w:t>
                  </w:r>
                </w:p>
              </w:tc>
              <w:tc>
                <w:tcPr>
                  <w:tcW w:w="583" w:type="pct"/>
                  <w:tcBorders>
                    <w:tl2br w:val="nil"/>
                    <w:tr2bl w:val="nil"/>
                  </w:tcBorders>
                  <w:shd w:val="clear" w:color="auto" w:fill="auto"/>
                  <w:noWrap w:val="0"/>
                  <w:vAlign w:val="center"/>
                </w:tcPr>
                <w:p w14:paraId="36145016">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6</w:t>
                  </w:r>
                </w:p>
              </w:tc>
              <w:tc>
                <w:tcPr>
                  <w:tcW w:w="543" w:type="pct"/>
                  <w:tcBorders>
                    <w:tl2br w:val="nil"/>
                    <w:tr2bl w:val="nil"/>
                  </w:tcBorders>
                  <w:shd w:val="clear" w:color="auto" w:fill="auto"/>
                  <w:noWrap w:val="0"/>
                  <w:vAlign w:val="center"/>
                </w:tcPr>
                <w:p w14:paraId="04D56A3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shd w:val="clear" w:color="auto" w:fill="auto"/>
                  <w:noWrap w:val="0"/>
                  <w:vAlign w:val="center"/>
                </w:tcPr>
                <w:p w14:paraId="102D8A39">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做为二次利用水就近供至一段磨矿排矿溜槽等处做为工艺用水。</w:t>
                  </w:r>
                </w:p>
              </w:tc>
            </w:tr>
            <w:tr w14:paraId="3C330D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7CCF6DBA">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w:t>
                  </w:r>
                </w:p>
              </w:tc>
              <w:tc>
                <w:tcPr>
                  <w:tcW w:w="422" w:type="pct"/>
                  <w:tcBorders>
                    <w:tl2br w:val="nil"/>
                    <w:tr2bl w:val="nil"/>
                  </w:tcBorders>
                  <w:noWrap w:val="0"/>
                  <w:vAlign w:val="center"/>
                </w:tcPr>
                <w:p w14:paraId="60578CE9">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kern w:val="2"/>
                      <w:sz w:val="18"/>
                      <w:szCs w:val="18"/>
                      <w:highlight w:val="none"/>
                      <w:lang w:val="en-US" w:eastAsia="zh-CN" w:bidi="ar"/>
                    </w:rPr>
                  </w:pPr>
                  <w:r>
                    <w:rPr>
                      <w:rFonts w:hint="eastAsia" w:cs="Times New Roman"/>
                      <w:b w:val="0"/>
                      <w:bCs w:val="0"/>
                      <w:color w:val="auto"/>
                      <w:kern w:val="2"/>
                      <w:sz w:val="18"/>
                      <w:szCs w:val="18"/>
                      <w:highlight w:val="none"/>
                      <w:lang w:val="en-US" w:eastAsia="zh-CN" w:bidi="ar"/>
                    </w:rPr>
                    <w:t>渣浆泵轴封水</w:t>
                  </w:r>
                </w:p>
              </w:tc>
              <w:tc>
                <w:tcPr>
                  <w:tcW w:w="547" w:type="pct"/>
                  <w:tcBorders>
                    <w:tl2br w:val="nil"/>
                    <w:tr2bl w:val="nil"/>
                  </w:tcBorders>
                  <w:noWrap w:val="0"/>
                  <w:vAlign w:val="center"/>
                </w:tcPr>
                <w:p w14:paraId="4FBA3944">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kern w:val="2"/>
                      <w:sz w:val="18"/>
                      <w:szCs w:val="18"/>
                      <w:highlight w:val="none"/>
                      <w:lang w:val="en-US" w:eastAsia="zh-CN" w:bidi="ar"/>
                    </w:rPr>
                  </w:pPr>
                  <w:r>
                    <w:rPr>
                      <w:rFonts w:hint="eastAsia" w:cs="Times New Roman"/>
                      <w:b w:val="0"/>
                      <w:bCs w:val="0"/>
                      <w:color w:val="auto"/>
                      <w:kern w:val="2"/>
                      <w:sz w:val="18"/>
                      <w:szCs w:val="18"/>
                      <w:highlight w:val="none"/>
                      <w:lang w:val="en-US" w:eastAsia="zh-CN" w:bidi="ar"/>
                    </w:rPr>
                    <w:t>72</w:t>
                  </w:r>
                </w:p>
              </w:tc>
              <w:tc>
                <w:tcPr>
                  <w:tcW w:w="617" w:type="pct"/>
                  <w:tcBorders>
                    <w:tl2br w:val="nil"/>
                    <w:tr2bl w:val="nil"/>
                  </w:tcBorders>
                  <w:noWrap w:val="0"/>
                  <w:vAlign w:val="center"/>
                </w:tcPr>
                <w:p w14:paraId="68F9C3AC">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72</w:t>
                  </w:r>
                </w:p>
              </w:tc>
              <w:tc>
                <w:tcPr>
                  <w:tcW w:w="582" w:type="pct"/>
                  <w:tcBorders>
                    <w:tl2br w:val="nil"/>
                    <w:tr2bl w:val="nil"/>
                  </w:tcBorders>
                  <w:noWrap w:val="0"/>
                  <w:vAlign w:val="center"/>
                </w:tcPr>
                <w:p w14:paraId="063AD620">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98" w:type="pct"/>
                  <w:tcBorders>
                    <w:tl2br w:val="nil"/>
                    <w:tr2bl w:val="nil"/>
                  </w:tcBorders>
                  <w:noWrap w:val="0"/>
                  <w:vAlign w:val="center"/>
                </w:tcPr>
                <w:p w14:paraId="1987EC8F">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83" w:type="pct"/>
                  <w:tcBorders>
                    <w:tl2br w:val="nil"/>
                    <w:tr2bl w:val="nil"/>
                  </w:tcBorders>
                  <w:shd w:val="clear" w:color="auto" w:fill="auto"/>
                  <w:noWrap w:val="0"/>
                  <w:vAlign w:val="center"/>
                </w:tcPr>
                <w:p w14:paraId="5FC1B6C5">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72</w:t>
                  </w:r>
                </w:p>
              </w:tc>
              <w:tc>
                <w:tcPr>
                  <w:tcW w:w="543" w:type="pct"/>
                  <w:tcBorders>
                    <w:tl2br w:val="nil"/>
                    <w:tr2bl w:val="nil"/>
                  </w:tcBorders>
                  <w:shd w:val="clear" w:color="auto" w:fill="auto"/>
                  <w:noWrap w:val="0"/>
                  <w:vAlign w:val="center"/>
                </w:tcPr>
                <w:p w14:paraId="6FF7A9DA">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shd w:val="clear" w:color="auto" w:fill="auto"/>
                  <w:noWrap w:val="0"/>
                  <w:vAlign w:val="center"/>
                </w:tcPr>
                <w:p w14:paraId="23F589DC">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无废水产生，不外排。</w:t>
                  </w:r>
                </w:p>
              </w:tc>
            </w:tr>
            <w:tr w14:paraId="77B85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1880052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w:t>
                  </w:r>
                </w:p>
              </w:tc>
              <w:tc>
                <w:tcPr>
                  <w:tcW w:w="422" w:type="pct"/>
                  <w:tcBorders>
                    <w:tl2br w:val="nil"/>
                    <w:tr2bl w:val="nil"/>
                  </w:tcBorders>
                  <w:noWrap w:val="0"/>
                  <w:vAlign w:val="center"/>
                </w:tcPr>
                <w:p w14:paraId="21D0203D">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缓冷场冷却</w:t>
                  </w:r>
                </w:p>
              </w:tc>
              <w:tc>
                <w:tcPr>
                  <w:tcW w:w="547" w:type="pct"/>
                  <w:tcBorders>
                    <w:tl2br w:val="nil"/>
                    <w:tr2bl w:val="nil"/>
                  </w:tcBorders>
                  <w:noWrap w:val="0"/>
                  <w:vAlign w:val="center"/>
                </w:tcPr>
                <w:p w14:paraId="77175FD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4130</w:t>
                  </w:r>
                </w:p>
              </w:tc>
              <w:tc>
                <w:tcPr>
                  <w:tcW w:w="617" w:type="pct"/>
                  <w:tcBorders>
                    <w:tl2br w:val="nil"/>
                    <w:tr2bl w:val="nil"/>
                  </w:tcBorders>
                  <w:noWrap w:val="0"/>
                  <w:vAlign w:val="center"/>
                </w:tcPr>
                <w:p w14:paraId="374BE45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170</w:t>
                  </w:r>
                </w:p>
              </w:tc>
              <w:tc>
                <w:tcPr>
                  <w:tcW w:w="582" w:type="pct"/>
                  <w:tcBorders>
                    <w:tl2br w:val="nil"/>
                    <w:tr2bl w:val="nil"/>
                  </w:tcBorders>
                  <w:noWrap w:val="0"/>
                  <w:vAlign w:val="center"/>
                </w:tcPr>
                <w:p w14:paraId="0232ED3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3960</w:t>
                  </w:r>
                </w:p>
              </w:tc>
              <w:tc>
                <w:tcPr>
                  <w:tcW w:w="598" w:type="pct"/>
                  <w:tcBorders>
                    <w:tl2br w:val="nil"/>
                    <w:tr2bl w:val="nil"/>
                  </w:tcBorders>
                  <w:noWrap w:val="0"/>
                  <w:vAlign w:val="center"/>
                </w:tcPr>
                <w:p w14:paraId="0C30EC6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3960</w:t>
                  </w:r>
                </w:p>
              </w:tc>
              <w:tc>
                <w:tcPr>
                  <w:tcW w:w="583" w:type="pct"/>
                  <w:tcBorders>
                    <w:tl2br w:val="nil"/>
                    <w:tr2bl w:val="nil"/>
                  </w:tcBorders>
                  <w:noWrap w:val="0"/>
                  <w:vAlign w:val="center"/>
                </w:tcPr>
                <w:p w14:paraId="762B33BC">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170</w:t>
                  </w:r>
                </w:p>
              </w:tc>
              <w:tc>
                <w:tcPr>
                  <w:tcW w:w="543" w:type="pct"/>
                  <w:tcBorders>
                    <w:tl2br w:val="nil"/>
                    <w:tr2bl w:val="nil"/>
                  </w:tcBorders>
                  <w:noWrap w:val="0"/>
                  <w:vAlign w:val="center"/>
                </w:tcPr>
                <w:p w14:paraId="241E8F46">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noWrap w:val="0"/>
                  <w:vAlign w:val="center"/>
                </w:tcPr>
                <w:p w14:paraId="0A24F380">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缓冷循环水池</w:t>
                  </w:r>
                </w:p>
              </w:tc>
            </w:tr>
            <w:tr w14:paraId="068664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20A9F2F8">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5</w:t>
                  </w:r>
                </w:p>
              </w:tc>
              <w:tc>
                <w:tcPr>
                  <w:tcW w:w="422" w:type="pct"/>
                  <w:tcBorders>
                    <w:tl2br w:val="nil"/>
                    <w:tr2bl w:val="nil"/>
                  </w:tcBorders>
                  <w:noWrap w:val="0"/>
                  <w:vAlign w:val="center"/>
                </w:tcPr>
                <w:p w14:paraId="02D3FA86">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选矿药剂制备</w:t>
                  </w:r>
                </w:p>
              </w:tc>
              <w:tc>
                <w:tcPr>
                  <w:tcW w:w="547" w:type="pct"/>
                  <w:tcBorders>
                    <w:tl2br w:val="nil"/>
                    <w:tr2bl w:val="nil"/>
                  </w:tcBorders>
                  <w:noWrap w:val="0"/>
                  <w:vAlign w:val="center"/>
                </w:tcPr>
                <w:p w14:paraId="2E763C3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42</w:t>
                  </w:r>
                </w:p>
              </w:tc>
              <w:tc>
                <w:tcPr>
                  <w:tcW w:w="617" w:type="pct"/>
                  <w:tcBorders>
                    <w:tl2br w:val="nil"/>
                    <w:tr2bl w:val="nil"/>
                  </w:tcBorders>
                  <w:noWrap w:val="0"/>
                  <w:vAlign w:val="center"/>
                </w:tcPr>
                <w:p w14:paraId="37656D1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42</w:t>
                  </w:r>
                </w:p>
              </w:tc>
              <w:tc>
                <w:tcPr>
                  <w:tcW w:w="582" w:type="pct"/>
                  <w:tcBorders>
                    <w:tl2br w:val="nil"/>
                    <w:tr2bl w:val="nil"/>
                  </w:tcBorders>
                  <w:noWrap w:val="0"/>
                  <w:vAlign w:val="center"/>
                </w:tcPr>
                <w:p w14:paraId="1647149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98" w:type="pct"/>
                  <w:tcBorders>
                    <w:tl2br w:val="nil"/>
                    <w:tr2bl w:val="nil"/>
                  </w:tcBorders>
                  <w:noWrap w:val="0"/>
                  <w:vAlign w:val="center"/>
                </w:tcPr>
                <w:p w14:paraId="732A14B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40</w:t>
                  </w:r>
                </w:p>
              </w:tc>
              <w:tc>
                <w:tcPr>
                  <w:tcW w:w="583" w:type="pct"/>
                  <w:tcBorders>
                    <w:tl2br w:val="nil"/>
                    <w:tr2bl w:val="nil"/>
                  </w:tcBorders>
                  <w:noWrap w:val="0"/>
                  <w:vAlign w:val="center"/>
                </w:tcPr>
                <w:p w14:paraId="6F6D98C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2</w:t>
                  </w:r>
                </w:p>
              </w:tc>
              <w:tc>
                <w:tcPr>
                  <w:tcW w:w="543" w:type="pct"/>
                  <w:tcBorders>
                    <w:tl2br w:val="nil"/>
                    <w:tr2bl w:val="nil"/>
                  </w:tcBorders>
                  <w:noWrap w:val="0"/>
                  <w:vAlign w:val="center"/>
                </w:tcPr>
                <w:p w14:paraId="1E6AEA59">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noWrap w:val="0"/>
                  <w:vAlign w:val="center"/>
                </w:tcPr>
                <w:p w14:paraId="36997D44">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随药剂一同进入浮选工段</w:t>
                  </w:r>
                </w:p>
              </w:tc>
            </w:tr>
            <w:tr w14:paraId="091790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1307BCB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6</w:t>
                  </w:r>
                </w:p>
              </w:tc>
              <w:tc>
                <w:tcPr>
                  <w:tcW w:w="422" w:type="pct"/>
                  <w:tcBorders>
                    <w:tl2br w:val="nil"/>
                    <w:tr2bl w:val="nil"/>
                  </w:tcBorders>
                  <w:noWrap w:val="0"/>
                  <w:vAlign w:val="center"/>
                </w:tcPr>
                <w:p w14:paraId="2A2DD9B9">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车辆清洗</w:t>
                  </w:r>
                </w:p>
              </w:tc>
              <w:tc>
                <w:tcPr>
                  <w:tcW w:w="547" w:type="pct"/>
                  <w:tcBorders>
                    <w:tl2br w:val="nil"/>
                    <w:tr2bl w:val="nil"/>
                  </w:tcBorders>
                  <w:noWrap w:val="0"/>
                  <w:vAlign w:val="center"/>
                </w:tcPr>
                <w:p w14:paraId="1D0ED38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0.95</w:t>
                  </w:r>
                </w:p>
              </w:tc>
              <w:tc>
                <w:tcPr>
                  <w:tcW w:w="617" w:type="pct"/>
                  <w:tcBorders>
                    <w:tl2br w:val="nil"/>
                    <w:tr2bl w:val="nil"/>
                  </w:tcBorders>
                  <w:noWrap w:val="0"/>
                  <w:vAlign w:val="center"/>
                </w:tcPr>
                <w:p w14:paraId="58AC46F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0.95</w:t>
                  </w:r>
                </w:p>
              </w:tc>
              <w:tc>
                <w:tcPr>
                  <w:tcW w:w="582" w:type="pct"/>
                  <w:tcBorders>
                    <w:tl2br w:val="nil"/>
                    <w:tr2bl w:val="nil"/>
                  </w:tcBorders>
                  <w:noWrap w:val="0"/>
                  <w:vAlign w:val="center"/>
                </w:tcPr>
                <w:p w14:paraId="116BE7B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98" w:type="pct"/>
                  <w:tcBorders>
                    <w:tl2br w:val="nil"/>
                    <w:tr2bl w:val="nil"/>
                  </w:tcBorders>
                  <w:noWrap w:val="0"/>
                  <w:vAlign w:val="center"/>
                </w:tcPr>
                <w:p w14:paraId="61846D2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0.76</w:t>
                  </w:r>
                </w:p>
              </w:tc>
              <w:tc>
                <w:tcPr>
                  <w:tcW w:w="583" w:type="pct"/>
                  <w:tcBorders>
                    <w:tl2br w:val="nil"/>
                    <w:tr2bl w:val="nil"/>
                  </w:tcBorders>
                  <w:noWrap w:val="0"/>
                  <w:vAlign w:val="center"/>
                </w:tcPr>
                <w:p w14:paraId="2BCDCA1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0.19</w:t>
                  </w:r>
                </w:p>
              </w:tc>
              <w:tc>
                <w:tcPr>
                  <w:tcW w:w="543" w:type="pct"/>
                  <w:tcBorders>
                    <w:tl2br w:val="nil"/>
                    <w:tr2bl w:val="nil"/>
                  </w:tcBorders>
                  <w:noWrap w:val="0"/>
                  <w:vAlign w:val="center"/>
                </w:tcPr>
                <w:p w14:paraId="5306D9C8">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noWrap w:val="0"/>
                  <w:vAlign w:val="center"/>
                </w:tcPr>
                <w:p w14:paraId="2667DA3A">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lang w:val="en-US" w:eastAsia="zh-CN"/>
                    </w:rPr>
                    <w:t>清洗废水直接用潜水泵抽回脱水工艺，如潜污泵损坏，废水收集到容积为600m</w:t>
                  </w:r>
                  <w:r>
                    <w:rPr>
                      <w:rFonts w:hint="eastAsia" w:cs="Times New Roman"/>
                      <w:b w:val="0"/>
                      <w:bCs w:val="0"/>
                      <w:color w:val="auto"/>
                      <w:sz w:val="18"/>
                      <w:szCs w:val="18"/>
                      <w:vertAlign w:val="superscript"/>
                      <w:lang w:val="en-US" w:eastAsia="zh-CN"/>
                    </w:rPr>
                    <w:t>3</w:t>
                  </w:r>
                  <w:r>
                    <w:rPr>
                      <w:rFonts w:hint="eastAsia" w:cs="Times New Roman"/>
                      <w:b w:val="0"/>
                      <w:bCs w:val="0"/>
                      <w:color w:val="auto"/>
                      <w:sz w:val="18"/>
                      <w:szCs w:val="18"/>
                      <w:vertAlign w:val="baseline"/>
                      <w:lang w:val="en-US" w:eastAsia="zh-CN"/>
                    </w:rPr>
                    <w:t>的</w:t>
                  </w:r>
                  <w:r>
                    <w:rPr>
                      <w:rFonts w:hint="eastAsia" w:cs="Times New Roman"/>
                      <w:b w:val="0"/>
                      <w:bCs w:val="0"/>
                      <w:color w:val="auto"/>
                      <w:sz w:val="18"/>
                      <w:szCs w:val="18"/>
                      <w:lang w:val="en-US" w:eastAsia="zh-CN"/>
                    </w:rPr>
                    <w:t>缓冷循环水池处理后回用，</w:t>
                  </w:r>
                  <w:r>
                    <w:rPr>
                      <w:rFonts w:hint="default" w:ascii="Times New Roman" w:hAnsi="Times New Roman" w:cs="Times New Roman"/>
                      <w:color w:val="auto"/>
                      <w:sz w:val="18"/>
                      <w:szCs w:val="18"/>
                      <w:highlight w:val="none"/>
                    </w:rPr>
                    <w:t>不外排。</w:t>
                  </w:r>
                </w:p>
              </w:tc>
            </w:tr>
          </w:tbl>
          <w:p w14:paraId="69342A3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项目水平</w:t>
            </w:r>
            <w:r>
              <w:rPr>
                <w:rFonts w:hint="default" w:ascii="Times New Roman" w:hAnsi="Times New Roman" w:eastAsia="宋体" w:cs="Times New Roman"/>
                <w:bCs/>
                <w:color w:val="auto"/>
                <w:sz w:val="24"/>
                <w:highlight w:val="none"/>
                <w:lang w:val="en-US" w:eastAsia="zh-CN"/>
              </w:rPr>
              <w:t>衡</w:t>
            </w:r>
            <w:r>
              <w:rPr>
                <w:rFonts w:hint="default" w:ascii="Times New Roman" w:hAnsi="Times New Roman" w:eastAsia="宋体" w:cs="Times New Roman"/>
                <w:bCs/>
                <w:color w:val="auto"/>
                <w:sz w:val="24"/>
                <w:highlight w:val="none"/>
              </w:rPr>
              <w:t>如下图所示：</w:t>
            </w:r>
          </w:p>
          <w:p w14:paraId="1A564775">
            <w:pPr>
              <w:pStyle w:val="8"/>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4"/>
                <w:szCs w:val="24"/>
                <w:highlight w:val="none"/>
              </w:rPr>
              <w:object>
                <v:shape id="_x0000_i1027" o:spt="75" type="#_x0000_t75" style="height:465.8pt;width:390.9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r>
              <w:rPr>
                <w:rFonts w:hint="default" w:ascii="Times New Roman" w:hAnsi="Times New Roman" w:eastAsia="宋体" w:cs="Times New Roman"/>
                <w:b/>
                <w:color w:val="auto"/>
                <w:sz w:val="21"/>
                <w:szCs w:val="21"/>
                <w:highlight w:val="none"/>
              </w:rPr>
              <w:t>图2-</w:t>
            </w:r>
            <w:r>
              <w:rPr>
                <w:rFonts w:hint="eastAsia" w:ascii="Times New Roman" w:hAnsi="Times New Roman"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项目水量平衡图  单位m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/d</w:t>
            </w:r>
          </w:p>
          <w:p w14:paraId="20B3DE7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default" w:ascii="Times New Roman" w:hAnsi="Times New Roman" w:eastAsia="宋体" w:cs="Times New Roman"/>
                <w:b/>
                <w:color w:val="auto"/>
                <w:sz w:val="24"/>
                <w:highlight w:val="none"/>
              </w:rPr>
            </w:pPr>
            <w:r>
              <w:rPr>
                <w:rFonts w:hint="eastAsia" w:cs="Times New Roman"/>
                <w:b/>
                <w:color w:val="auto"/>
                <w:sz w:val="24"/>
                <w:highlight w:val="none"/>
                <w:lang w:val="en-US" w:eastAsia="zh-CN"/>
              </w:rPr>
              <w:t>9</w:t>
            </w:r>
            <w:r>
              <w:rPr>
                <w:rFonts w:hint="eastAsia" w:ascii="Times New Roman" w:hAnsi="Times New Roman" w:cs="Times New Roman"/>
                <w:b/>
                <w:color w:val="auto"/>
                <w:sz w:val="24"/>
                <w:highlight w:val="none"/>
                <w:lang w:val="en-US" w:eastAsia="zh-CN"/>
              </w:rPr>
              <w:t>、</w:t>
            </w:r>
            <w:r>
              <w:rPr>
                <w:rFonts w:hint="default" w:ascii="Times New Roman" w:hAnsi="Times New Roman" w:eastAsia="宋体" w:cs="Times New Roman"/>
                <w:b/>
                <w:color w:val="auto"/>
                <w:sz w:val="24"/>
                <w:highlight w:val="none"/>
              </w:rPr>
              <w:t>劳动定员及工作制度</w:t>
            </w:r>
          </w:p>
          <w:p w14:paraId="03F9623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劳动定员：</w:t>
            </w:r>
            <w:r>
              <w:rPr>
                <w:rFonts w:hint="eastAsia" w:ascii="Times New Roman" w:hAnsi="Times New Roman" w:eastAsia="宋体" w:cs="Times New Roman"/>
                <w:bCs/>
                <w:color w:val="auto"/>
                <w:sz w:val="24"/>
                <w:szCs w:val="24"/>
                <w:highlight w:val="none"/>
                <w:lang w:val="en-US" w:eastAsia="zh-CN"/>
              </w:rPr>
              <w:t>项目总定员为54人，其中生产人员52人，管理、技术及服务人员2人。人员配置不考虑新增，全部利用原有人员。</w:t>
            </w:r>
          </w:p>
          <w:p w14:paraId="7CFD24A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工作制度：</w:t>
            </w:r>
            <w:r>
              <w:rPr>
                <w:rFonts w:hint="eastAsia"/>
                <w:sz w:val="24"/>
                <w:szCs w:val="24"/>
              </w:rPr>
              <w:t>渣选厂年工作</w:t>
            </w:r>
            <w:r>
              <w:rPr>
                <w:sz w:val="24"/>
                <w:szCs w:val="24"/>
              </w:rPr>
              <w:t>3</w:t>
            </w:r>
            <w:r>
              <w:rPr>
                <w:rFonts w:hint="eastAsia"/>
                <w:sz w:val="24"/>
                <w:szCs w:val="24"/>
              </w:rPr>
              <w:t>3</w:t>
            </w:r>
            <w:r>
              <w:rPr>
                <w:sz w:val="24"/>
                <w:szCs w:val="24"/>
              </w:rPr>
              <w:t>0d</w:t>
            </w:r>
            <w:r>
              <w:rPr>
                <w:rFonts w:hint="eastAsia"/>
                <w:sz w:val="24"/>
                <w:szCs w:val="24"/>
              </w:rPr>
              <w:t>，破碎筛分工段：每天2班，每班</w:t>
            </w:r>
            <w:r>
              <w:rPr>
                <w:sz w:val="24"/>
                <w:szCs w:val="24"/>
              </w:rPr>
              <w:t>8</w:t>
            </w:r>
            <w:r>
              <w:rPr>
                <w:rFonts w:hint="eastAsia"/>
                <w:sz w:val="24"/>
                <w:szCs w:val="24"/>
              </w:rPr>
              <w:t>h；其他工段：每天3班，每班</w:t>
            </w:r>
            <w:r>
              <w:rPr>
                <w:sz w:val="24"/>
                <w:szCs w:val="24"/>
              </w:rPr>
              <w:t>8</w:t>
            </w:r>
            <w:r>
              <w:rPr>
                <w:rFonts w:hint="eastAsia"/>
                <w:sz w:val="24"/>
                <w:szCs w:val="24"/>
              </w:rPr>
              <w:t>h的连续工作制。</w:t>
            </w:r>
          </w:p>
          <w:p w14:paraId="3C95294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default" w:ascii="Times New Roman" w:hAnsi="Times New Roman" w:eastAsia="宋体" w:cs="Times New Roman"/>
                <w:b/>
                <w:color w:val="auto"/>
                <w:sz w:val="24"/>
                <w:highlight w:val="none"/>
                <w:lang w:val="en-US" w:eastAsia="zh-CN"/>
              </w:rPr>
            </w:pPr>
            <w:r>
              <w:rPr>
                <w:rFonts w:hint="eastAsia" w:cs="Times New Roman"/>
                <w:b/>
                <w:color w:val="auto"/>
                <w:sz w:val="24"/>
                <w:highlight w:val="none"/>
                <w:lang w:val="en-US" w:eastAsia="zh-CN"/>
              </w:rPr>
              <w:t>10</w:t>
            </w:r>
            <w:r>
              <w:rPr>
                <w:rFonts w:hint="eastAsia" w:ascii="Times New Roman" w:hAnsi="Times New Roman" w:eastAsia="宋体" w:cs="Times New Roman"/>
                <w:b/>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项目环保投资</w:t>
            </w:r>
          </w:p>
          <w:p w14:paraId="109A628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bCs/>
                <w:color w:val="auto"/>
                <w:sz w:val="24"/>
                <w:szCs w:val="24"/>
                <w:highlight w:val="none"/>
                <w:lang w:val="en-US" w:eastAsia="zh-CN"/>
              </w:rPr>
              <w:t>本项目总投资1487.96万元，运营期环保设施均依托现有工程，新增环保主要为新增设备隔声、消声、减震，约为6万元，占总投资的0.403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w:t>
            </w:r>
          </w:p>
        </w:tc>
      </w:tr>
      <w:tr w14:paraId="1F7E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230" w:type="pct"/>
            <w:tcBorders>
              <w:tl2br w:val="nil"/>
              <w:tr2bl w:val="nil"/>
            </w:tcBorders>
            <w:noWrap w:val="0"/>
            <w:vAlign w:val="center"/>
          </w:tcPr>
          <w:p w14:paraId="66773305">
            <w:pPr>
              <w:keepNext w:val="0"/>
              <w:keepLines w:val="0"/>
              <w:pageBreakBefore w:val="0"/>
              <w:kinsoku/>
              <w:wordWrap/>
              <w:overflowPunct/>
              <w:topLinePunct w:val="0"/>
              <w:bidi w:val="0"/>
              <w:adjustRightInd w:val="0"/>
              <w:snapToGrid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4"/>
                <w:szCs w:val="24"/>
                <w:highlight w:val="none"/>
              </w:rPr>
              <w:t>工艺流程和产排污环节</w:t>
            </w:r>
          </w:p>
        </w:tc>
        <w:tc>
          <w:tcPr>
            <w:tcW w:w="4769" w:type="pct"/>
            <w:tcBorders>
              <w:tl2br w:val="nil"/>
              <w:tr2bl w:val="nil"/>
            </w:tcBorders>
            <w:noWrap w:val="0"/>
            <w:vAlign w:val="top"/>
          </w:tcPr>
          <w:p w14:paraId="7C445E2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（一）施工期工艺流程和产排污环节</w:t>
            </w:r>
          </w:p>
          <w:p w14:paraId="0824E94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施工期工艺流程图及产污节点图</w:t>
            </w:r>
          </w:p>
          <w:p w14:paraId="31D368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本项目为渣选工艺流程提效升级改造项目，施工期主要内容包括依托现有磨浮车间</w:t>
            </w:r>
            <w:r>
              <w:rPr>
                <w:rFonts w:hint="eastAsia" w:ascii="Times New Roman" w:hAnsi="Times New Roman" w:eastAsia="宋体" w:cs="Times New Roman"/>
                <w:color w:val="auto"/>
                <w:sz w:val="24"/>
                <w:szCs w:val="24"/>
                <w:highlight w:val="none"/>
                <w:lang w:val="en-US" w:eastAsia="zh-CN"/>
              </w:rPr>
              <w:t>新增再浮选作业浮选机，改造浮选机平台及基础；依托现有尾矿过滤厂房新增陶瓷过滤机及操作平台；在磨浮车间北侧新建塔磨机车间。</w:t>
            </w:r>
          </w:p>
          <w:p w14:paraId="55B215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lang w:eastAsia="zh-CN"/>
              </w:rPr>
            </w:pPr>
            <w:r>
              <w:rPr>
                <w:rFonts w:hint="default" w:ascii="Times New Roman" w:hAnsi="Times New Roman" w:eastAsia="宋体" w:cs="Times New Roman"/>
                <w:color w:val="auto"/>
                <w:sz w:val="24"/>
                <w:szCs w:val="24"/>
                <w:highlight w:val="none"/>
              </w:rPr>
              <w:t>施工期的工艺流程及产污情况见</w:t>
            </w:r>
            <w:r>
              <w:rPr>
                <w:rFonts w:hint="eastAsia" w:ascii="Times New Roman" w:hAnsi="Times New Roman"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图</w:t>
            </w:r>
            <w:r>
              <w:rPr>
                <w:rFonts w:hint="eastAsia" w:ascii="Times New Roman" w:hAnsi="Times New Roman" w:cs="Times New Roman"/>
                <w:color w:val="auto"/>
                <w:sz w:val="24"/>
                <w:szCs w:val="24"/>
                <w:highlight w:val="none"/>
                <w:lang w:eastAsia="zh-CN"/>
              </w:rPr>
              <w:t>：</w:t>
            </w:r>
          </w:p>
          <w:p w14:paraId="1034287E">
            <w:pPr>
              <w:pStyle w:val="11"/>
              <w:keepNext w:val="0"/>
              <w:keepLines w:val="0"/>
              <w:pageBreakBefore w:val="0"/>
              <w:kinsoku/>
              <w:wordWrap/>
              <w:overflowPunct/>
              <w:topLinePunct w:val="0"/>
              <w:bidi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object>
                <v:shape id="_x0000_i1028" o:spt="75" type="#_x0000_t75" style="height:135.9pt;width:356.3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p>
          <w:p w14:paraId="1AB96A5B">
            <w:pPr>
              <w:pStyle w:val="11"/>
              <w:keepNext w:val="0"/>
              <w:keepLines w:val="0"/>
              <w:pageBreakBefore w:val="0"/>
              <w:kinsoku/>
              <w:wordWrap/>
              <w:overflowPunct/>
              <w:topLinePunct w:val="0"/>
              <w:bidi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1"/>
                <w:szCs w:val="21"/>
                <w:highlight w:val="none"/>
                <w:lang w:val="en-US" w:eastAsia="zh-CN"/>
              </w:rPr>
              <w:t>图2-</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施工期</w:t>
            </w:r>
            <w:r>
              <w:rPr>
                <w:rFonts w:hint="default" w:ascii="Times New Roman" w:hAnsi="Times New Roman" w:eastAsia="宋体" w:cs="Times New Roman"/>
                <w:b/>
                <w:bCs/>
                <w:color w:val="auto"/>
                <w:sz w:val="21"/>
                <w:szCs w:val="21"/>
                <w:highlight w:val="none"/>
              </w:rPr>
              <w:t>工艺流程及产污</w:t>
            </w:r>
            <w:r>
              <w:rPr>
                <w:rFonts w:hint="default" w:ascii="Times New Roman" w:hAnsi="Times New Roman" w:eastAsia="宋体" w:cs="Times New Roman"/>
                <w:b/>
                <w:bCs/>
                <w:color w:val="auto"/>
                <w:sz w:val="21"/>
                <w:szCs w:val="21"/>
                <w:highlight w:val="none"/>
                <w:lang w:val="en-US" w:eastAsia="zh-CN"/>
              </w:rPr>
              <w:t>节点图</w:t>
            </w:r>
          </w:p>
          <w:p w14:paraId="7DDA779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工艺流程简述</w:t>
            </w:r>
            <w:r>
              <w:rPr>
                <w:rFonts w:hint="default" w:ascii="Times New Roman" w:hAnsi="Times New Roman" w:eastAsia="宋体" w:cs="Times New Roman"/>
                <w:color w:val="auto"/>
                <w:sz w:val="24"/>
                <w:szCs w:val="24"/>
                <w:highlight w:val="none"/>
                <w:lang w:eastAsia="zh-CN"/>
              </w:rPr>
              <w:t>：</w:t>
            </w:r>
          </w:p>
          <w:p w14:paraId="3E2D1E9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lang w:val="en-US" w:eastAsia="zh-CN"/>
              </w:rPr>
              <w:t>新建塔磨机车间包括基础建设、地面建筑结构、设备安装以及工程验收设备调试工艺，</w:t>
            </w:r>
            <w:r>
              <w:rPr>
                <w:rFonts w:hint="eastAsia" w:cs="Times New Roman"/>
                <w:color w:val="auto"/>
                <w:sz w:val="24"/>
                <w:szCs w:val="24"/>
                <w:highlight w:val="none"/>
                <w:lang w:val="en-US" w:eastAsia="zh-CN"/>
              </w:rPr>
              <w:t>磨浮车间和</w:t>
            </w:r>
            <w:r>
              <w:rPr>
                <w:rFonts w:hint="eastAsia" w:ascii="Times New Roman" w:hAnsi="Times New Roman" w:eastAsia="宋体" w:cs="Times New Roman"/>
                <w:color w:val="auto"/>
                <w:sz w:val="24"/>
                <w:szCs w:val="24"/>
                <w:highlight w:val="none"/>
                <w:lang w:val="en-US" w:eastAsia="zh-CN"/>
              </w:rPr>
              <w:t>尾矿过滤厂房仅涉及设备安装和工程验收设备调试工艺。</w:t>
            </w:r>
          </w:p>
          <w:p w14:paraId="6379CDE7">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）基础</w:t>
            </w:r>
            <w:r>
              <w:rPr>
                <w:rFonts w:hint="eastAsia" w:cs="Times New Roman"/>
                <w:color w:val="auto"/>
                <w:sz w:val="24"/>
                <w:highlight w:val="none"/>
                <w:lang w:val="en-US" w:eastAsia="zh-CN"/>
              </w:rPr>
              <w:t>建设</w:t>
            </w:r>
            <w:r>
              <w:rPr>
                <w:rFonts w:hint="default" w:ascii="Times New Roman" w:hAnsi="Times New Roman" w:eastAsia="宋体" w:cs="Times New Roman"/>
                <w:color w:val="auto"/>
                <w:sz w:val="24"/>
                <w:highlight w:val="none"/>
              </w:rPr>
              <w:t>：包括基槽开挖、浇筑砼垫层、承台模板及梁底测板安装、浇筑基础砼、基础砖砌筑和回填土等工序</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主要用到挖掘机、推土机等施工机械；</w:t>
            </w:r>
          </w:p>
          <w:p w14:paraId="678EE4F7">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）地面建筑结构：主要包括模板安装、钢筋安装、混凝土工程、模板拆除、填充墙工程和门窗框安装等工序。主要用到振捣机、切割机等机械设备；</w:t>
            </w:r>
          </w:p>
          <w:p w14:paraId="29CC48EB">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）设备安装：</w:t>
            </w:r>
            <w:r>
              <w:rPr>
                <w:rFonts w:hint="default" w:ascii="Times New Roman" w:hAnsi="Times New Roman" w:eastAsia="宋体" w:cs="Times New Roman"/>
                <w:color w:val="auto"/>
                <w:sz w:val="24"/>
                <w:highlight w:val="none"/>
                <w:lang w:val="en-US" w:eastAsia="zh-CN"/>
              </w:rPr>
              <w:t>安装新增设备，</w:t>
            </w:r>
            <w:r>
              <w:rPr>
                <w:rFonts w:hint="default" w:ascii="Times New Roman" w:hAnsi="Times New Roman" w:eastAsia="宋体" w:cs="Times New Roman"/>
                <w:color w:val="auto"/>
                <w:sz w:val="24"/>
                <w:szCs w:val="24"/>
                <w:highlight w:val="none"/>
              </w:rPr>
              <w:t>该工段噪声主要为运行及车辆噪声；废气主要为无组织扬尘及机械废气；固废主要为</w:t>
            </w:r>
            <w:r>
              <w:rPr>
                <w:rFonts w:hint="default" w:ascii="Times New Roman" w:hAnsi="Times New Roman" w:eastAsia="宋体" w:cs="Times New Roman"/>
                <w:color w:val="auto"/>
                <w:sz w:val="24"/>
                <w:szCs w:val="24"/>
                <w:highlight w:val="none"/>
                <w:lang w:val="en-US" w:eastAsia="zh-CN"/>
              </w:rPr>
              <w:t>金属废料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rPr>
              <w:t>设备包装废料</w:t>
            </w:r>
            <w:r>
              <w:rPr>
                <w:rFonts w:hint="default" w:ascii="Times New Roman" w:hAnsi="Times New Roman" w:eastAsia="宋体" w:cs="Times New Roman"/>
                <w:color w:val="auto"/>
                <w:sz w:val="24"/>
                <w:highlight w:val="none"/>
              </w:rPr>
              <w:t>；</w:t>
            </w:r>
          </w:p>
          <w:p w14:paraId="46EADB9C">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Chars="0" w:right="0" w:rightChars="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工程验收及设备调试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rPr>
              <w:t>设备安装调试后投入使用，该阶段产生的污染物主要为噪声。</w:t>
            </w:r>
          </w:p>
          <w:p w14:paraId="0C2F4262">
            <w:pPr>
              <w:keepNext w:val="0"/>
              <w:keepLines w:val="0"/>
              <w:pageBreakBefore w:val="0"/>
              <w:widowControl w:val="0"/>
              <w:kinsoku/>
              <w:wordWrap/>
              <w:overflowPunct/>
              <w:topLinePunct w:val="0"/>
              <w:autoSpaceDE/>
              <w:autoSpaceDN/>
              <w:bidi w:val="0"/>
              <w:spacing w:line="360" w:lineRule="auto"/>
              <w:ind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2、施工进度</w:t>
            </w:r>
          </w:p>
          <w:p w14:paraId="6A73B7E7">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rPr>
              <w:t>项目计划于202</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进行施工作业</w:t>
            </w:r>
            <w:r>
              <w:rPr>
                <w:rFonts w:hint="eastAsia"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前</w:t>
            </w:r>
            <w:r>
              <w:rPr>
                <w:rFonts w:hint="eastAsia" w:ascii="Times New Roman" w:hAnsi="Times New Roman" w:eastAsia="宋体" w:cs="Times New Roman"/>
                <w:color w:val="auto"/>
                <w:sz w:val="24"/>
                <w:szCs w:val="24"/>
                <w:highlight w:val="none"/>
              </w:rPr>
              <w:t>竣工，施工</w:t>
            </w:r>
            <w:r>
              <w:rPr>
                <w:rFonts w:hint="eastAsia" w:ascii="Times New Roman" w:hAnsi="Times New Roman" w:eastAsia="宋体" w:cs="Times New Roman"/>
                <w:color w:val="auto"/>
                <w:sz w:val="24"/>
                <w:szCs w:val="24"/>
                <w:highlight w:val="none"/>
                <w:lang w:val="en-US" w:eastAsia="zh-CN"/>
              </w:rPr>
              <w:t>工期为6</w:t>
            </w:r>
            <w:r>
              <w:rPr>
                <w:rFonts w:hint="eastAsia" w:ascii="Times New Roman" w:hAnsi="Times New Roman" w:eastAsia="宋体" w:cs="Times New Roman"/>
                <w:color w:val="auto"/>
                <w:sz w:val="24"/>
                <w:szCs w:val="24"/>
                <w:highlight w:val="none"/>
              </w:rPr>
              <w:t>个月。</w:t>
            </w:r>
          </w:p>
          <w:p w14:paraId="644E092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（二）运营期工艺流程和产排污环节</w:t>
            </w:r>
          </w:p>
          <w:p w14:paraId="457F727D">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根据本项目产品方案、现场踏勘及咨询业主，项目运营期间具体工艺流程如下：</w:t>
            </w:r>
          </w:p>
          <w:p w14:paraId="4EDB07DF">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①</w:t>
            </w:r>
            <w:r>
              <w:rPr>
                <w:rFonts w:hint="eastAsia" w:ascii="Times New Roman" w:hAnsi="Times New Roman" w:eastAsia="宋体" w:cs="Times New Roman"/>
                <w:color w:val="auto"/>
                <w:sz w:val="24"/>
                <w:highlight w:val="none"/>
              </w:rPr>
              <w:t>炉渣缓冷</w:t>
            </w:r>
          </w:p>
          <w:p w14:paraId="6D7AEDF7">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炉渣通过渣溜槽放入渣包内，再用电动平车运至渣缓冷场冷却。底吹炉渣自然缓冷≥18小时，放水缓冷时间48小时以上，总缓冷时间≥68小时；底吹炉带冰铜渣自然缓冷≥24小时，放水缓冷时间48小时以上，总缓冷时间≥72小时；转炉渣自然缓冷时间≥30小时，转炉渣手动加水缓冷，控制阀门开度在三分之一左右进行小水量间断性加水缓冷（加水10分钟，停止10分钟）重复4次水至渣层上方停止加水，观察渣层表面无明显变化，再开始漫水缓冷，总缓冷时间≥100小时以上。缓冷后的炉渣再由门型吊车运至翻包平台翻倒至渣堆场。</w:t>
            </w:r>
          </w:p>
          <w:p w14:paraId="22542BA2">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②破碎</w:t>
            </w:r>
          </w:p>
          <w:p w14:paraId="5D56CF4D">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缓冷的熔炼渣倒至翻包区域，设置</w:t>
            </w:r>
            <w:r>
              <w:rPr>
                <w:rFonts w:hint="eastAsia" w:ascii="Times New Roman" w:hAnsi="Times New Roman" w:eastAsia="宋体" w:cs="Times New Roman"/>
                <w:color w:val="auto"/>
                <w:sz w:val="24"/>
                <w:highlight w:val="none"/>
              </w:rPr>
              <w:t>移动式液压</w:t>
            </w:r>
            <w:r>
              <w:rPr>
                <w:rFonts w:hint="eastAsia" w:eastAsia="宋体" w:cs="Times New Roman"/>
                <w:color w:val="auto"/>
                <w:sz w:val="24"/>
                <w:highlight w:val="none"/>
                <w:lang w:val="en-US" w:eastAsia="zh-CN"/>
              </w:rPr>
              <w:t>机</w:t>
            </w:r>
            <w:r>
              <w:rPr>
                <w:rFonts w:hint="eastAsia" w:cs="Times New Roman"/>
                <w:color w:val="auto"/>
                <w:sz w:val="24"/>
                <w:highlight w:val="none"/>
                <w:lang w:val="en-US" w:eastAsia="zh-CN"/>
              </w:rPr>
              <w:t>进行初级破碎，</w:t>
            </w:r>
            <w:r>
              <w:rPr>
                <w:rFonts w:hint="eastAsia" w:ascii="Times New Roman" w:hAnsi="Times New Roman" w:eastAsia="宋体" w:cs="Times New Roman"/>
                <w:color w:val="auto"/>
                <w:sz w:val="24"/>
                <w:highlight w:val="none"/>
              </w:rPr>
              <w:t>将大块</w:t>
            </w:r>
            <w:r>
              <w:rPr>
                <w:rFonts w:hint="eastAsia" w:cs="Times New Roman"/>
                <w:color w:val="auto"/>
                <w:sz w:val="24"/>
                <w:highlight w:val="none"/>
                <w:lang w:val="en-US" w:eastAsia="zh-CN"/>
              </w:rPr>
              <w:t>熔炼渣</w:t>
            </w:r>
            <w:r>
              <w:rPr>
                <w:rFonts w:hint="eastAsia" w:ascii="Times New Roman" w:hAnsi="Times New Roman" w:eastAsia="宋体" w:cs="Times New Roman"/>
                <w:color w:val="auto"/>
                <w:sz w:val="24"/>
                <w:highlight w:val="none"/>
              </w:rPr>
              <w:t>破碎至300mm以下粒度</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破碎完成后的熔炼渣</w:t>
            </w:r>
            <w:r>
              <w:rPr>
                <w:rFonts w:hint="eastAsia" w:ascii="Times New Roman" w:hAnsi="Times New Roman" w:eastAsia="宋体" w:cs="Times New Roman"/>
                <w:color w:val="auto"/>
                <w:sz w:val="24"/>
                <w:highlight w:val="none"/>
                <w:lang w:val="en-US" w:eastAsia="zh-CN"/>
              </w:rPr>
              <w:t>用装载机运至</w:t>
            </w:r>
            <w:r>
              <w:rPr>
                <w:rFonts w:hint="eastAsia" w:cs="Times New Roman"/>
                <w:color w:val="auto"/>
                <w:sz w:val="24"/>
                <w:highlight w:val="none"/>
                <w:lang w:val="en-US" w:eastAsia="zh-CN"/>
              </w:rPr>
              <w:t>铜冶炼渣堆场</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然后进行粗碎，粗碎后的冶炼渣暂存于铜冶炼渣矿仓，</w:t>
            </w:r>
            <w:r>
              <w:rPr>
                <w:rFonts w:hint="eastAsia" w:ascii="Times New Roman" w:hAnsi="Times New Roman" w:eastAsia="宋体" w:cs="Times New Roman"/>
                <w:color w:val="auto"/>
                <w:sz w:val="24"/>
                <w:highlight w:val="none"/>
                <w:lang w:val="en-US" w:eastAsia="zh-CN"/>
              </w:rPr>
              <w:t>由皮带运至中细碎车间</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rPr>
              <w:t>经给矿机进入鄂式破碎机进行</w:t>
            </w:r>
            <w:r>
              <w:rPr>
                <w:rFonts w:hint="eastAsia" w:ascii="Times New Roman" w:hAnsi="Times New Roman" w:eastAsia="宋体" w:cs="Times New Roman"/>
                <w:color w:val="auto"/>
                <w:sz w:val="24"/>
                <w:highlight w:val="none"/>
                <w:lang w:val="en-US" w:eastAsia="zh-CN"/>
              </w:rPr>
              <w:t>中碎</w:t>
            </w:r>
            <w:r>
              <w:rPr>
                <w:rFonts w:hint="eastAsia" w:ascii="Times New Roman" w:hAnsi="Times New Roman" w:eastAsia="宋体" w:cs="Times New Roman"/>
                <w:color w:val="auto"/>
                <w:sz w:val="24"/>
                <w:highlight w:val="none"/>
              </w:rPr>
              <w:t>后进入振动筛，筛上产物</w:t>
            </w:r>
            <w:r>
              <w:rPr>
                <w:rFonts w:hint="eastAsia" w:cs="Times New Roman"/>
                <w:color w:val="auto"/>
                <w:sz w:val="24"/>
                <w:highlight w:val="none"/>
                <w:lang w:eastAsia="zh-CN"/>
              </w:rPr>
              <w:t>（</w:t>
            </w:r>
            <w:r>
              <w:rPr>
                <w:rFonts w:hint="eastAsia" w:cs="Times New Roman"/>
                <w:color w:val="auto"/>
                <w:sz w:val="24"/>
                <w:highlight w:val="none"/>
                <w:lang w:val="en-US" w:eastAsia="zh-CN"/>
              </w:rPr>
              <w:t>粒径&gt;</w:t>
            </w:r>
            <w:r>
              <w:rPr>
                <w:rFonts w:hint="eastAsia" w:ascii="Times New Roman" w:hAnsi="Times New Roman" w:eastAsia="宋体" w:cs="Times New Roman"/>
                <w:color w:val="auto"/>
                <w:sz w:val="24"/>
                <w:highlight w:val="none"/>
              </w:rPr>
              <w:t>12mm</w:t>
            </w:r>
            <w:r>
              <w:rPr>
                <w:rFonts w:hint="eastAsia" w:cs="Times New Roman"/>
                <w:color w:val="auto"/>
                <w:sz w:val="24"/>
                <w:highlight w:val="none"/>
                <w:lang w:eastAsia="zh-CN"/>
              </w:rPr>
              <w:t>，</w:t>
            </w:r>
            <w:r>
              <w:rPr>
                <w:rFonts w:hint="eastAsia" w:cs="Times New Roman"/>
                <w:color w:val="auto"/>
                <w:sz w:val="24"/>
                <w:highlight w:val="none"/>
                <w:lang w:val="en-US" w:eastAsia="zh-CN"/>
              </w:rPr>
              <w:t>约占85%</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进入圆锥破碎机进行细碎，</w:t>
            </w:r>
            <w:r>
              <w:rPr>
                <w:rFonts w:hint="eastAsia" w:cs="Times New Roman"/>
                <w:color w:val="auto"/>
                <w:sz w:val="24"/>
                <w:highlight w:val="none"/>
                <w:lang w:val="en-US" w:eastAsia="zh-CN"/>
              </w:rPr>
              <w:t>筛下产物（粒径&lt;12mm，约占15%）进行磨矿工段</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由于铜渣易碎难磨，采用“</w:t>
            </w:r>
            <w:r>
              <w:rPr>
                <w:rFonts w:hint="eastAsia" w:ascii="Times New Roman" w:hAnsi="Times New Roman" w:eastAsia="宋体" w:cs="Times New Roman"/>
                <w:color w:val="auto"/>
                <w:sz w:val="24"/>
                <w:highlight w:val="none"/>
                <w:lang w:val="en-US" w:eastAsia="zh-CN"/>
              </w:rPr>
              <w:t>三</w:t>
            </w:r>
            <w:r>
              <w:rPr>
                <w:rFonts w:hint="eastAsia" w:ascii="Times New Roman" w:hAnsi="Times New Roman" w:eastAsia="宋体" w:cs="Times New Roman"/>
                <w:color w:val="auto"/>
                <w:sz w:val="24"/>
                <w:highlight w:val="none"/>
              </w:rPr>
              <w:t>段一闭路”的破碎流程，最终破碎粒度为</w:t>
            </w:r>
            <w:r>
              <w:rPr>
                <w:rFonts w:hint="eastAsia" w:cs="Times New Roman"/>
                <w:color w:val="auto"/>
                <w:sz w:val="24"/>
                <w:highlight w:val="none"/>
                <w:lang w:val="en-US" w:eastAsia="zh-CN"/>
              </w:rPr>
              <w:t>&lt;</w:t>
            </w:r>
            <w:r>
              <w:rPr>
                <w:rFonts w:hint="eastAsia" w:ascii="Times New Roman" w:hAnsi="Times New Roman" w:eastAsia="宋体" w:cs="Times New Roman"/>
                <w:color w:val="auto"/>
                <w:sz w:val="24"/>
                <w:highlight w:val="none"/>
              </w:rPr>
              <w:t>12mm</w:t>
            </w:r>
            <w:r>
              <w:rPr>
                <w:rFonts w:hint="eastAsia" w:ascii="Times New Roman" w:hAnsi="Times New Roman" w:cs="Times New Roman"/>
                <w:color w:val="auto"/>
                <w:sz w:val="24"/>
                <w:highlight w:val="none"/>
                <w:lang w:eastAsia="zh-CN"/>
              </w:rPr>
              <w:t>。</w:t>
            </w:r>
          </w:p>
          <w:p w14:paraId="31131DD2">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③</w:t>
            </w:r>
            <w:r>
              <w:rPr>
                <w:rFonts w:hint="eastAsia" w:ascii="Times New Roman" w:hAnsi="Times New Roman" w:eastAsia="宋体" w:cs="Times New Roman"/>
                <w:color w:val="auto"/>
                <w:sz w:val="24"/>
                <w:highlight w:val="none"/>
                <w:lang w:val="en-US" w:eastAsia="zh-CN"/>
              </w:rPr>
              <w:t>磨矿选别</w:t>
            </w:r>
          </w:p>
          <w:p w14:paraId="2E077DC4">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rPr>
            </w:pPr>
            <w:r>
              <w:rPr>
                <w:rFonts w:hint="eastAsia" w:cs="Times New Roman"/>
                <w:color w:val="auto"/>
                <w:sz w:val="24"/>
                <w:highlight w:val="none"/>
                <w:lang w:val="en-US" w:eastAsia="zh-CN"/>
              </w:rPr>
              <w:t>破碎产品进入球磨机，为保证原来细度，采用湿法粉磨，补充水从磨头加入。</w:t>
            </w:r>
            <w:r>
              <w:rPr>
                <w:rFonts w:hint="eastAsia" w:ascii="Times New Roman" w:hAnsi="Times New Roman" w:eastAsia="宋体" w:cs="Times New Roman"/>
                <w:color w:val="auto"/>
                <w:sz w:val="24"/>
                <w:highlight w:val="none"/>
              </w:rPr>
              <w:t>磨矿选别采用“阶段磨矿—阶段选别”的工艺流程。一段磨矿由1#、2#、3#球磨机并联，分别与旋流器组成闭路分级，磨矿细度</w:t>
            </w:r>
            <w:r>
              <w:rPr>
                <w:rFonts w:hint="eastAsia" w:cs="Times New Roman"/>
                <w:color w:val="auto"/>
                <w:sz w:val="24"/>
                <w:highlight w:val="none"/>
                <w:lang w:val="en-US" w:eastAsia="zh-CN"/>
              </w:rPr>
              <w:t>&gt;0.074mm的返回球磨机，</w:t>
            </w:r>
            <w:r>
              <w:rPr>
                <w:rFonts w:hint="eastAsia" w:ascii="Times New Roman" w:hAnsi="Times New Roman" w:eastAsia="宋体" w:cs="Times New Roman"/>
                <w:color w:val="auto"/>
                <w:sz w:val="24"/>
                <w:highlight w:val="none"/>
              </w:rPr>
              <w:t>磨矿细度</w:t>
            </w:r>
            <w:r>
              <w:rPr>
                <w:rFonts w:hint="eastAsia" w:cs="Times New Roman"/>
                <w:color w:val="auto"/>
                <w:sz w:val="24"/>
                <w:highlight w:val="none"/>
                <w:lang w:val="en-US" w:eastAsia="zh-CN"/>
              </w:rPr>
              <w:t>&lt;</w:t>
            </w:r>
            <w:r>
              <w:rPr>
                <w:rFonts w:hint="eastAsia" w:ascii="Times New Roman" w:hAnsi="Times New Roman" w:eastAsia="宋体" w:cs="Times New Roman"/>
                <w:color w:val="auto"/>
                <w:sz w:val="24"/>
                <w:highlight w:val="none"/>
              </w:rPr>
              <w:t>0.074mm占72%进入快速浮选作业，获得铜精矿</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快速浮选尾矿给入4#球磨机进行二段磨矿</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二段磨矿与旋流器组成闭路分级，磨矿细度</w:t>
            </w:r>
            <w:r>
              <w:rPr>
                <w:rFonts w:hint="eastAsia" w:cs="Times New Roman"/>
                <w:color w:val="auto"/>
                <w:sz w:val="24"/>
                <w:highlight w:val="none"/>
                <w:lang w:val="en-US" w:eastAsia="zh-CN"/>
              </w:rPr>
              <w:t>&gt;0.074mm的返回球磨机，</w:t>
            </w:r>
            <w:r>
              <w:rPr>
                <w:rFonts w:hint="eastAsia" w:ascii="Times New Roman" w:hAnsi="Times New Roman" w:eastAsia="宋体" w:cs="Times New Roman"/>
                <w:color w:val="auto"/>
                <w:sz w:val="24"/>
                <w:highlight w:val="none"/>
              </w:rPr>
              <w:t>磨矿细度为</w:t>
            </w:r>
            <w:r>
              <w:rPr>
                <w:rFonts w:hint="eastAsia" w:cs="Times New Roman"/>
                <w:color w:val="auto"/>
                <w:sz w:val="24"/>
                <w:highlight w:val="none"/>
                <w:lang w:val="en-US" w:eastAsia="zh-CN"/>
              </w:rPr>
              <w:t>&lt;</w:t>
            </w:r>
            <w:r>
              <w:rPr>
                <w:rFonts w:hint="eastAsia" w:ascii="Times New Roman" w:hAnsi="Times New Roman" w:eastAsia="宋体" w:cs="Times New Roman"/>
                <w:color w:val="auto"/>
                <w:sz w:val="24"/>
                <w:highlight w:val="none"/>
              </w:rPr>
              <w:t>0.074mm占93%</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溢流进入一粗三扫二精的浮选流程，获得铜精矿。两部分铜精矿合并进入磁选除铁作业，磁选尾矿（非磁性）即为最终产品铜精矿。浮选尾矿经“磁粗选—磁扫选”的流程，尾矿抛尾，磁选精矿合并进入再磨分级闭路流程，磨矿细度</w:t>
            </w:r>
            <w:r>
              <w:rPr>
                <w:rFonts w:hint="eastAsia" w:cs="Times New Roman"/>
                <w:color w:val="auto"/>
                <w:sz w:val="24"/>
                <w:highlight w:val="none"/>
                <w:lang w:val="en-US" w:eastAsia="zh-CN"/>
              </w:rPr>
              <w:t>&gt;</w:t>
            </w:r>
            <w:r>
              <w:rPr>
                <w:rFonts w:hint="eastAsia" w:ascii="Times New Roman" w:hAnsi="Times New Roman" w:eastAsia="宋体" w:cs="Times New Roman"/>
                <w:color w:val="auto"/>
                <w:sz w:val="24"/>
                <w:highlight w:val="none"/>
              </w:rPr>
              <w:t>0.038mm</w:t>
            </w:r>
            <w:r>
              <w:rPr>
                <w:rFonts w:hint="eastAsia" w:cs="Times New Roman"/>
                <w:color w:val="auto"/>
                <w:sz w:val="24"/>
                <w:highlight w:val="none"/>
                <w:lang w:val="en-US" w:eastAsia="zh-CN"/>
              </w:rPr>
              <w:t>返回磨机再磨，</w:t>
            </w:r>
            <w:r>
              <w:rPr>
                <w:rFonts w:hint="eastAsia" w:ascii="Times New Roman" w:hAnsi="Times New Roman" w:eastAsia="宋体" w:cs="Times New Roman"/>
                <w:color w:val="auto"/>
                <w:sz w:val="24"/>
                <w:highlight w:val="none"/>
              </w:rPr>
              <w:t>磨矿细度</w:t>
            </w:r>
            <w:r>
              <w:rPr>
                <w:rFonts w:hint="eastAsia" w:cs="Times New Roman"/>
                <w:color w:val="auto"/>
                <w:sz w:val="24"/>
                <w:highlight w:val="none"/>
                <w:lang w:val="en-US" w:eastAsia="zh-CN"/>
              </w:rPr>
              <w:t>&lt;</w:t>
            </w:r>
            <w:r>
              <w:rPr>
                <w:rFonts w:hint="eastAsia" w:ascii="Times New Roman" w:hAnsi="Times New Roman" w:eastAsia="宋体" w:cs="Times New Roman"/>
                <w:color w:val="auto"/>
                <w:sz w:val="24"/>
                <w:highlight w:val="none"/>
              </w:rPr>
              <w:t>0.038mm占90%</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分级溢流</w:t>
            </w:r>
            <w:r>
              <w:rPr>
                <w:rFonts w:hint="eastAsia" w:cs="Times New Roman"/>
                <w:color w:val="auto"/>
                <w:sz w:val="24"/>
                <w:highlight w:val="none"/>
                <w:lang w:val="en-US" w:eastAsia="zh-CN"/>
              </w:rPr>
              <w:t>进入</w:t>
            </w:r>
            <w:r>
              <w:rPr>
                <w:rFonts w:hint="eastAsia" w:ascii="Times New Roman" w:hAnsi="Times New Roman" w:eastAsia="宋体" w:cs="Times New Roman"/>
                <w:color w:val="auto"/>
                <w:sz w:val="24"/>
                <w:highlight w:val="none"/>
              </w:rPr>
              <w:t>二粗二扫二精的再浮选流程，获得低品位的铜精矿，与铜精矿合并一起进入脱水作业。再浮选尾矿进入“磁粗选—磁精选Ⅰ—磁精选Ⅱ”的流程，最终获得铁精矿产品，磁选尾矿抛尾。</w:t>
            </w:r>
          </w:p>
          <w:p w14:paraId="7AEE2AFD">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④脱水工艺</w:t>
            </w:r>
          </w:p>
          <w:p w14:paraId="4BC99D7B">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rPr>
            </w:pPr>
            <w:r>
              <w:rPr>
                <w:rFonts w:hint="eastAsia" w:ascii="Times New Roman" w:hAnsi="Times New Roman" w:cs="Times New Roman"/>
                <w:b w:val="0"/>
                <w:bCs/>
                <w:color w:val="auto"/>
                <w:sz w:val="24"/>
                <w:highlight w:val="none"/>
                <w:lang w:val="en-US" w:eastAsia="zh-CN"/>
              </w:rPr>
              <w:t>采用陶瓷过滤机进行脱水，</w:t>
            </w:r>
            <w:r>
              <w:rPr>
                <w:rFonts w:hint="eastAsia" w:ascii="Times New Roman" w:hAnsi="Times New Roman" w:eastAsia="宋体" w:cs="Times New Roman"/>
                <w:color w:val="auto"/>
                <w:sz w:val="24"/>
                <w:highlight w:val="none"/>
              </w:rPr>
              <w:t>铜精矿脱水利用现有流程，采用浓缩+过滤两段脱水</w:t>
            </w:r>
            <w:r>
              <w:rPr>
                <w:rFonts w:hint="eastAsia" w:cs="Times New Roman"/>
                <w:color w:val="auto"/>
                <w:sz w:val="24"/>
                <w:highlight w:val="none"/>
                <w:lang w:eastAsia="zh-CN"/>
              </w:rPr>
              <w:t>，</w:t>
            </w:r>
            <w:r>
              <w:rPr>
                <w:rFonts w:hint="eastAsia" w:cs="Times New Roman"/>
                <w:color w:val="auto"/>
                <w:sz w:val="24"/>
                <w:highlight w:val="none"/>
                <w:lang w:val="en-US" w:eastAsia="zh-CN"/>
              </w:rPr>
              <w:t>获得铜精矿堆存至铜精矿</w:t>
            </w:r>
            <w:r>
              <w:rPr>
                <w:rFonts w:hint="eastAsia" w:ascii="Times New Roman" w:hAnsi="Times New Roman" w:eastAsia="宋体" w:cs="Times New Roman"/>
                <w:color w:val="auto"/>
                <w:sz w:val="24"/>
                <w:highlight w:val="none"/>
                <w:lang w:val="en-US" w:eastAsia="zh-CN"/>
              </w:rPr>
              <w:t>仓，</w:t>
            </w:r>
            <w:r>
              <w:rPr>
                <w:rFonts w:hint="eastAsia" w:ascii="Times New Roman" w:hAnsi="Times New Roman" w:eastAsia="宋体" w:cs="Times New Roman"/>
                <w:color w:val="auto"/>
                <w:sz w:val="24"/>
                <w:highlight w:val="none"/>
              </w:rPr>
              <w:t>通过汽车运输至冶炼厂原料仓。</w:t>
            </w:r>
          </w:p>
          <w:p w14:paraId="61AEBF51">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铁精矿脱水利用现有流程，采用浓缩+过滤两段脱水</w:t>
            </w:r>
            <w:r>
              <w:rPr>
                <w:rFonts w:hint="eastAsia" w:cs="Times New Roman"/>
                <w:color w:val="auto"/>
                <w:sz w:val="24"/>
                <w:highlight w:val="none"/>
                <w:lang w:eastAsia="zh-CN"/>
              </w:rPr>
              <w:t>，</w:t>
            </w:r>
            <w:r>
              <w:rPr>
                <w:rFonts w:hint="eastAsia" w:cs="Times New Roman"/>
                <w:color w:val="auto"/>
                <w:sz w:val="24"/>
                <w:highlight w:val="none"/>
                <w:lang w:val="en-US" w:eastAsia="zh-CN"/>
              </w:rPr>
              <w:t>获得铁精矿暂存于铁精矿仓，然后外售</w:t>
            </w:r>
            <w:r>
              <w:rPr>
                <w:rFonts w:hint="eastAsia" w:ascii="Times New Roman" w:hAnsi="Times New Roman" w:eastAsia="宋体" w:cs="Times New Roman"/>
                <w:color w:val="auto"/>
                <w:sz w:val="24"/>
                <w:highlight w:val="none"/>
              </w:rPr>
              <w:t>。</w:t>
            </w:r>
          </w:p>
          <w:p w14:paraId="2DE8033D">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尾矿脱水利用现有流程，采用浓缩+过滤两段脱水，获得尾渣暂存至现有的尾矿仓，然后外售给易门洪斌经贸有限公司、</w:t>
            </w:r>
            <w:r>
              <w:rPr>
                <w:rFonts w:hint="eastAsia" w:ascii="Times New Roman" w:hAnsi="Times New Roman" w:cs="Times New Roman"/>
                <w:color w:val="auto"/>
                <w:sz w:val="24"/>
                <w:lang w:val="en-US" w:eastAsia="zh-CN"/>
              </w:rPr>
              <w:t>海邦矿业（峨山）有限公司</w:t>
            </w:r>
            <w:r>
              <w:rPr>
                <w:rFonts w:hint="eastAsia" w:ascii="Times New Roman" w:hAnsi="Times New Roman" w:eastAsia="宋体" w:cs="Times New Roman"/>
                <w:color w:val="auto"/>
                <w:sz w:val="24"/>
                <w:highlight w:val="none"/>
                <w:lang w:val="en-US" w:eastAsia="zh-CN"/>
              </w:rPr>
              <w:t>以及易门六街二台坡渣选有限公司。</w:t>
            </w:r>
          </w:p>
          <w:p w14:paraId="4DDE1BE7">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27D1A1CE">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71B5FF24">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74AB4B96">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3CA46DBE">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54DE5C7F">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26632E26">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6B09FFD0">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54B05FF7">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0E447B7B">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6080F880">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4BB83C79">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76AE8001">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1A75B870">
            <w:pPr>
              <w:keepNext w:val="0"/>
              <w:keepLines w:val="0"/>
              <w:pageBreakBefore w:val="0"/>
              <w:widowControl w:val="0"/>
              <w:kinsoku/>
              <w:wordWrap/>
              <w:overflowPunct/>
              <w:topLinePunct w:val="0"/>
              <w:autoSpaceDE/>
              <w:autoSpaceDN/>
              <w:bidi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p>
          <w:p w14:paraId="706E053A">
            <w:pPr>
              <w:keepNext w:val="0"/>
              <w:keepLines w:val="0"/>
              <w:pageBreakBefore w:val="0"/>
              <w:widowControl w:val="0"/>
              <w:kinsoku/>
              <w:wordWrap/>
              <w:overflowPunct/>
              <w:topLinePunct w:val="0"/>
              <w:autoSpaceDE/>
              <w:autoSpaceDN/>
              <w:bidi w:val="0"/>
              <w:spacing w:line="360" w:lineRule="auto"/>
              <w:jc w:val="both"/>
              <w:textAlignment w:val="auto"/>
              <w:rPr>
                <w:rFonts w:hint="default" w:ascii="Times New Roman" w:hAnsi="Times New Roman" w:eastAsia="宋体" w:cs="Times New Roman"/>
                <w:color w:val="auto"/>
                <w:sz w:val="24"/>
                <w:highlight w:val="none"/>
                <w:lang w:val="en-US" w:eastAsia="zh-CN"/>
              </w:rPr>
            </w:pPr>
          </w:p>
        </w:tc>
      </w:tr>
    </w:tbl>
    <w:p w14:paraId="5EBEAD1B">
      <w:pPr>
        <w:keepNext w:val="0"/>
        <w:keepLines w:val="0"/>
        <w:pageBreakBefore w:val="0"/>
        <w:kinsoku/>
        <w:wordWrap/>
        <w:overflowPunct/>
        <w:topLinePunct w:val="0"/>
        <w:bidi w:val="0"/>
        <w:adjustRightInd w:val="0"/>
        <w:snapToGrid w:val="0"/>
        <w:spacing w:beforeAutospacing="0" w:afterAutospacing="0"/>
        <w:ind w:left="0" w:leftChars="0" w:right="0" w:firstLine="0" w:firstLineChars="0"/>
        <w:jc w:val="center"/>
        <w:rPr>
          <w:rFonts w:hint="default" w:ascii="Times New Roman" w:hAnsi="Times New Roman" w:eastAsia="宋体" w:cs="Times New Roman"/>
          <w:b/>
          <w:bCs w:val="0"/>
          <w:color w:val="auto"/>
          <w:kern w:val="2"/>
          <w:sz w:val="24"/>
          <w:szCs w:val="24"/>
          <w:highlight w:val="none"/>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D369CBF">
      <w:pPr>
        <w:keepNext w:val="0"/>
        <w:keepLines w:val="0"/>
        <w:pageBreakBefore w:val="0"/>
        <w:kinsoku/>
        <w:wordWrap/>
        <w:overflowPunct/>
        <w:topLinePunct w:val="0"/>
        <w:bidi w:val="0"/>
        <w:adjustRightInd w:val="0"/>
        <w:snapToGrid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color w:val="auto"/>
        </w:rPr>
        <w:object>
          <v:shape id="_x0000_i1029" o:spt="75" type="#_x0000_t75" style="height:634.55pt;width:748.4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p>
    <w:p w14:paraId="516D2AF6">
      <w:pPr>
        <w:keepNext w:val="0"/>
        <w:keepLines w:val="0"/>
        <w:pageBreakBefore w:val="0"/>
        <w:kinsoku/>
        <w:wordWrap/>
        <w:overflowPunct/>
        <w:topLinePunct w:val="0"/>
        <w:bidi w:val="0"/>
        <w:adjustRightInd w:val="0"/>
        <w:snapToGrid w:val="0"/>
        <w:spacing w:beforeAutospacing="0" w:afterAutospacing="0"/>
        <w:ind w:left="0" w:leftChars="0" w:right="0" w:firstLine="0" w:firstLineChars="0"/>
        <w:jc w:val="center"/>
        <w:rPr>
          <w:color w:val="auto"/>
        </w:rPr>
      </w:pPr>
      <w:r>
        <w:rPr>
          <w:rFonts w:hint="default" w:ascii="Times New Roman" w:hAnsi="Times New Roman" w:eastAsia="宋体" w:cs="Times New Roman"/>
          <w:b/>
          <w:bCs/>
          <w:color w:val="auto"/>
          <w:sz w:val="21"/>
          <w:szCs w:val="21"/>
          <w:highlight w:val="none"/>
          <w:lang w:val="en-US" w:eastAsia="zh-CN"/>
        </w:rPr>
        <w:t>图2-</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运营</w:t>
      </w:r>
      <w:r>
        <w:rPr>
          <w:rFonts w:hint="default" w:ascii="Times New Roman" w:hAnsi="Times New Roman" w:eastAsia="宋体" w:cs="Times New Roman"/>
          <w:b/>
          <w:bCs/>
          <w:color w:val="auto"/>
          <w:sz w:val="21"/>
          <w:szCs w:val="21"/>
          <w:highlight w:val="none"/>
          <w:lang w:val="en-US" w:eastAsia="zh-CN"/>
        </w:rPr>
        <w:t>期</w:t>
      </w:r>
      <w:r>
        <w:rPr>
          <w:rFonts w:hint="default" w:ascii="Times New Roman" w:hAnsi="Times New Roman" w:eastAsia="宋体" w:cs="Times New Roman"/>
          <w:b/>
          <w:bCs/>
          <w:color w:val="auto"/>
          <w:sz w:val="21"/>
          <w:szCs w:val="21"/>
          <w:highlight w:val="none"/>
        </w:rPr>
        <w:t>工艺流程及产污</w:t>
      </w:r>
      <w:r>
        <w:rPr>
          <w:rFonts w:hint="default" w:ascii="Times New Roman" w:hAnsi="Times New Roman" w:eastAsia="宋体" w:cs="Times New Roman"/>
          <w:b/>
          <w:bCs/>
          <w:color w:val="auto"/>
          <w:sz w:val="21"/>
          <w:szCs w:val="21"/>
          <w:highlight w:val="none"/>
          <w:lang w:val="en-US" w:eastAsia="zh-CN"/>
        </w:rPr>
        <w:t>节点图</w:t>
      </w:r>
    </w:p>
    <w:p w14:paraId="1896B897">
      <w:pPr>
        <w:keepNext w:val="0"/>
        <w:keepLines w:val="0"/>
        <w:pageBreakBefore w:val="0"/>
        <w:kinsoku/>
        <w:wordWrap/>
        <w:overflowPunct/>
        <w:topLinePunct w:val="0"/>
        <w:bidi w:val="0"/>
        <w:adjustRightInd w:val="0"/>
        <w:snapToGrid w:val="0"/>
        <w:spacing w:beforeAutospacing="0" w:afterAutospacing="0"/>
        <w:ind w:left="0" w:leftChars="0" w:right="0" w:firstLine="0" w:firstLineChars="0"/>
        <w:jc w:val="center"/>
        <w:rPr>
          <w:rFonts w:hint="default"/>
          <w:color w:val="auto"/>
        </w:rPr>
        <w:sectPr>
          <w:pgSz w:w="23811" w:h="16838"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5"/>
      </w:tblGrid>
      <w:tr w14:paraId="5E71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atLeast"/>
          <w:jc w:val="center"/>
        </w:trPr>
        <w:tc>
          <w:tcPr>
            <w:tcW w:w="230" w:type="pct"/>
            <w:tcBorders>
              <w:tl2br w:val="nil"/>
              <w:tr2bl w:val="nil"/>
            </w:tcBorders>
            <w:noWrap w:val="0"/>
            <w:vAlign w:val="center"/>
          </w:tcPr>
          <w:p w14:paraId="77D94D00">
            <w:pPr>
              <w:keepNext w:val="0"/>
              <w:keepLines w:val="0"/>
              <w:pageBreakBefore w:val="0"/>
              <w:kinsoku/>
              <w:wordWrap/>
              <w:overflowPunct/>
              <w:topLinePunct w:val="0"/>
              <w:bidi w:val="0"/>
              <w:adjustRightInd w:val="0"/>
              <w:snapToGrid w:val="0"/>
              <w:spacing w:beforeAutospacing="0" w:afterAutospacing="0"/>
              <w:ind w:left="0" w:leftChars="0" w:right="0" w:firstLine="0" w:firstLineChars="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kern w:val="2"/>
                <w:sz w:val="24"/>
                <w:szCs w:val="24"/>
                <w:highlight w:val="none"/>
              </w:rPr>
              <w:t>与项目有关的原有环境污染问题</w:t>
            </w:r>
          </w:p>
        </w:tc>
        <w:tc>
          <w:tcPr>
            <w:tcW w:w="4769" w:type="pct"/>
            <w:tcBorders>
              <w:tl2br w:val="nil"/>
              <w:tr2bl w:val="nil"/>
            </w:tcBorders>
            <w:noWrap w:val="0"/>
            <w:vAlign w:val="top"/>
          </w:tcPr>
          <w:p w14:paraId="4C7620A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现有项目概况</w:t>
            </w:r>
          </w:p>
          <w:p w14:paraId="607C02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企业基本情况</w:t>
            </w:r>
          </w:p>
          <w:p w14:paraId="2621179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易门铜业有限公司坐落于云南省玉溪市易门县</w:t>
            </w:r>
            <w:r>
              <w:rPr>
                <w:rFonts w:hint="eastAsia" w:ascii="Times New Roman" w:hAnsi="Times New Roman" w:eastAsia="宋体" w:cs="Times New Roman"/>
                <w:color w:val="auto"/>
                <w:sz w:val="24"/>
                <w:highlight w:val="none"/>
                <w:lang w:val="en-US" w:eastAsia="zh-CN"/>
              </w:rPr>
              <w:t>云南易门产业园区</w:t>
            </w:r>
            <w:r>
              <w:rPr>
                <w:rFonts w:hint="default" w:ascii="Times New Roman" w:hAnsi="Times New Roman" w:eastAsia="宋体" w:cs="Times New Roman"/>
                <w:color w:val="auto"/>
                <w:sz w:val="24"/>
                <w:highlight w:val="none"/>
                <w:lang w:val="en-US" w:eastAsia="zh-CN"/>
              </w:rPr>
              <w:t>大椿树</w:t>
            </w:r>
            <w:r>
              <w:rPr>
                <w:rFonts w:hint="eastAsia" w:ascii="Times New Roman" w:hAnsi="Times New Roman" w:eastAsia="宋体" w:cs="Times New Roman"/>
                <w:color w:val="auto"/>
                <w:sz w:val="24"/>
                <w:highlight w:val="none"/>
                <w:lang w:val="en-US" w:eastAsia="zh-CN"/>
              </w:rPr>
              <w:t>片区</w:t>
            </w:r>
            <w:r>
              <w:rPr>
                <w:rFonts w:hint="default" w:ascii="Times New Roman" w:hAnsi="Times New Roman" w:eastAsia="宋体" w:cs="Times New Roman"/>
                <w:color w:val="auto"/>
                <w:sz w:val="24"/>
                <w:highlight w:val="none"/>
                <w:lang w:val="en-US" w:eastAsia="zh-CN"/>
              </w:rPr>
              <w:t>，始建于1993年，投产于1995年，现为云南铜业股份有限公司控股。公司已形成阳极铜年产15万吨、硫酸年产42万吨的生产规模。</w:t>
            </w:r>
          </w:p>
          <w:p w14:paraId="5644E6C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现有项目环保手续履行情况</w:t>
            </w:r>
          </w:p>
          <w:p w14:paraId="592374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eastAsia="宋体" w:cs="Times New Roman"/>
                <w:color w:val="auto"/>
                <w:kern w:val="2"/>
                <w:sz w:val="24"/>
                <w:szCs w:val="24"/>
                <w:highlight w:val="none"/>
                <w:lang w:val="en-US" w:eastAsia="zh-CN" w:bidi="ar-SA"/>
              </w:rPr>
              <w:t>易门铜业有限公司</w:t>
            </w:r>
            <w:r>
              <w:rPr>
                <w:rFonts w:hint="default" w:ascii="Times New Roman" w:hAnsi="Times New Roman" w:eastAsia="宋体" w:cs="Times New Roman"/>
                <w:color w:val="auto"/>
                <w:kern w:val="2"/>
                <w:sz w:val="24"/>
                <w:szCs w:val="24"/>
                <w:highlight w:val="none"/>
                <w:lang w:val="en-US" w:eastAsia="zh-CN" w:bidi="ar-SA"/>
              </w:rPr>
              <w:t>现</w:t>
            </w:r>
            <w:r>
              <w:rPr>
                <w:rFonts w:hint="eastAsia" w:ascii="Times New Roman" w:hAnsi="Times New Roman" w:eastAsia="宋体" w:cs="Times New Roman"/>
                <w:color w:val="auto"/>
                <w:kern w:val="2"/>
                <w:sz w:val="24"/>
                <w:szCs w:val="24"/>
                <w:highlight w:val="none"/>
                <w:lang w:val="en-US" w:eastAsia="zh-CN" w:bidi="ar-SA"/>
              </w:rPr>
              <w:t>正常运行的各项</w:t>
            </w:r>
            <w:r>
              <w:rPr>
                <w:rFonts w:hint="default" w:ascii="Times New Roman" w:hAnsi="Times New Roman" w:eastAsia="宋体" w:cs="Times New Roman"/>
                <w:color w:val="auto"/>
                <w:kern w:val="2"/>
                <w:sz w:val="24"/>
                <w:szCs w:val="24"/>
                <w:highlight w:val="none"/>
                <w:lang w:val="en-US" w:eastAsia="zh-CN" w:bidi="ar-SA"/>
              </w:rPr>
              <w:t>工程</w:t>
            </w:r>
            <w:r>
              <w:rPr>
                <w:rFonts w:hint="eastAsia" w:ascii="Times New Roman" w:hAnsi="Times New Roman" w:eastAsia="宋体" w:cs="Times New Roman"/>
                <w:color w:val="auto"/>
                <w:kern w:val="2"/>
                <w:sz w:val="24"/>
                <w:szCs w:val="24"/>
                <w:highlight w:val="none"/>
                <w:lang w:val="en-US" w:eastAsia="zh-CN" w:bidi="ar-SA"/>
              </w:rPr>
              <w:t>均</w:t>
            </w:r>
            <w:r>
              <w:rPr>
                <w:rFonts w:hint="default" w:ascii="Times New Roman" w:hAnsi="Times New Roman" w:eastAsia="宋体" w:cs="Times New Roman"/>
                <w:color w:val="auto"/>
                <w:kern w:val="2"/>
                <w:sz w:val="24"/>
                <w:szCs w:val="24"/>
                <w:highlight w:val="none"/>
                <w:lang w:val="en-US" w:eastAsia="zh-CN" w:bidi="ar-SA"/>
              </w:rPr>
              <w:t>已按照《中华人民共和国环境影响评价法》及《建设项目环境保护管理条例》的相关要求，履行了环境影响评价及竣工环保验收手续。企业已申领排污许可证，</w:t>
            </w:r>
            <w:r>
              <w:rPr>
                <w:rFonts w:hint="default" w:ascii="Times New Roman" w:hAnsi="Times New Roman" w:cs="Times New Roman"/>
                <w:color w:val="000000" w:themeColor="text1"/>
                <w:sz w:val="24"/>
                <w:szCs w:val="24"/>
                <w:highlight w:val="none"/>
                <w14:textFill>
                  <w14:solidFill>
                    <w14:schemeClr w14:val="tx1"/>
                  </w14:solidFill>
                </w14:textFill>
              </w:rPr>
              <w:t>现行有效的排污许可证有效期自20</w:t>
            </w:r>
            <w:r>
              <w:rPr>
                <w:rFonts w:hint="eastAsia"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szCs w:val="24"/>
                <w:highlight w:val="none"/>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23</w:t>
            </w:r>
            <w:r>
              <w:rPr>
                <w:rFonts w:hint="default" w:ascii="Times New Roman" w:hAnsi="Times New Roman" w:cs="Times New Roman"/>
                <w:color w:val="000000" w:themeColor="text1"/>
                <w:sz w:val="24"/>
                <w:szCs w:val="24"/>
                <w:highlight w:val="none"/>
                <w14:textFill>
                  <w14:solidFill>
                    <w14:schemeClr w14:val="tx1"/>
                  </w14:solidFill>
                </w14:textFill>
              </w:rPr>
              <w:t>日起至20</w:t>
            </w:r>
            <w:r>
              <w:rPr>
                <w:rFonts w:hint="default" w:ascii="Times New Roman" w:hAnsi="Times New Roman" w:cs="Times New Roman"/>
                <w:color w:val="000000" w:themeColor="text1"/>
                <w:sz w:val="24"/>
                <w:szCs w:val="24"/>
                <w:highlight w:val="none"/>
                <w:lang w:val="en-US"/>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22</w:t>
            </w:r>
            <w:r>
              <w:rPr>
                <w:rFonts w:hint="default" w:ascii="Times New Roman" w:hAnsi="Times New Roman" w:cs="Times New Roman"/>
                <w:color w:val="000000" w:themeColor="text1"/>
                <w:sz w:val="24"/>
                <w:szCs w:val="24"/>
                <w:highlight w:val="none"/>
                <w14:textFill>
                  <w14:solidFill>
                    <w14:schemeClr w14:val="tx1"/>
                  </w14:solidFill>
                </w14:textFill>
              </w:rPr>
              <w:t>日止</w:t>
            </w:r>
            <w:r>
              <w:rPr>
                <w:rFonts w:hint="default" w:ascii="Times New Roman" w:hAnsi="Times New Roman" w:cs="Times New Roman"/>
                <w:bCs/>
                <w:color w:val="000000" w:themeColor="text1"/>
                <w:sz w:val="24"/>
                <w:szCs w:val="24"/>
                <w:highlight w:val="none"/>
                <w14:textFill>
                  <w14:solidFill>
                    <w14:schemeClr w14:val="tx1"/>
                  </w14:solidFill>
                </w14:textFill>
              </w:rPr>
              <w:t>，证号：91530425217792969W001P</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202</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5</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年</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9</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月建设单位编制完成《</w:t>
            </w:r>
            <w:r>
              <w:rPr>
                <w:rFonts w:hint="eastAsia" w:eastAsia="宋体" w:cs="Times New Roman"/>
                <w:caps w:val="0"/>
                <w:color w:val="000000" w:themeColor="text1"/>
                <w:spacing w:val="0"/>
                <w:w w:val="100"/>
                <w:position w:val="0"/>
                <w:sz w:val="24"/>
                <w:szCs w:val="24"/>
                <w:highlight w:val="none"/>
                <w:lang w:val="en-US" w:eastAsia="zh-CN"/>
                <w14:textFill>
                  <w14:solidFill>
                    <w14:schemeClr w14:val="tx1"/>
                  </w14:solidFill>
                </w14:textFill>
              </w:rPr>
              <w:t>易门铜业有限公司</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突发环境事件应急预案（20</w:t>
            </w:r>
            <w:r>
              <w:rPr>
                <w:rFonts w:hint="eastAsia" w:eastAsia="宋体" w:cs="Times New Roman"/>
                <w:caps w:val="0"/>
                <w:color w:val="000000" w:themeColor="text1"/>
                <w:spacing w:val="0"/>
                <w:w w:val="100"/>
                <w:position w:val="0"/>
                <w:sz w:val="24"/>
                <w:szCs w:val="24"/>
                <w:highlight w:val="none"/>
                <w:lang w:val="en-US" w:eastAsia="zh-CN"/>
                <w14:textFill>
                  <w14:solidFill>
                    <w14:schemeClr w14:val="tx1"/>
                  </w14:solidFill>
                </w14:textFill>
              </w:rPr>
              <w:t>25</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年</w:t>
            </w:r>
            <w:r>
              <w:rPr>
                <w:rFonts w:hint="default"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版</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）》，并于202</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5</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年</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11</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月</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4</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日</w:t>
            </w:r>
            <w:r>
              <w:rPr>
                <w:rFonts w:hint="eastAsia" w:eastAsia="宋体" w:cs="Times New Roman"/>
                <w:caps w:val="0"/>
                <w:color w:val="000000" w:themeColor="text1"/>
                <w:spacing w:val="0"/>
                <w:w w:val="100"/>
                <w:position w:val="0"/>
                <w:sz w:val="24"/>
                <w:szCs w:val="24"/>
                <w:highlight w:val="none"/>
                <w:lang w:val="en-US" w:eastAsia="zh-CN"/>
                <w14:textFill>
                  <w14:solidFill>
                    <w14:schemeClr w14:val="tx1"/>
                  </w14:solidFill>
                </w14:textFill>
              </w:rPr>
              <w:t>通过</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玉溪生态环境局</w:t>
            </w:r>
            <w:r>
              <w:rPr>
                <w:rFonts w:hint="eastAsia" w:cs="Times New Roman"/>
                <w:caps w:val="0"/>
                <w:color w:val="000000" w:themeColor="text1"/>
                <w:spacing w:val="0"/>
                <w:w w:val="100"/>
                <w:position w:val="0"/>
                <w:sz w:val="24"/>
                <w:szCs w:val="24"/>
                <w:highlight w:val="none"/>
                <w:lang w:val="en-US" w:eastAsia="zh-CN"/>
                <w14:textFill>
                  <w14:solidFill>
                    <w14:schemeClr w14:val="tx1"/>
                  </w14:solidFill>
                </w14:textFill>
              </w:rPr>
              <w:t>易门</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分局</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备案，备案编号为</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530425</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2025</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052</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w:t>
            </w:r>
            <w:r>
              <w:rPr>
                <w:rFonts w:hint="eastAsia" w:ascii="Times New Roman" w:hAnsi="Times New Roman" w:cs="Times New Roman"/>
                <w:caps w:val="0"/>
                <w:color w:val="000000" w:themeColor="text1"/>
                <w:spacing w:val="0"/>
                <w:w w:val="100"/>
                <w:position w:val="0"/>
                <w:sz w:val="24"/>
                <w:szCs w:val="24"/>
                <w:highlight w:val="none"/>
                <w:lang w:val="en-US" w:eastAsia="zh-CN"/>
                <w14:textFill>
                  <w14:solidFill>
                    <w14:schemeClr w14:val="tx1"/>
                  </w14:solidFill>
                </w14:textFill>
              </w:rPr>
              <w:t>H</w:t>
            </w:r>
            <w:r>
              <w:rPr>
                <w:rFonts w:hint="default" w:ascii="Times New Roman" w:hAnsi="Times New Roman" w:eastAsia="宋体" w:cs="Times New Roman"/>
                <w:caps w:val="0"/>
                <w:color w:val="000000" w:themeColor="text1"/>
                <w:spacing w:val="0"/>
                <w:w w:val="100"/>
                <w:position w:val="0"/>
                <w:sz w:val="24"/>
                <w:szCs w:val="24"/>
                <w:highlight w:val="none"/>
                <w:lang w:val="en-US" w:eastAsia="zh-CN"/>
                <w14:textFill>
                  <w14:solidFill>
                    <w14:schemeClr w14:val="tx1"/>
                  </w14:solidFill>
                </w14:textFill>
              </w:rPr>
              <w:t>。</w:t>
            </w:r>
          </w:p>
          <w:p w14:paraId="44E4368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目前厂内主要有两大生产主线即（1）易门铜业有限公司环保高效清洁化生产改造工程；（2）易门铜业有限公司铜冶炼渣资源综合利用工程项目（一期、二期</w:t>
            </w:r>
            <w:r>
              <w:rPr>
                <w:rFonts w:hint="eastAsia" w:ascii="Times New Roman" w:hAnsi="Times New Roman" w:eastAsia="宋体" w:cs="Times New Roman"/>
                <w:color w:val="auto"/>
                <w:sz w:val="24"/>
                <w:highlight w:val="none"/>
                <w:lang w:val="en-US" w:eastAsia="zh-CN"/>
              </w:rPr>
              <w:t>、铜火法冶炼渣资源化增值化利用关键技术研究扩大试验项目</w:t>
            </w:r>
            <w:r>
              <w:rPr>
                <w:rFonts w:hint="default" w:ascii="Times New Roman" w:hAnsi="Times New Roman" w:eastAsia="宋体" w:cs="Times New Roman"/>
                <w:color w:val="auto"/>
                <w:sz w:val="24"/>
                <w:highlight w:val="none"/>
                <w:lang w:val="en-US" w:eastAsia="zh-CN"/>
              </w:rPr>
              <w:t>）。</w:t>
            </w:r>
          </w:p>
          <w:p w14:paraId="7C501FC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eastAsia="宋体" w:cs="Times New Roman"/>
                <w:color w:val="auto"/>
                <w:sz w:val="24"/>
                <w:highlight w:val="none"/>
                <w:lang w:val="en-US" w:eastAsia="zh-CN"/>
              </w:rPr>
            </w:pPr>
            <w:r>
              <w:rPr>
                <w:rFonts w:hint="eastAsia"/>
                <w:color w:val="auto"/>
                <w:highlight w:val="none"/>
                <w:lang w:val="en-US" w:eastAsia="zh-CN"/>
              </w:rPr>
              <w:t>易门铜业有限公司</w:t>
            </w:r>
            <w:r>
              <w:rPr>
                <w:rFonts w:hint="eastAsia" w:ascii="Times New Roman" w:hAnsi="Times New Roman"/>
                <w:caps w:val="0"/>
                <w:smallCaps w:val="0"/>
                <w:color w:val="auto"/>
                <w:highlight w:val="none"/>
                <w:lang w:val="en-US" w:eastAsia="zh-CN"/>
              </w:rPr>
              <w:t>现有工程</w:t>
            </w:r>
            <w:r>
              <w:rPr>
                <w:rFonts w:hint="eastAsia" w:ascii="Times New Roman" w:hAnsi="Times New Roman" w:eastAsia="宋体"/>
                <w:caps w:val="0"/>
                <w:smallCaps w:val="0"/>
                <w:color w:val="auto"/>
                <w:highlight w:val="none"/>
                <w:lang w:val="en-US" w:eastAsia="zh-CN"/>
              </w:rPr>
              <w:t>环保手续办理情况见下表：</w:t>
            </w:r>
          </w:p>
          <w:p w14:paraId="66810679">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表2-13 现有项目环评及验收情况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305"/>
              <w:gridCol w:w="1958"/>
              <w:gridCol w:w="1959"/>
            </w:tblGrid>
            <w:tr w14:paraId="4405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0" w:type="dxa"/>
                  <w:tcBorders>
                    <w:left w:val="nil"/>
                  </w:tcBorders>
                  <w:vAlign w:val="center"/>
                </w:tcPr>
                <w:p w14:paraId="3958A71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序号</w:t>
                  </w:r>
                </w:p>
              </w:tc>
              <w:tc>
                <w:tcPr>
                  <w:tcW w:w="3305" w:type="dxa"/>
                  <w:vAlign w:val="center"/>
                </w:tcPr>
                <w:p w14:paraId="70BFB9D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项目名称</w:t>
                  </w:r>
                </w:p>
              </w:tc>
              <w:tc>
                <w:tcPr>
                  <w:tcW w:w="1958" w:type="dxa"/>
                  <w:vAlign w:val="center"/>
                </w:tcPr>
                <w:p w14:paraId="44596A5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环评批复</w:t>
                  </w:r>
                </w:p>
              </w:tc>
              <w:tc>
                <w:tcPr>
                  <w:tcW w:w="1959" w:type="dxa"/>
                  <w:tcBorders>
                    <w:right w:val="nil"/>
                  </w:tcBorders>
                  <w:vAlign w:val="center"/>
                </w:tcPr>
                <w:p w14:paraId="4DCC1BD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验收意见</w:t>
                  </w:r>
                </w:p>
              </w:tc>
            </w:tr>
            <w:tr w14:paraId="68C1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36C27AF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3305" w:type="dxa"/>
                  <w:vAlign w:val="center"/>
                </w:tcPr>
                <w:p w14:paraId="7052E79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易门铜业有限公司3万吨</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年阳极铜扩建工程</w:t>
                  </w:r>
                </w:p>
              </w:tc>
              <w:tc>
                <w:tcPr>
                  <w:tcW w:w="1958" w:type="dxa"/>
                  <w:vAlign w:val="center"/>
                </w:tcPr>
                <w:p w14:paraId="29BF1F3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云环监发</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2001</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658</w:t>
                  </w:r>
                  <w:r>
                    <w:rPr>
                      <w:rFonts w:hint="default" w:ascii="Times New Roman" w:hAnsi="Times New Roman" w:eastAsia="宋体" w:cs="Times New Roman"/>
                      <w:color w:val="auto"/>
                      <w:sz w:val="18"/>
                      <w:szCs w:val="18"/>
                      <w:highlight w:val="none"/>
                      <w:lang w:val="en-US" w:eastAsia="zh-CN"/>
                    </w:rPr>
                    <w:t>号</w:t>
                  </w:r>
                </w:p>
              </w:tc>
              <w:tc>
                <w:tcPr>
                  <w:tcW w:w="1959" w:type="dxa"/>
                  <w:tcBorders>
                    <w:right w:val="nil"/>
                  </w:tcBorders>
                  <w:vAlign w:val="center"/>
                </w:tcPr>
                <w:p w14:paraId="2A6F32B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云环许准</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2007</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236</w:t>
                  </w:r>
                  <w:r>
                    <w:rPr>
                      <w:rFonts w:hint="default" w:ascii="Times New Roman" w:hAnsi="Times New Roman" w:eastAsia="宋体" w:cs="Times New Roman"/>
                      <w:color w:val="auto"/>
                      <w:sz w:val="18"/>
                      <w:szCs w:val="18"/>
                      <w:highlight w:val="none"/>
                      <w:lang w:val="en-US" w:eastAsia="zh-CN"/>
                    </w:rPr>
                    <w:t>号</w:t>
                  </w:r>
                </w:p>
              </w:tc>
            </w:tr>
            <w:tr w14:paraId="6F82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5CE137B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3305" w:type="dxa"/>
                  <w:vAlign w:val="center"/>
                </w:tcPr>
                <w:p w14:paraId="3E7CB4D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云南铜业冶炼中试基地技改项目</w:t>
                  </w:r>
                </w:p>
              </w:tc>
              <w:tc>
                <w:tcPr>
                  <w:tcW w:w="1958" w:type="dxa"/>
                  <w:vAlign w:val="center"/>
                </w:tcPr>
                <w:p w14:paraId="524660D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cs="Times New Roman"/>
                      <w:color w:val="auto"/>
                      <w:sz w:val="18"/>
                      <w:szCs w:val="18"/>
                      <w:highlight w:val="none"/>
                      <w:vertAlign w:val="baseline"/>
                      <w:lang w:val="en-US" w:eastAsia="zh-CN"/>
                    </w:rPr>
                    <w:t>云环审〔2012〕137号</w:t>
                  </w:r>
                </w:p>
              </w:tc>
              <w:tc>
                <w:tcPr>
                  <w:tcW w:w="1959" w:type="dxa"/>
                  <w:tcBorders>
                    <w:right w:val="nil"/>
                  </w:tcBorders>
                  <w:vAlign w:val="center"/>
                </w:tcPr>
                <w:p w14:paraId="463491A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cs="Times New Roman"/>
                      <w:color w:val="auto"/>
                      <w:sz w:val="18"/>
                      <w:szCs w:val="18"/>
                      <w:highlight w:val="none"/>
                      <w:vertAlign w:val="baseline"/>
                      <w:lang w:val="en-US" w:eastAsia="zh-CN"/>
                    </w:rPr>
                    <w:t>云环</w:t>
                  </w:r>
                  <w:r>
                    <w:rPr>
                      <w:rFonts w:hint="eastAsia" w:cs="Times New Roman"/>
                      <w:color w:val="auto"/>
                      <w:sz w:val="18"/>
                      <w:szCs w:val="18"/>
                      <w:highlight w:val="none"/>
                      <w:vertAlign w:val="baseline"/>
                      <w:lang w:val="en-US" w:eastAsia="zh-CN"/>
                    </w:rPr>
                    <w:t>验</w:t>
                  </w:r>
                  <w:r>
                    <w:rPr>
                      <w:rFonts w:hint="default" w:cs="Times New Roman"/>
                      <w:color w:val="auto"/>
                      <w:sz w:val="18"/>
                      <w:szCs w:val="18"/>
                      <w:highlight w:val="none"/>
                      <w:vertAlign w:val="baseline"/>
                      <w:lang w:val="en-US" w:eastAsia="zh-CN"/>
                    </w:rPr>
                    <w:t>〔201</w:t>
                  </w:r>
                  <w:r>
                    <w:rPr>
                      <w:rFonts w:hint="eastAsia" w:cs="Times New Roman"/>
                      <w:color w:val="auto"/>
                      <w:sz w:val="18"/>
                      <w:szCs w:val="18"/>
                      <w:highlight w:val="none"/>
                      <w:vertAlign w:val="baseline"/>
                      <w:lang w:val="en-US" w:eastAsia="zh-CN"/>
                    </w:rPr>
                    <w:t>5</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69</w:t>
                  </w:r>
                  <w:r>
                    <w:rPr>
                      <w:rFonts w:hint="default" w:cs="Times New Roman"/>
                      <w:color w:val="auto"/>
                      <w:sz w:val="18"/>
                      <w:szCs w:val="18"/>
                      <w:highlight w:val="none"/>
                      <w:vertAlign w:val="baseline"/>
                      <w:lang w:val="en-US" w:eastAsia="zh-CN"/>
                    </w:rPr>
                    <w:t>号</w:t>
                  </w:r>
                </w:p>
              </w:tc>
            </w:tr>
            <w:tr w14:paraId="685B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51F2F1A9">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3305" w:type="dxa"/>
                  <w:vAlign w:val="center"/>
                </w:tcPr>
                <w:p w14:paraId="63F20984">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易门铜业余热发电建设项目</w:t>
                  </w:r>
                </w:p>
              </w:tc>
              <w:tc>
                <w:tcPr>
                  <w:tcW w:w="1958" w:type="dxa"/>
                  <w:vAlign w:val="center"/>
                </w:tcPr>
                <w:p w14:paraId="43A9BE6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易环函</w:t>
                  </w:r>
                  <w:r>
                    <w:rPr>
                      <w:rFonts w:hint="default" w:cs="Times New Roman"/>
                      <w:color w:val="auto"/>
                      <w:sz w:val="18"/>
                      <w:szCs w:val="18"/>
                      <w:highlight w:val="none"/>
                      <w:vertAlign w:val="baseline"/>
                      <w:lang w:val="en-US" w:eastAsia="zh-CN"/>
                    </w:rPr>
                    <w:t>〔201</w:t>
                  </w:r>
                  <w:r>
                    <w:rPr>
                      <w:rFonts w:hint="eastAsia" w:cs="Times New Roman"/>
                      <w:color w:val="auto"/>
                      <w:sz w:val="18"/>
                      <w:szCs w:val="18"/>
                      <w:highlight w:val="none"/>
                      <w:vertAlign w:val="baseline"/>
                      <w:lang w:val="en-US" w:eastAsia="zh-CN"/>
                    </w:rPr>
                    <w:t>5</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35</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7F740E3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易环验</w:t>
                  </w:r>
                  <w:r>
                    <w:rPr>
                      <w:rFonts w:hint="default" w:cs="Times New Roman"/>
                      <w:color w:val="auto"/>
                      <w:sz w:val="18"/>
                      <w:szCs w:val="18"/>
                      <w:highlight w:val="none"/>
                      <w:vertAlign w:val="baseline"/>
                      <w:lang w:val="en-US" w:eastAsia="zh-CN"/>
                    </w:rPr>
                    <w:t>〔201</w:t>
                  </w:r>
                  <w:r>
                    <w:rPr>
                      <w:rFonts w:hint="eastAsia" w:cs="Times New Roman"/>
                      <w:color w:val="auto"/>
                      <w:sz w:val="18"/>
                      <w:szCs w:val="18"/>
                      <w:highlight w:val="none"/>
                      <w:vertAlign w:val="baseline"/>
                      <w:lang w:val="en-US" w:eastAsia="zh-CN"/>
                    </w:rPr>
                    <w:t>7</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4</w:t>
                  </w:r>
                  <w:r>
                    <w:rPr>
                      <w:rFonts w:hint="default" w:cs="Times New Roman"/>
                      <w:color w:val="auto"/>
                      <w:sz w:val="18"/>
                      <w:szCs w:val="18"/>
                      <w:highlight w:val="none"/>
                      <w:vertAlign w:val="baseline"/>
                      <w:lang w:val="en-US" w:eastAsia="zh-CN"/>
                    </w:rPr>
                    <w:t>号</w:t>
                  </w:r>
                </w:p>
              </w:tc>
            </w:tr>
            <w:tr w14:paraId="369A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34F0FF0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w:t>
                  </w:r>
                </w:p>
              </w:tc>
              <w:tc>
                <w:tcPr>
                  <w:tcW w:w="3305" w:type="dxa"/>
                  <w:vAlign w:val="center"/>
                </w:tcPr>
                <w:p w14:paraId="0E9F9AC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易门铜业铜冶炼渣资源利用工程</w:t>
                  </w:r>
                </w:p>
              </w:tc>
              <w:tc>
                <w:tcPr>
                  <w:tcW w:w="1958" w:type="dxa"/>
                  <w:vAlign w:val="center"/>
                </w:tcPr>
                <w:p w14:paraId="43F89A3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cs="Times New Roman"/>
                      <w:color w:val="auto"/>
                      <w:sz w:val="18"/>
                      <w:szCs w:val="18"/>
                      <w:highlight w:val="none"/>
                      <w:vertAlign w:val="baseline"/>
                      <w:lang w:val="en-US" w:eastAsia="zh-CN"/>
                    </w:rPr>
                    <w:t>云环审〔201</w:t>
                  </w:r>
                  <w:r>
                    <w:rPr>
                      <w:rFonts w:hint="eastAsia" w:cs="Times New Roman"/>
                      <w:color w:val="auto"/>
                      <w:sz w:val="18"/>
                      <w:szCs w:val="18"/>
                      <w:highlight w:val="none"/>
                      <w:vertAlign w:val="baseline"/>
                      <w:lang w:val="en-US" w:eastAsia="zh-CN"/>
                    </w:rPr>
                    <w:t>6</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32</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2C6ADA8B">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cs="Times New Roman"/>
                      <w:color w:val="auto"/>
                      <w:sz w:val="18"/>
                      <w:szCs w:val="18"/>
                      <w:highlight w:val="none"/>
                      <w:vertAlign w:val="baseline"/>
                      <w:lang w:val="en-US" w:eastAsia="zh-CN"/>
                    </w:rPr>
                    <w:t>云环</w:t>
                  </w:r>
                  <w:r>
                    <w:rPr>
                      <w:rFonts w:hint="eastAsia" w:cs="Times New Roman"/>
                      <w:color w:val="auto"/>
                      <w:sz w:val="18"/>
                      <w:szCs w:val="18"/>
                      <w:highlight w:val="none"/>
                      <w:vertAlign w:val="baseline"/>
                      <w:lang w:val="en-US" w:eastAsia="zh-CN"/>
                    </w:rPr>
                    <w:t>验</w:t>
                  </w:r>
                  <w:r>
                    <w:rPr>
                      <w:rFonts w:hint="default" w:cs="Times New Roman"/>
                      <w:color w:val="auto"/>
                      <w:sz w:val="18"/>
                      <w:szCs w:val="18"/>
                      <w:highlight w:val="none"/>
                      <w:vertAlign w:val="baseline"/>
                      <w:lang w:val="en-US" w:eastAsia="zh-CN"/>
                    </w:rPr>
                    <w:t>〔201</w:t>
                  </w:r>
                  <w:r>
                    <w:rPr>
                      <w:rFonts w:hint="eastAsia" w:cs="Times New Roman"/>
                      <w:color w:val="auto"/>
                      <w:sz w:val="18"/>
                      <w:szCs w:val="18"/>
                      <w:highlight w:val="none"/>
                      <w:vertAlign w:val="baseline"/>
                      <w:lang w:val="en-US" w:eastAsia="zh-CN"/>
                    </w:rPr>
                    <w:t>7</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31</w:t>
                  </w:r>
                  <w:r>
                    <w:rPr>
                      <w:rFonts w:hint="default" w:cs="Times New Roman"/>
                      <w:color w:val="auto"/>
                      <w:sz w:val="18"/>
                      <w:szCs w:val="18"/>
                      <w:highlight w:val="none"/>
                      <w:vertAlign w:val="baseline"/>
                      <w:lang w:val="en-US" w:eastAsia="zh-CN"/>
                    </w:rPr>
                    <w:t>号</w:t>
                  </w:r>
                </w:p>
              </w:tc>
            </w:tr>
            <w:tr w14:paraId="1EC0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2774658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3305" w:type="dxa"/>
                  <w:vAlign w:val="center"/>
                </w:tcPr>
                <w:p w14:paraId="0F6FB54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易门铜业环保高效清洁化生产改造工程</w:t>
                  </w:r>
                </w:p>
              </w:tc>
              <w:tc>
                <w:tcPr>
                  <w:tcW w:w="1958" w:type="dxa"/>
                  <w:vAlign w:val="center"/>
                </w:tcPr>
                <w:p w14:paraId="2EDCB7B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cs="Times New Roman"/>
                      <w:color w:val="auto"/>
                      <w:sz w:val="18"/>
                      <w:szCs w:val="18"/>
                      <w:highlight w:val="none"/>
                      <w:vertAlign w:val="baseline"/>
                      <w:lang w:val="en-US" w:eastAsia="zh-CN"/>
                    </w:rPr>
                    <w:t>云环审〔201</w:t>
                  </w:r>
                  <w:r>
                    <w:rPr>
                      <w:rFonts w:hint="eastAsia" w:cs="Times New Roman"/>
                      <w:color w:val="auto"/>
                      <w:sz w:val="18"/>
                      <w:szCs w:val="18"/>
                      <w:highlight w:val="none"/>
                      <w:vertAlign w:val="baseline"/>
                      <w:lang w:val="en-US" w:eastAsia="zh-CN"/>
                    </w:rPr>
                    <w:t>6</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144</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1501594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2018年6月8日通过自主验收</w:t>
                  </w:r>
                </w:p>
              </w:tc>
            </w:tr>
            <w:tr w14:paraId="378D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0C92B92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3305" w:type="dxa"/>
                  <w:vAlign w:val="center"/>
                </w:tcPr>
                <w:p w14:paraId="0A68C8A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易门铜业生产及生活废水处理项目</w:t>
                  </w:r>
                </w:p>
              </w:tc>
              <w:tc>
                <w:tcPr>
                  <w:tcW w:w="1958" w:type="dxa"/>
                  <w:vAlign w:val="center"/>
                </w:tcPr>
                <w:p w14:paraId="32FC74C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17</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42</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18F1616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易环验</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17</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22</w:t>
                  </w:r>
                  <w:r>
                    <w:rPr>
                      <w:rFonts w:hint="default" w:cs="Times New Roman"/>
                      <w:color w:val="auto"/>
                      <w:sz w:val="18"/>
                      <w:szCs w:val="18"/>
                      <w:highlight w:val="none"/>
                      <w:vertAlign w:val="baseline"/>
                      <w:lang w:val="en-US" w:eastAsia="zh-CN"/>
                    </w:rPr>
                    <w:t>号</w:t>
                  </w:r>
                </w:p>
              </w:tc>
            </w:tr>
            <w:tr w14:paraId="56F2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75BECE8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3305" w:type="dxa"/>
                  <w:vAlign w:val="center"/>
                </w:tcPr>
                <w:p w14:paraId="3C2CEF4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lang w:val="en-US" w:eastAsia="zh-CN"/>
                    </w:rPr>
                    <w:t>易门铜业铜冶炼渣资源综合利用工程项目（二期）</w:t>
                  </w:r>
                </w:p>
              </w:tc>
              <w:tc>
                <w:tcPr>
                  <w:tcW w:w="1958" w:type="dxa"/>
                  <w:vAlign w:val="center"/>
                </w:tcPr>
                <w:p w14:paraId="6044716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cs="Times New Roman"/>
                      <w:color w:val="auto"/>
                      <w:sz w:val="18"/>
                      <w:szCs w:val="18"/>
                      <w:highlight w:val="none"/>
                      <w:vertAlign w:val="baseline"/>
                      <w:lang w:val="en-US" w:eastAsia="zh-CN"/>
                    </w:rPr>
                    <w:t>云环审〔201</w:t>
                  </w:r>
                  <w:r>
                    <w:rPr>
                      <w:rFonts w:hint="eastAsia" w:cs="Times New Roman"/>
                      <w:color w:val="auto"/>
                      <w:sz w:val="18"/>
                      <w:szCs w:val="18"/>
                      <w:highlight w:val="none"/>
                      <w:vertAlign w:val="baseline"/>
                      <w:lang w:val="en-US" w:eastAsia="zh-CN"/>
                    </w:rPr>
                    <w:t>8</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41</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0D39A7F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2018年12月29日通过自主验收</w:t>
                  </w:r>
                </w:p>
              </w:tc>
            </w:tr>
            <w:tr w14:paraId="0D40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3E5C3F0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3305" w:type="dxa"/>
                  <w:vAlign w:val="center"/>
                </w:tcPr>
                <w:p w14:paraId="5ED44CD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易门铜业100m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双氧水储罐增容项目</w:t>
                  </w:r>
                </w:p>
              </w:tc>
              <w:tc>
                <w:tcPr>
                  <w:tcW w:w="1958" w:type="dxa"/>
                  <w:vAlign w:val="center"/>
                </w:tcPr>
                <w:p w14:paraId="75CC058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18</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20</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262BB9E5">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2019年4月6日通过自主验收</w:t>
                  </w:r>
                </w:p>
              </w:tc>
            </w:tr>
            <w:tr w14:paraId="06AC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5E6EE65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p>
              </w:tc>
              <w:tc>
                <w:tcPr>
                  <w:tcW w:w="3305" w:type="dxa"/>
                  <w:vAlign w:val="center"/>
                </w:tcPr>
                <w:p w14:paraId="2AC1A78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易门铜业水渣场、原料堆场、化验室、粉煤堆场环保治理项目</w:t>
                  </w:r>
                </w:p>
              </w:tc>
              <w:tc>
                <w:tcPr>
                  <w:tcW w:w="1958" w:type="dxa"/>
                  <w:vAlign w:val="center"/>
                </w:tcPr>
                <w:p w14:paraId="684A3DC3">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19</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6</w:t>
                  </w:r>
                  <w:r>
                    <w:rPr>
                      <w:rFonts w:hint="default" w:cs="Times New Roman"/>
                      <w:color w:val="auto"/>
                      <w:sz w:val="18"/>
                      <w:szCs w:val="18"/>
                      <w:highlight w:val="none"/>
                      <w:vertAlign w:val="baseline"/>
                      <w:lang w:val="en-US" w:eastAsia="zh-CN"/>
                    </w:rPr>
                    <w:t>号</w:t>
                  </w:r>
                </w:p>
              </w:tc>
              <w:tc>
                <w:tcPr>
                  <w:tcW w:w="1959" w:type="dxa"/>
                  <w:tcBorders>
                    <w:right w:val="nil"/>
                  </w:tcBorders>
                  <w:shd w:val="clear" w:color="auto" w:fill="auto"/>
                  <w:vAlign w:val="center"/>
                </w:tcPr>
                <w:p w14:paraId="728F710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2020年8月25日通过自主验收</w:t>
                  </w:r>
                </w:p>
              </w:tc>
            </w:tr>
            <w:tr w14:paraId="1B80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0C4709FE">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3305" w:type="dxa"/>
                  <w:vAlign w:val="center"/>
                </w:tcPr>
                <w:p w14:paraId="741F9DAB">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易门铜业新建初期雨水收集池项目</w:t>
                  </w:r>
                </w:p>
              </w:tc>
              <w:tc>
                <w:tcPr>
                  <w:tcW w:w="1958" w:type="dxa"/>
                  <w:vAlign w:val="center"/>
                </w:tcPr>
                <w:p w14:paraId="5C06247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20</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10</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21C5945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2020年8月25日通过自主验收</w:t>
                  </w:r>
                </w:p>
              </w:tc>
            </w:tr>
            <w:tr w14:paraId="4496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49CACC84">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3305" w:type="dxa"/>
                  <w:vAlign w:val="center"/>
                </w:tcPr>
                <w:p w14:paraId="6823CD6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易门铜业环集烟气脱硫完善项目</w:t>
                  </w:r>
                </w:p>
              </w:tc>
              <w:tc>
                <w:tcPr>
                  <w:tcW w:w="1958" w:type="dxa"/>
                  <w:vAlign w:val="center"/>
                </w:tcPr>
                <w:p w14:paraId="4E43393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20</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34</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566422B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2021年6月23日通过自主验收</w:t>
                  </w:r>
                </w:p>
              </w:tc>
            </w:tr>
            <w:tr w14:paraId="436E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1974386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3305" w:type="dxa"/>
                  <w:vAlign w:val="center"/>
                </w:tcPr>
                <w:p w14:paraId="7A3EEA4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易门铜业底吹炉、转炉柴油临时储存点隐患治理建设项目</w:t>
                  </w:r>
                </w:p>
              </w:tc>
              <w:tc>
                <w:tcPr>
                  <w:tcW w:w="1958" w:type="dxa"/>
                  <w:vAlign w:val="center"/>
                </w:tcPr>
                <w:p w14:paraId="4BDC0BE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20</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53</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6555F7B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2021年6月9日通过自主验收</w:t>
                  </w:r>
                </w:p>
              </w:tc>
            </w:tr>
            <w:tr w14:paraId="71FE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3852A031">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3305" w:type="dxa"/>
                  <w:vAlign w:val="center"/>
                </w:tcPr>
                <w:p w14:paraId="3D3F369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铜火法冶炼渣资源化增值化利用关键技术研究扩大试验项目</w:t>
                  </w:r>
                </w:p>
              </w:tc>
              <w:tc>
                <w:tcPr>
                  <w:tcW w:w="1958" w:type="dxa"/>
                  <w:vAlign w:val="center"/>
                </w:tcPr>
                <w:p w14:paraId="4B0D351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22</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27</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13E78E0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2023年2月28日通过自主验收</w:t>
                  </w:r>
                </w:p>
              </w:tc>
            </w:tr>
            <w:tr w14:paraId="4610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51D0A98B">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14</w:t>
                  </w:r>
                </w:p>
              </w:tc>
              <w:tc>
                <w:tcPr>
                  <w:tcW w:w="3305" w:type="dxa"/>
                  <w:vAlign w:val="center"/>
                </w:tcPr>
                <w:p w14:paraId="4B682399">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易门铜业铜冶炼烟气净化酸性废水处理提升改造项目</w:t>
                  </w:r>
                </w:p>
              </w:tc>
              <w:tc>
                <w:tcPr>
                  <w:tcW w:w="1958" w:type="dxa"/>
                  <w:vAlign w:val="center"/>
                </w:tcPr>
                <w:p w14:paraId="3364616F">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易环审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23</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9</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10980CB6">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2023年11月14日通过自主验收</w:t>
                  </w:r>
                </w:p>
              </w:tc>
            </w:tr>
            <w:tr w14:paraId="3B25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5E52541C">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305" w:type="dxa"/>
                  <w:vAlign w:val="center"/>
                </w:tcPr>
                <w:p w14:paraId="57E749E2">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易门铜业阳极精炼节能减排项目</w:t>
                  </w:r>
                </w:p>
              </w:tc>
              <w:tc>
                <w:tcPr>
                  <w:tcW w:w="1958" w:type="dxa"/>
                  <w:vAlign w:val="center"/>
                </w:tcPr>
                <w:p w14:paraId="2D002670">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云环审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24</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1-13</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428622BD">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2025年11月5日通过自主验收</w:t>
                  </w:r>
                </w:p>
              </w:tc>
            </w:tr>
            <w:tr w14:paraId="4863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left w:val="nil"/>
                  </w:tcBorders>
                  <w:vAlign w:val="center"/>
                </w:tcPr>
                <w:p w14:paraId="79E1FA07">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16</w:t>
                  </w:r>
                </w:p>
              </w:tc>
              <w:tc>
                <w:tcPr>
                  <w:tcW w:w="3305" w:type="dxa"/>
                  <w:vAlign w:val="center"/>
                </w:tcPr>
                <w:p w14:paraId="1CA539EA">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易门铜业酸性废水无钠硫化改造提升项目</w:t>
                  </w:r>
                </w:p>
              </w:tc>
              <w:tc>
                <w:tcPr>
                  <w:tcW w:w="1958" w:type="dxa"/>
                  <w:vAlign w:val="center"/>
                </w:tcPr>
                <w:p w14:paraId="637FF058">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vertAlign w:val="baseline"/>
                      <w:lang w:val="en-US" w:eastAsia="zh-CN"/>
                    </w:rPr>
                    <w:t>玉环审</w:t>
                  </w:r>
                  <w:r>
                    <w:rPr>
                      <w:rFonts w:hint="default" w:cs="Times New Roman"/>
                      <w:color w:val="auto"/>
                      <w:sz w:val="18"/>
                      <w:szCs w:val="18"/>
                      <w:highlight w:val="none"/>
                      <w:vertAlign w:val="baseline"/>
                      <w:lang w:val="en-US" w:eastAsia="zh-CN"/>
                    </w:rPr>
                    <w:t>〔20</w:t>
                  </w:r>
                  <w:r>
                    <w:rPr>
                      <w:rFonts w:hint="eastAsia" w:cs="Times New Roman"/>
                      <w:color w:val="auto"/>
                      <w:sz w:val="18"/>
                      <w:szCs w:val="18"/>
                      <w:highlight w:val="none"/>
                      <w:vertAlign w:val="baseline"/>
                      <w:lang w:val="en-US" w:eastAsia="zh-CN"/>
                    </w:rPr>
                    <w:t>25</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1-11</w:t>
                  </w:r>
                  <w:r>
                    <w:rPr>
                      <w:rFonts w:hint="default" w:cs="Times New Roman"/>
                      <w:color w:val="auto"/>
                      <w:sz w:val="18"/>
                      <w:szCs w:val="18"/>
                      <w:highlight w:val="none"/>
                      <w:vertAlign w:val="baseline"/>
                      <w:lang w:val="en-US" w:eastAsia="zh-CN"/>
                    </w:rPr>
                    <w:t>号</w:t>
                  </w:r>
                </w:p>
              </w:tc>
              <w:tc>
                <w:tcPr>
                  <w:tcW w:w="1959" w:type="dxa"/>
                  <w:tcBorders>
                    <w:right w:val="nil"/>
                  </w:tcBorders>
                  <w:vAlign w:val="center"/>
                </w:tcPr>
                <w:p w14:paraId="76A91979">
                  <w:pPr>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暂未验收</w:t>
                  </w:r>
                </w:p>
              </w:tc>
            </w:tr>
          </w:tbl>
          <w:p w14:paraId="4BA9A78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3、易门铜业有限公司现有渣选厂概况</w:t>
            </w:r>
          </w:p>
          <w:p w14:paraId="02197C9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易门铜业有限公司铜冶炼渣资源综合利用工程项目（一期、二期）</w:t>
            </w:r>
            <w:r>
              <w:rPr>
                <w:rFonts w:hint="eastAsia" w:ascii="Times New Roman" w:hAnsi="Times New Roman" w:eastAsia="宋体" w:cs="Times New Roman"/>
                <w:color w:val="auto"/>
                <w:sz w:val="24"/>
                <w:highlight w:val="none"/>
                <w:lang w:val="en-US" w:eastAsia="zh-CN"/>
              </w:rPr>
              <w:t>和铜火法冶炼渣资源化增值化利用关键技术研究扩大试验项目”</w:t>
            </w:r>
            <w:r>
              <w:rPr>
                <w:rFonts w:hint="default" w:ascii="Times New Roman" w:hAnsi="Times New Roman" w:eastAsia="宋体" w:cs="Times New Roman"/>
                <w:color w:val="auto"/>
                <w:sz w:val="24"/>
                <w:highlight w:val="none"/>
                <w:lang w:val="en-US" w:eastAsia="zh-CN"/>
              </w:rPr>
              <w:t>主要是为了缓解熔炼渣大量堆存产生的环境问题，实现企业更好的经济和环境效益而建设，（一期）设计生产规模为450t/d，以云铜股份冶炼加工总厂铜冶炼转炉渣（300t/d）和易门铜业有限公司铜冶炼转炉渣（150t/d）为原料，通过浮选后得到铜精矿返回生产使用，浮选尾渣外售。2016年3月18日，云南省环境保护厅以云环审（2016）32号文《云南省环境保护厅关于铜冶炼渣综合利用工程项目环境影响报告书的批复》同意项目建设，2017年9月27日云南省环保厅以云环验</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2017</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31号批复同意项目通过环保验收。2018年着手（二期）项目建设，在保留现有450t/d的生产线的基础上，新增一条850t的渣选生产线，主要建设粉矿仓、球磨、浮选等，其中堆场、破碎等依托450t/d生产线，最终达到1300t/d的处理能力，由于铜股份冶炼加工总厂铜冶炼转炉渣已另有处置途径，二期项目改扩建完成后以易门铜业有限公司已经建设的</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清洁化生产改造工程</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铜治炼熔炼渣和转炉渣为原料。易门铜业目前冶炼厂已经建设的</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清洁化生产改造工程</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经过改造后产出底吹炉熔炼渣1250t/d，转炉吹炼渣50t/d，合计1300t/d，原料来源有保证。项目于2018年6月21日取得《云南省生态环境保护厅关于易门铜业有限公司铜治炼渣资源综合利用工程项目（二期）环境影响报告书的批复》（云环审（2018）41号），并于2018年12月29日，通过自主验收。</w:t>
            </w:r>
            <w:r>
              <w:rPr>
                <w:rFonts w:hint="eastAsia" w:ascii="Times New Roman" w:hAnsi="Times New Roman" w:eastAsia="宋体" w:cs="Times New Roman"/>
                <w:color w:val="auto"/>
                <w:sz w:val="24"/>
                <w:highlight w:val="none"/>
                <w:lang w:val="en-US" w:eastAsia="zh-CN"/>
              </w:rPr>
              <w:t>2022年易门铜业有限公司规划建设铜火法冶炼渣资源化增值化利用关键技术研究扩大试验项目，进一步回收选铜尾渣中的铁，提高尾渣利用率及资源附加值，在尾渣浮选的基础上通过在浮选工艺流程后端增加磁选设备和精矿脱水设备，通过物理方法，综合回收铜冶炼渣浮选尾渣中的磁性铁矿物，最大程度实现铜治炼缓冷渣的增值化利用，提升经济效益。项目建设不改现有渣浮选工艺流程，仅增加三台磁选机，过程中不改变原有工艺技术路线，不添加化学药剂，同时也不涉及增加新构建筑物。2022年7月委托编制了《铜火法冶炼渣资源化增值化利用关键技术研究扩大试验项目环境影响报告表》，2022年9月7日取得了玉溪市生态环境局易门县分局关于易门铜业有限公司《铜火法冶炼渣资源化增值化利用关键技术研究扩大试验项目环境影响报告表》的批复，易环审〔</w:t>
            </w:r>
            <w:r>
              <w:rPr>
                <w:rFonts w:hint="default" w:ascii="Times New Roman" w:hAnsi="Times New Roman" w:eastAsia="宋体"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22〕27</w:t>
            </w:r>
            <w:r>
              <w:rPr>
                <w:rFonts w:hint="default" w:ascii="Times New Roman" w:hAnsi="Times New Roman" w:eastAsia="宋体" w:cs="Times New Roman"/>
                <w:color w:val="auto"/>
                <w:sz w:val="24"/>
                <w:highlight w:val="none"/>
                <w:lang w:val="en-US" w:eastAsia="zh-CN"/>
              </w:rPr>
              <w:t>号</w:t>
            </w:r>
            <w:r>
              <w:rPr>
                <w:rFonts w:hint="eastAsia" w:ascii="Times New Roman" w:hAnsi="Times New Roman" w:eastAsia="宋体" w:cs="Times New Roman"/>
                <w:color w:val="auto"/>
                <w:sz w:val="24"/>
                <w:highlight w:val="none"/>
                <w:lang w:val="en-US" w:eastAsia="zh-CN"/>
              </w:rPr>
              <w:t>，并于2023年2月28日通过自主验收。</w:t>
            </w:r>
          </w:p>
          <w:p w14:paraId="57CFD8D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lang w:val="en-US" w:eastAsia="zh-CN"/>
              </w:rPr>
            </w:pPr>
            <w:r>
              <w:rPr>
                <w:rFonts w:hint="eastAsia" w:cs="Times New Roman"/>
                <w:color w:val="auto"/>
                <w:sz w:val="24"/>
                <w:highlight w:val="none"/>
                <w:lang w:val="en-US" w:eastAsia="zh-CN"/>
              </w:rPr>
              <w:t>本项目改建涉及</w:t>
            </w:r>
            <w:r>
              <w:rPr>
                <w:rFonts w:hint="eastAsia" w:ascii="Times New Roman" w:hAnsi="Times New Roman" w:eastAsia="宋体" w:cs="Times New Roman"/>
                <w:color w:val="auto"/>
                <w:sz w:val="24"/>
                <w:highlight w:val="none"/>
                <w:lang w:val="en-US" w:eastAsia="zh-CN"/>
              </w:rPr>
              <w:t>的前端项目为易门铜业铜冶炼渣资源利用工程、易门铜业铜冶炼渣资源综合利用工程项目（二期）以及铜火法冶炼渣资源化增值化利用关键技术研究扩大试验项目</w:t>
            </w:r>
            <w:r>
              <w:rPr>
                <w:rFonts w:hint="default" w:ascii="Times New Roman" w:hAnsi="Times New Roman" w:eastAsia="宋体" w:cs="Times New Roman"/>
                <w:color w:val="auto"/>
                <w:sz w:val="24"/>
                <w:highlight w:val="none"/>
                <w:lang w:val="en-US" w:eastAsia="zh-CN"/>
              </w:rPr>
              <w:t>。根据本次改建项目建设改造内容，本次环评仅针对与本次改建有关的产污情况进行交代、分析。</w:t>
            </w:r>
          </w:p>
          <w:p w14:paraId="3D70D3F5">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Times New Roman" w:cs="Times New Roman"/>
                <w:b/>
                <w:bCs/>
                <w:spacing w:val="-3"/>
              </w:rPr>
            </w:pPr>
            <w:r>
              <w:rPr>
                <w:rFonts w:hint="eastAsia" w:ascii="Times New Roman" w:hAnsi="Times New Roman" w:eastAsia="Times New Roman" w:cs="Times New Roman"/>
                <w:b/>
                <w:bCs/>
                <w:spacing w:val="-3"/>
                <w:lang w:val="en-US" w:eastAsia="zh-CN"/>
              </w:rPr>
              <w:t>二、</w:t>
            </w:r>
            <w:r>
              <w:rPr>
                <w:rFonts w:hint="eastAsia" w:ascii="Times New Roman" w:hAnsi="Times New Roman" w:eastAsia="Times New Roman" w:cs="Times New Roman"/>
                <w:b/>
                <w:bCs/>
                <w:spacing w:val="-3"/>
              </w:rPr>
              <w:t>现有项目污染物排放情况</w:t>
            </w:r>
          </w:p>
          <w:p w14:paraId="712EB0AC">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ascii="Times New Roman" w:hAnsi="Times New Roman" w:eastAsia="Times New Roman" w:cs="Times New Roman"/>
                <w:b/>
                <w:bCs/>
                <w:spacing w:val="-3"/>
              </w:rPr>
            </w:pPr>
            <w:r>
              <w:rPr>
                <w:rFonts w:hint="eastAsia" w:ascii="Times New Roman" w:hAnsi="Times New Roman" w:eastAsia="宋体" w:cs="Times New Roman"/>
                <w:b/>
                <w:bCs/>
                <w:spacing w:val="-3"/>
                <w:lang w:val="en-US" w:eastAsia="zh-CN"/>
              </w:rPr>
              <w:t>1、</w:t>
            </w:r>
            <w:r>
              <w:rPr>
                <w:rFonts w:ascii="Times New Roman" w:hAnsi="Times New Roman" w:eastAsia="Times New Roman" w:cs="Times New Roman"/>
                <w:b/>
                <w:bCs/>
                <w:spacing w:val="-3"/>
              </w:rPr>
              <w:t>废气</w:t>
            </w:r>
          </w:p>
          <w:p w14:paraId="7EAEC516">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Times New Roman" w:cs="Times New Roman"/>
                <w:spacing w:val="-3"/>
              </w:rPr>
            </w:pPr>
            <w:r>
              <w:rPr>
                <w:rFonts w:hint="eastAsia" w:ascii="Times New Roman" w:hAnsi="Times New Roman" w:eastAsia="宋体" w:cs="Times New Roman"/>
                <w:spacing w:val="-3"/>
                <w:lang w:eastAsia="zh-CN"/>
              </w:rPr>
              <w:t>（</w:t>
            </w:r>
            <w:r>
              <w:rPr>
                <w:rFonts w:hint="eastAsia" w:ascii="Times New Roman" w:hAnsi="Times New Roman" w:eastAsia="宋体" w:cs="Times New Roman"/>
                <w:spacing w:val="-3"/>
                <w:lang w:val="en-US" w:eastAsia="zh-CN"/>
              </w:rPr>
              <w:t>1</w:t>
            </w:r>
            <w:r>
              <w:rPr>
                <w:rFonts w:hint="eastAsia" w:ascii="Times New Roman" w:hAnsi="Times New Roman" w:eastAsia="宋体" w:cs="Times New Roman"/>
                <w:spacing w:val="-3"/>
                <w:lang w:eastAsia="zh-CN"/>
              </w:rPr>
              <w:t>）</w:t>
            </w:r>
            <w:r>
              <w:rPr>
                <w:rFonts w:ascii="Times New Roman" w:hAnsi="Times New Roman" w:eastAsia="Times New Roman" w:cs="Times New Roman"/>
                <w:spacing w:val="-3"/>
              </w:rPr>
              <w:t>有组织废气</w:t>
            </w:r>
          </w:p>
          <w:p w14:paraId="32D3F272">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Times New Roman" w:hAnsi="Times New Roman" w:eastAsia="Times New Roman" w:cs="Times New Roman"/>
                <w:spacing w:val="-3"/>
              </w:rPr>
            </w:pPr>
            <w:r>
              <w:rPr>
                <w:rFonts w:hint="eastAsia" w:ascii="Times New Roman" w:hAnsi="Times New Roman" w:eastAsia="Times New Roman" w:cs="Times New Roman"/>
                <w:spacing w:val="-3"/>
                <w:lang w:val="en-US" w:eastAsia="zh-CN"/>
              </w:rPr>
              <w:t>项目主要废气排放源有</w:t>
            </w:r>
            <w:r>
              <w:rPr>
                <w:rFonts w:hint="default" w:ascii="Times New Roman" w:hAnsi="Times New Roman" w:eastAsia="Times New Roman" w:cs="Times New Roman"/>
                <w:spacing w:val="-3"/>
                <w:lang w:val="en-US" w:eastAsia="zh-CN"/>
              </w:rPr>
              <w:t>3</w:t>
            </w:r>
            <w:r>
              <w:rPr>
                <w:rFonts w:hint="eastAsia" w:ascii="Times New Roman" w:hAnsi="Times New Roman" w:eastAsia="Times New Roman" w:cs="Times New Roman"/>
                <w:spacing w:val="-3"/>
                <w:lang w:val="en-US" w:eastAsia="zh-CN"/>
              </w:rPr>
              <w:t>个，分别为给料仓排口（DA004）、破碎车间排口（DA005）以及筛分车间排口（DA006）；</w:t>
            </w:r>
            <w:r>
              <w:rPr>
                <w:spacing w:val="8"/>
              </w:rPr>
              <w:t>根据</w:t>
            </w:r>
            <w:r>
              <w:rPr>
                <w:rFonts w:hint="eastAsia"/>
                <w:spacing w:val="8"/>
                <w:lang w:val="en-US" w:eastAsia="zh-CN"/>
              </w:rPr>
              <w:t>易门铜业有限</w:t>
            </w:r>
            <w:r>
              <w:rPr>
                <w:rFonts w:hint="default" w:ascii="Times New Roman" w:hAnsi="Times New Roman" w:cs="Times New Roman"/>
                <w:spacing w:val="8"/>
                <w:lang w:val="en-US" w:eastAsia="zh-CN"/>
              </w:rPr>
              <w:t>公司202</w:t>
            </w:r>
            <w:r>
              <w:rPr>
                <w:rFonts w:hint="eastAsia" w:ascii="Times New Roman" w:hAnsi="Times New Roman" w:cs="Times New Roman"/>
                <w:spacing w:val="8"/>
                <w:lang w:val="en-US" w:eastAsia="zh-CN"/>
              </w:rPr>
              <w:t>6</w:t>
            </w:r>
            <w:r>
              <w:rPr>
                <w:rFonts w:hint="default" w:ascii="Times New Roman" w:hAnsi="Times New Roman" w:cs="Times New Roman"/>
                <w:spacing w:val="8"/>
                <w:lang w:val="en-US" w:eastAsia="zh-CN"/>
              </w:rPr>
              <w:t>年</w:t>
            </w:r>
            <w:r>
              <w:rPr>
                <w:rFonts w:hint="eastAsia" w:ascii="Times New Roman" w:hAnsi="Times New Roman" w:cs="Times New Roman"/>
                <w:spacing w:val="8"/>
                <w:lang w:val="en-US" w:eastAsia="zh-CN"/>
              </w:rPr>
              <w:t>第一</w:t>
            </w:r>
            <w:r>
              <w:rPr>
                <w:rFonts w:hint="default" w:ascii="Times New Roman" w:hAnsi="Times New Roman" w:cs="Times New Roman"/>
                <w:spacing w:val="8"/>
                <w:lang w:val="en-US" w:eastAsia="zh-CN"/>
              </w:rPr>
              <w:t>季度自行监测报告</w:t>
            </w:r>
            <w:r>
              <w:rPr>
                <w:rFonts w:hint="default" w:ascii="Times New Roman" w:hAnsi="Times New Roman" w:cs="Times New Roman"/>
                <w:spacing w:val="-1"/>
              </w:rPr>
              <w:t>中的</w:t>
            </w:r>
            <w:r>
              <w:rPr>
                <w:rFonts w:hint="eastAsia"/>
                <w:spacing w:val="-1"/>
                <w:lang w:val="en-US" w:eastAsia="zh-CN"/>
              </w:rPr>
              <w:t>监测数据</w:t>
            </w:r>
            <w:r>
              <w:rPr>
                <w:spacing w:val="-1"/>
              </w:rPr>
              <w:t>进行</w:t>
            </w:r>
            <w:r>
              <w:rPr>
                <w:spacing w:val="-10"/>
              </w:rPr>
              <w:t>分析</w:t>
            </w:r>
            <w:r>
              <w:rPr>
                <w:rFonts w:hint="eastAsia"/>
                <w:spacing w:val="-10"/>
                <w:lang w:eastAsia="zh-CN"/>
              </w:rPr>
              <w:t>，</w:t>
            </w:r>
            <w:r>
              <w:rPr>
                <w:rFonts w:hint="eastAsia" w:ascii="Times New Roman" w:hAnsi="Times New Roman" w:eastAsia="Times New Roman" w:cs="Times New Roman"/>
                <w:spacing w:val="-3"/>
                <w:lang w:val="en-US" w:eastAsia="zh-CN"/>
              </w:rPr>
              <w:t>废气有组织排放监测结果见下表。</w:t>
            </w:r>
          </w:p>
          <w:p w14:paraId="7404534D">
            <w:pPr>
              <w:keepNext w:val="0"/>
              <w:keepLines w:val="0"/>
              <w:widowControl/>
              <w:suppressLineNumbers w:val="0"/>
              <w:ind w:left="0" w:leftChars="0" w:right="0" w:righ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color w:val="000000"/>
                <w:kern w:val="0"/>
                <w:sz w:val="21"/>
                <w:szCs w:val="21"/>
                <w:lang w:val="en-US" w:eastAsia="zh-CN" w:bidi="ar"/>
              </w:rPr>
              <w:t>表2-14 废气有组织排放监测结果及评价</w:t>
            </w:r>
          </w:p>
          <w:tbl>
            <w:tblPr>
              <w:tblStyle w:val="22"/>
              <w:tblW w:w="78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402"/>
              <w:gridCol w:w="1410"/>
              <w:gridCol w:w="969"/>
              <w:gridCol w:w="1018"/>
              <w:gridCol w:w="1028"/>
              <w:gridCol w:w="1028"/>
              <w:gridCol w:w="893"/>
            </w:tblGrid>
            <w:tr w14:paraId="3544BC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50" w:type="dxa"/>
                  <w:tcBorders>
                    <w:tl2br w:val="nil"/>
                    <w:tr2bl w:val="nil"/>
                  </w:tcBorders>
                  <w:vAlign w:val="center"/>
                </w:tcPr>
                <w:p w14:paraId="6DCA282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监测断面</w:t>
                  </w:r>
                </w:p>
              </w:tc>
              <w:tc>
                <w:tcPr>
                  <w:tcW w:w="403" w:type="dxa"/>
                  <w:tcBorders>
                    <w:tl2br w:val="nil"/>
                    <w:tr2bl w:val="nil"/>
                  </w:tcBorders>
                  <w:vAlign w:val="center"/>
                </w:tcPr>
                <w:p w14:paraId="093F776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名称</w:t>
                  </w:r>
                </w:p>
              </w:tc>
              <w:tc>
                <w:tcPr>
                  <w:tcW w:w="1502" w:type="dxa"/>
                  <w:tcBorders>
                    <w:tl2br w:val="nil"/>
                    <w:tr2bl w:val="nil"/>
                  </w:tcBorders>
                  <w:vAlign w:val="center"/>
                </w:tcPr>
                <w:p w14:paraId="24AE96F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监测日期</w:t>
                  </w:r>
                </w:p>
              </w:tc>
              <w:tc>
                <w:tcPr>
                  <w:tcW w:w="977" w:type="dxa"/>
                  <w:tcBorders>
                    <w:tl2br w:val="nil"/>
                    <w:tr2bl w:val="nil"/>
                  </w:tcBorders>
                  <w:vAlign w:val="center"/>
                </w:tcPr>
                <w:p w14:paraId="16B8F08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工况流量（m</w:t>
                  </w:r>
                  <w:r>
                    <w:rPr>
                      <w:rFonts w:hint="eastAsia" w:ascii="Times New Roman" w:hAnsi="Times New Roman" w:eastAsia="宋体" w:cs="Times New Roman"/>
                      <w:spacing w:val="-3"/>
                      <w:sz w:val="18"/>
                      <w:szCs w:val="18"/>
                      <w:vertAlign w:val="superscript"/>
                      <w:lang w:val="en-US" w:eastAsia="zh-CN"/>
                    </w:rPr>
                    <w:t>3</w:t>
                  </w:r>
                  <w:r>
                    <w:rPr>
                      <w:rFonts w:hint="eastAsia" w:ascii="Times New Roman" w:hAnsi="Times New Roman" w:eastAsia="宋体" w:cs="Times New Roman"/>
                      <w:spacing w:val="-3"/>
                      <w:sz w:val="18"/>
                      <w:szCs w:val="18"/>
                      <w:vertAlign w:val="baseline"/>
                      <w:lang w:val="en-US" w:eastAsia="zh-CN"/>
                    </w:rPr>
                    <w:t>/h）</w:t>
                  </w:r>
                </w:p>
              </w:tc>
              <w:tc>
                <w:tcPr>
                  <w:tcW w:w="1018" w:type="dxa"/>
                  <w:tcBorders>
                    <w:tl2br w:val="nil"/>
                    <w:tr2bl w:val="nil"/>
                  </w:tcBorders>
                  <w:vAlign w:val="center"/>
                </w:tcPr>
                <w:p w14:paraId="5746529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标况流量（Nm</w:t>
                  </w:r>
                  <w:r>
                    <w:rPr>
                      <w:rFonts w:hint="eastAsia" w:ascii="Times New Roman" w:hAnsi="Times New Roman" w:eastAsia="宋体" w:cs="Times New Roman"/>
                      <w:spacing w:val="-3"/>
                      <w:sz w:val="18"/>
                      <w:szCs w:val="18"/>
                      <w:vertAlign w:val="superscript"/>
                      <w:lang w:val="en-US" w:eastAsia="zh-CN"/>
                    </w:rPr>
                    <w:t>3</w:t>
                  </w:r>
                  <w:r>
                    <w:rPr>
                      <w:rFonts w:hint="eastAsia" w:ascii="Times New Roman" w:hAnsi="Times New Roman" w:eastAsia="宋体" w:cs="Times New Roman"/>
                      <w:spacing w:val="-3"/>
                      <w:sz w:val="18"/>
                      <w:szCs w:val="18"/>
                      <w:vertAlign w:val="baseline"/>
                      <w:lang w:val="en-US" w:eastAsia="zh-CN"/>
                    </w:rPr>
                    <w:t>/h）</w:t>
                  </w:r>
                </w:p>
              </w:tc>
              <w:tc>
                <w:tcPr>
                  <w:tcW w:w="1028" w:type="dxa"/>
                  <w:tcBorders>
                    <w:tl2br w:val="nil"/>
                    <w:tr2bl w:val="nil"/>
                  </w:tcBorders>
                  <w:vAlign w:val="center"/>
                </w:tcPr>
                <w:p w14:paraId="569CDAF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排放浓度（mg/m</w:t>
                  </w:r>
                  <w:r>
                    <w:rPr>
                      <w:rFonts w:hint="eastAsia" w:ascii="Times New Roman" w:hAnsi="Times New Roman" w:eastAsia="宋体" w:cs="Times New Roman"/>
                      <w:spacing w:val="-3"/>
                      <w:sz w:val="18"/>
                      <w:szCs w:val="18"/>
                      <w:vertAlign w:val="superscript"/>
                      <w:lang w:val="en-US" w:eastAsia="zh-CN"/>
                    </w:rPr>
                    <w:t>3</w:t>
                  </w:r>
                  <w:r>
                    <w:rPr>
                      <w:rFonts w:hint="eastAsia" w:ascii="Times New Roman" w:hAnsi="Times New Roman" w:eastAsia="宋体" w:cs="Times New Roman"/>
                      <w:spacing w:val="-3"/>
                      <w:sz w:val="18"/>
                      <w:szCs w:val="18"/>
                      <w:vertAlign w:val="baseline"/>
                      <w:lang w:val="en-US" w:eastAsia="zh-CN"/>
                    </w:rPr>
                    <w:t>）</w:t>
                  </w:r>
                </w:p>
              </w:tc>
              <w:tc>
                <w:tcPr>
                  <w:tcW w:w="1028" w:type="dxa"/>
                  <w:tcBorders>
                    <w:tl2br w:val="nil"/>
                    <w:tr2bl w:val="nil"/>
                  </w:tcBorders>
                  <w:vAlign w:val="center"/>
                </w:tcPr>
                <w:p w14:paraId="1F1E749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浓度限值（mg/m</w:t>
                  </w:r>
                  <w:r>
                    <w:rPr>
                      <w:rFonts w:hint="eastAsia" w:ascii="Times New Roman" w:hAnsi="Times New Roman" w:eastAsia="宋体" w:cs="Times New Roman"/>
                      <w:spacing w:val="-3"/>
                      <w:sz w:val="18"/>
                      <w:szCs w:val="18"/>
                      <w:vertAlign w:val="superscript"/>
                      <w:lang w:val="en-US" w:eastAsia="zh-CN"/>
                    </w:rPr>
                    <w:t>3</w:t>
                  </w:r>
                  <w:r>
                    <w:rPr>
                      <w:rFonts w:hint="eastAsia" w:ascii="Times New Roman" w:hAnsi="Times New Roman" w:eastAsia="宋体" w:cs="Times New Roman"/>
                      <w:spacing w:val="-3"/>
                      <w:sz w:val="18"/>
                      <w:szCs w:val="18"/>
                      <w:vertAlign w:val="baseline"/>
                      <w:lang w:val="en-US" w:eastAsia="zh-CN"/>
                    </w:rPr>
                    <w:t>）</w:t>
                  </w:r>
                </w:p>
              </w:tc>
              <w:tc>
                <w:tcPr>
                  <w:tcW w:w="948" w:type="dxa"/>
                  <w:tcBorders>
                    <w:tl2br w:val="nil"/>
                    <w:tr2bl w:val="nil"/>
                  </w:tcBorders>
                  <w:vAlign w:val="center"/>
                </w:tcPr>
                <w:p w14:paraId="3AD7EF5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达标情况</w:t>
                  </w:r>
                </w:p>
              </w:tc>
            </w:tr>
            <w:tr w14:paraId="318DA0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50" w:type="dxa"/>
                  <w:vMerge w:val="restart"/>
                  <w:tcBorders>
                    <w:tl2br w:val="nil"/>
                    <w:tr2bl w:val="nil"/>
                  </w:tcBorders>
                  <w:vAlign w:val="center"/>
                </w:tcPr>
                <w:p w14:paraId="024C4F25">
                  <w:pPr>
                    <w:keepNext w:val="0"/>
                    <w:keepLines w:val="0"/>
                    <w:widowControl/>
                    <w:suppressLineNumbers w:val="0"/>
                    <w:ind w:left="0" w:leftChars="0" w:right="0" w:rightChars="0" w:firstLine="0" w:firstLineChars="0"/>
                    <w:jc w:val="center"/>
                    <w:rPr>
                      <w:rFonts w:hint="default" w:ascii="Times New Roman" w:hAnsi="Times New Roman" w:eastAsia="宋体" w:cs="Times New Roman"/>
                      <w:spacing w:val="-3"/>
                      <w:sz w:val="18"/>
                      <w:szCs w:val="18"/>
                      <w:vertAlign w:val="baseline"/>
                      <w:lang w:val="en-US" w:eastAsia="zh-CN"/>
                    </w:rPr>
                  </w:pPr>
                  <w:r>
                    <w:rPr>
                      <w:rFonts w:hint="eastAsia" w:cs="Times New Roman"/>
                      <w:spacing w:val="-3"/>
                      <w:sz w:val="18"/>
                      <w:szCs w:val="18"/>
                      <w:vertAlign w:val="baseline"/>
                      <w:lang w:val="en-US" w:eastAsia="zh-CN"/>
                    </w:rPr>
                    <w:t>给料仓排口（DA004）</w:t>
                  </w:r>
                </w:p>
              </w:tc>
              <w:tc>
                <w:tcPr>
                  <w:tcW w:w="403" w:type="dxa"/>
                  <w:vMerge w:val="restart"/>
                  <w:tcBorders>
                    <w:tl2br w:val="nil"/>
                    <w:tr2bl w:val="nil"/>
                  </w:tcBorders>
                  <w:vAlign w:val="center"/>
                </w:tcPr>
                <w:p w14:paraId="6FEED5E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颗粒物</w:t>
                  </w:r>
                </w:p>
              </w:tc>
              <w:tc>
                <w:tcPr>
                  <w:tcW w:w="1502" w:type="dxa"/>
                  <w:vMerge w:val="restart"/>
                  <w:tcBorders>
                    <w:tl2br w:val="nil"/>
                    <w:tr2bl w:val="nil"/>
                  </w:tcBorders>
                  <w:vAlign w:val="center"/>
                </w:tcPr>
                <w:p w14:paraId="10AE31F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2026年2月24日</w:t>
                  </w:r>
                </w:p>
              </w:tc>
              <w:tc>
                <w:tcPr>
                  <w:tcW w:w="977" w:type="dxa"/>
                  <w:tcBorders>
                    <w:tl2br w:val="nil"/>
                    <w:tr2bl w:val="nil"/>
                  </w:tcBorders>
                  <w:vAlign w:val="center"/>
                </w:tcPr>
                <w:p w14:paraId="49DF4DC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1909</w:t>
                  </w:r>
                </w:p>
              </w:tc>
              <w:tc>
                <w:tcPr>
                  <w:tcW w:w="1018" w:type="dxa"/>
                  <w:tcBorders>
                    <w:tl2br w:val="nil"/>
                    <w:tr2bl w:val="nil"/>
                  </w:tcBorders>
                  <w:vAlign w:val="center"/>
                </w:tcPr>
                <w:p w14:paraId="21D3968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1412</w:t>
                  </w:r>
                </w:p>
              </w:tc>
              <w:tc>
                <w:tcPr>
                  <w:tcW w:w="1028" w:type="dxa"/>
                  <w:tcBorders>
                    <w:tl2br w:val="nil"/>
                    <w:tr2bl w:val="nil"/>
                  </w:tcBorders>
                  <w:vAlign w:val="center"/>
                </w:tcPr>
                <w:p w14:paraId="59620240">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41.3</w:t>
                  </w:r>
                </w:p>
              </w:tc>
              <w:tc>
                <w:tcPr>
                  <w:tcW w:w="1028" w:type="dxa"/>
                  <w:vMerge w:val="restart"/>
                  <w:tcBorders>
                    <w:tl2br w:val="nil"/>
                    <w:tr2bl w:val="nil"/>
                  </w:tcBorders>
                  <w:vAlign w:val="center"/>
                </w:tcPr>
                <w:p w14:paraId="2A971AF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80</w:t>
                  </w:r>
                </w:p>
              </w:tc>
              <w:tc>
                <w:tcPr>
                  <w:tcW w:w="948" w:type="dxa"/>
                  <w:tcBorders>
                    <w:tl2br w:val="nil"/>
                    <w:tr2bl w:val="nil"/>
                  </w:tcBorders>
                  <w:vAlign w:val="center"/>
                </w:tcPr>
                <w:p w14:paraId="19219E2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7AE647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0" w:type="dxa"/>
                  <w:vMerge w:val="continue"/>
                  <w:tcBorders>
                    <w:tl2br w:val="nil"/>
                    <w:tr2bl w:val="nil"/>
                  </w:tcBorders>
                  <w:vAlign w:val="center"/>
                </w:tcPr>
                <w:p w14:paraId="7F4180A2">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403" w:type="dxa"/>
                  <w:vMerge w:val="continue"/>
                  <w:tcBorders>
                    <w:tl2br w:val="nil"/>
                    <w:tr2bl w:val="nil"/>
                  </w:tcBorders>
                  <w:vAlign w:val="center"/>
                </w:tcPr>
                <w:p w14:paraId="091ACE53">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02" w:type="dxa"/>
                  <w:vMerge w:val="continue"/>
                  <w:tcBorders>
                    <w:tl2br w:val="nil"/>
                    <w:tr2bl w:val="nil"/>
                  </w:tcBorders>
                  <w:vAlign w:val="center"/>
                </w:tcPr>
                <w:p w14:paraId="442BC212">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77" w:type="dxa"/>
                  <w:tcBorders>
                    <w:tl2br w:val="nil"/>
                    <w:tr2bl w:val="nil"/>
                  </w:tcBorders>
                  <w:vAlign w:val="center"/>
                </w:tcPr>
                <w:p w14:paraId="1B0534A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1767</w:t>
                  </w:r>
                </w:p>
              </w:tc>
              <w:tc>
                <w:tcPr>
                  <w:tcW w:w="1018" w:type="dxa"/>
                  <w:tcBorders>
                    <w:tl2br w:val="nil"/>
                    <w:tr2bl w:val="nil"/>
                  </w:tcBorders>
                  <w:vAlign w:val="center"/>
                </w:tcPr>
                <w:p w14:paraId="745C37C5">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1307</w:t>
                  </w:r>
                </w:p>
              </w:tc>
              <w:tc>
                <w:tcPr>
                  <w:tcW w:w="1028" w:type="dxa"/>
                  <w:tcBorders>
                    <w:tl2br w:val="nil"/>
                    <w:tr2bl w:val="nil"/>
                  </w:tcBorders>
                  <w:vAlign w:val="center"/>
                </w:tcPr>
                <w:p w14:paraId="04B220D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42.4</w:t>
                  </w:r>
                </w:p>
              </w:tc>
              <w:tc>
                <w:tcPr>
                  <w:tcW w:w="1028" w:type="dxa"/>
                  <w:vMerge w:val="continue"/>
                  <w:tcBorders>
                    <w:tl2br w:val="nil"/>
                    <w:tr2bl w:val="nil"/>
                  </w:tcBorders>
                  <w:vAlign w:val="center"/>
                </w:tcPr>
                <w:p w14:paraId="557F7DB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48" w:type="dxa"/>
                  <w:tcBorders>
                    <w:tl2br w:val="nil"/>
                    <w:tr2bl w:val="nil"/>
                  </w:tcBorders>
                  <w:vAlign w:val="center"/>
                </w:tcPr>
                <w:p w14:paraId="1FC616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703E0F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continue"/>
                  <w:tcBorders>
                    <w:tl2br w:val="nil"/>
                    <w:tr2bl w:val="nil"/>
                  </w:tcBorders>
                  <w:vAlign w:val="center"/>
                </w:tcPr>
                <w:p w14:paraId="78B2241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403" w:type="dxa"/>
                  <w:vMerge w:val="continue"/>
                  <w:tcBorders>
                    <w:tl2br w:val="nil"/>
                    <w:tr2bl w:val="nil"/>
                  </w:tcBorders>
                  <w:vAlign w:val="center"/>
                </w:tcPr>
                <w:p w14:paraId="5222F2F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02" w:type="dxa"/>
                  <w:vMerge w:val="continue"/>
                  <w:tcBorders>
                    <w:tl2br w:val="nil"/>
                    <w:tr2bl w:val="nil"/>
                  </w:tcBorders>
                  <w:vAlign w:val="center"/>
                </w:tcPr>
                <w:p w14:paraId="53775E3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77" w:type="dxa"/>
                  <w:tcBorders>
                    <w:tl2br w:val="nil"/>
                    <w:tr2bl w:val="nil"/>
                  </w:tcBorders>
                  <w:vAlign w:val="center"/>
                </w:tcPr>
                <w:p w14:paraId="3BB2677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1831</w:t>
                  </w:r>
                </w:p>
              </w:tc>
              <w:tc>
                <w:tcPr>
                  <w:tcW w:w="1018" w:type="dxa"/>
                  <w:tcBorders>
                    <w:tl2br w:val="nil"/>
                    <w:tr2bl w:val="nil"/>
                  </w:tcBorders>
                  <w:vAlign w:val="center"/>
                </w:tcPr>
                <w:p w14:paraId="1DB82C0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1348</w:t>
                  </w:r>
                </w:p>
              </w:tc>
              <w:tc>
                <w:tcPr>
                  <w:tcW w:w="1028" w:type="dxa"/>
                  <w:tcBorders>
                    <w:tl2br w:val="nil"/>
                    <w:tr2bl w:val="nil"/>
                  </w:tcBorders>
                  <w:vAlign w:val="center"/>
                </w:tcPr>
                <w:p w14:paraId="290D5A1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42.9</w:t>
                  </w:r>
                </w:p>
              </w:tc>
              <w:tc>
                <w:tcPr>
                  <w:tcW w:w="1028" w:type="dxa"/>
                  <w:vMerge w:val="continue"/>
                  <w:tcBorders>
                    <w:tl2br w:val="nil"/>
                    <w:tr2bl w:val="nil"/>
                  </w:tcBorders>
                  <w:vAlign w:val="center"/>
                </w:tcPr>
                <w:p w14:paraId="307A2B00">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48" w:type="dxa"/>
                  <w:tcBorders>
                    <w:tl2br w:val="nil"/>
                    <w:tr2bl w:val="nil"/>
                  </w:tcBorders>
                  <w:vAlign w:val="center"/>
                </w:tcPr>
                <w:p w14:paraId="12C576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1BAC5C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950" w:type="dxa"/>
                  <w:vMerge w:val="restart"/>
                  <w:tcBorders>
                    <w:tl2br w:val="nil"/>
                    <w:tr2bl w:val="nil"/>
                  </w:tcBorders>
                  <w:vAlign w:val="center"/>
                </w:tcPr>
                <w:p w14:paraId="7819DB7C">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破碎车间排口（DA005）</w:t>
                  </w:r>
                </w:p>
              </w:tc>
              <w:tc>
                <w:tcPr>
                  <w:tcW w:w="403" w:type="dxa"/>
                  <w:vMerge w:val="continue"/>
                  <w:tcBorders>
                    <w:tl2br w:val="nil"/>
                    <w:tr2bl w:val="nil"/>
                  </w:tcBorders>
                  <w:vAlign w:val="center"/>
                </w:tcPr>
                <w:p w14:paraId="7614084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02" w:type="dxa"/>
                  <w:vMerge w:val="restart"/>
                  <w:tcBorders>
                    <w:tl2br w:val="nil"/>
                    <w:tr2bl w:val="nil"/>
                  </w:tcBorders>
                  <w:vAlign w:val="center"/>
                </w:tcPr>
                <w:p w14:paraId="047FB7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2026年2月24日</w:t>
                  </w:r>
                </w:p>
              </w:tc>
              <w:tc>
                <w:tcPr>
                  <w:tcW w:w="977" w:type="dxa"/>
                  <w:tcBorders>
                    <w:tl2br w:val="nil"/>
                    <w:tr2bl w:val="nil"/>
                  </w:tcBorders>
                  <w:vAlign w:val="center"/>
                </w:tcPr>
                <w:p w14:paraId="5642ACD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2009</w:t>
                  </w:r>
                </w:p>
              </w:tc>
              <w:tc>
                <w:tcPr>
                  <w:tcW w:w="1018" w:type="dxa"/>
                  <w:tcBorders>
                    <w:tl2br w:val="nil"/>
                    <w:tr2bl w:val="nil"/>
                  </w:tcBorders>
                  <w:vAlign w:val="center"/>
                </w:tcPr>
                <w:p w14:paraId="57DD3328">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1473</w:t>
                  </w:r>
                </w:p>
              </w:tc>
              <w:tc>
                <w:tcPr>
                  <w:tcW w:w="1028" w:type="dxa"/>
                  <w:tcBorders>
                    <w:tl2br w:val="nil"/>
                    <w:tr2bl w:val="nil"/>
                  </w:tcBorders>
                  <w:vAlign w:val="center"/>
                </w:tcPr>
                <w:p w14:paraId="1C6113A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39.7</w:t>
                  </w:r>
                </w:p>
              </w:tc>
              <w:tc>
                <w:tcPr>
                  <w:tcW w:w="1028" w:type="dxa"/>
                  <w:vMerge w:val="restart"/>
                  <w:tcBorders>
                    <w:tl2br w:val="nil"/>
                    <w:tr2bl w:val="nil"/>
                  </w:tcBorders>
                  <w:vAlign w:val="center"/>
                </w:tcPr>
                <w:p w14:paraId="47D36B3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100</w:t>
                  </w:r>
                </w:p>
              </w:tc>
              <w:tc>
                <w:tcPr>
                  <w:tcW w:w="948" w:type="dxa"/>
                  <w:tcBorders>
                    <w:tl2br w:val="nil"/>
                    <w:tr2bl w:val="nil"/>
                  </w:tcBorders>
                  <w:vAlign w:val="center"/>
                </w:tcPr>
                <w:p w14:paraId="427761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564204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50" w:type="dxa"/>
                  <w:vMerge w:val="continue"/>
                  <w:tcBorders>
                    <w:tl2br w:val="nil"/>
                    <w:tr2bl w:val="nil"/>
                  </w:tcBorders>
                  <w:vAlign w:val="center"/>
                </w:tcPr>
                <w:p w14:paraId="7F33DA5B">
                  <w:pPr>
                    <w:keepNext w:val="0"/>
                    <w:keepLines w:val="0"/>
                    <w:widowControl/>
                    <w:suppressLineNumbers w:val="0"/>
                    <w:jc w:val="left"/>
                    <w:rPr>
                      <w:rFonts w:hint="default" w:ascii="Times New Roman" w:hAnsi="Times New Roman" w:eastAsia="宋体" w:cs="Times New Roman"/>
                      <w:color w:val="000000"/>
                      <w:kern w:val="0"/>
                      <w:sz w:val="18"/>
                      <w:szCs w:val="18"/>
                      <w:lang w:val="en-US" w:eastAsia="zh-CN" w:bidi="ar"/>
                    </w:rPr>
                  </w:pPr>
                </w:p>
              </w:tc>
              <w:tc>
                <w:tcPr>
                  <w:tcW w:w="403" w:type="dxa"/>
                  <w:vMerge w:val="continue"/>
                  <w:tcBorders>
                    <w:tl2br w:val="nil"/>
                    <w:tr2bl w:val="nil"/>
                  </w:tcBorders>
                  <w:vAlign w:val="center"/>
                </w:tcPr>
                <w:p w14:paraId="050193C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02" w:type="dxa"/>
                  <w:vMerge w:val="continue"/>
                  <w:tcBorders>
                    <w:tl2br w:val="nil"/>
                    <w:tr2bl w:val="nil"/>
                  </w:tcBorders>
                  <w:vAlign w:val="center"/>
                </w:tcPr>
                <w:p w14:paraId="6281934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77" w:type="dxa"/>
                  <w:tcBorders>
                    <w:tl2br w:val="nil"/>
                    <w:tr2bl w:val="nil"/>
                  </w:tcBorders>
                  <w:vAlign w:val="center"/>
                </w:tcPr>
                <w:p w14:paraId="62411CC5">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1796</w:t>
                  </w:r>
                </w:p>
              </w:tc>
              <w:tc>
                <w:tcPr>
                  <w:tcW w:w="1018" w:type="dxa"/>
                  <w:tcBorders>
                    <w:tl2br w:val="nil"/>
                    <w:tr2bl w:val="nil"/>
                  </w:tcBorders>
                  <w:vAlign w:val="center"/>
                </w:tcPr>
                <w:p w14:paraId="3A69DA2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1316</w:t>
                  </w:r>
                </w:p>
              </w:tc>
              <w:tc>
                <w:tcPr>
                  <w:tcW w:w="1028" w:type="dxa"/>
                  <w:tcBorders>
                    <w:tl2br w:val="nil"/>
                    <w:tr2bl w:val="nil"/>
                  </w:tcBorders>
                  <w:vAlign w:val="center"/>
                </w:tcPr>
                <w:p w14:paraId="38A754E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42.2</w:t>
                  </w:r>
                </w:p>
              </w:tc>
              <w:tc>
                <w:tcPr>
                  <w:tcW w:w="1028" w:type="dxa"/>
                  <w:vMerge w:val="continue"/>
                  <w:tcBorders>
                    <w:tl2br w:val="nil"/>
                    <w:tr2bl w:val="nil"/>
                  </w:tcBorders>
                  <w:vAlign w:val="center"/>
                </w:tcPr>
                <w:p w14:paraId="51762748">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48" w:type="dxa"/>
                  <w:tcBorders>
                    <w:tl2br w:val="nil"/>
                    <w:tr2bl w:val="nil"/>
                  </w:tcBorders>
                  <w:vAlign w:val="center"/>
                </w:tcPr>
                <w:p w14:paraId="06C4D6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188FB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50" w:type="dxa"/>
                  <w:vMerge w:val="continue"/>
                  <w:tcBorders>
                    <w:tl2br w:val="nil"/>
                    <w:tr2bl w:val="nil"/>
                  </w:tcBorders>
                  <w:vAlign w:val="center"/>
                </w:tcPr>
                <w:p w14:paraId="64C7D617">
                  <w:pPr>
                    <w:keepNext w:val="0"/>
                    <w:keepLines w:val="0"/>
                    <w:widowControl/>
                    <w:suppressLineNumbers w:val="0"/>
                    <w:jc w:val="left"/>
                    <w:rPr>
                      <w:rFonts w:hint="default" w:ascii="Times New Roman" w:hAnsi="Times New Roman" w:eastAsia="宋体" w:cs="Times New Roman"/>
                      <w:color w:val="000000"/>
                      <w:kern w:val="0"/>
                      <w:sz w:val="18"/>
                      <w:szCs w:val="18"/>
                      <w:lang w:val="en-US" w:eastAsia="zh-CN" w:bidi="ar"/>
                    </w:rPr>
                  </w:pPr>
                </w:p>
              </w:tc>
              <w:tc>
                <w:tcPr>
                  <w:tcW w:w="403" w:type="dxa"/>
                  <w:vMerge w:val="continue"/>
                  <w:tcBorders>
                    <w:tl2br w:val="nil"/>
                    <w:tr2bl w:val="nil"/>
                  </w:tcBorders>
                  <w:vAlign w:val="center"/>
                </w:tcPr>
                <w:p w14:paraId="4A555B2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02" w:type="dxa"/>
                  <w:vMerge w:val="continue"/>
                  <w:tcBorders>
                    <w:tl2br w:val="nil"/>
                    <w:tr2bl w:val="nil"/>
                  </w:tcBorders>
                  <w:vAlign w:val="center"/>
                </w:tcPr>
                <w:p w14:paraId="5649ADE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77" w:type="dxa"/>
                  <w:tcBorders>
                    <w:tl2br w:val="nil"/>
                    <w:tr2bl w:val="nil"/>
                  </w:tcBorders>
                  <w:vAlign w:val="center"/>
                </w:tcPr>
                <w:p w14:paraId="13ACAF6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1683</w:t>
                  </w:r>
                </w:p>
              </w:tc>
              <w:tc>
                <w:tcPr>
                  <w:tcW w:w="1018" w:type="dxa"/>
                  <w:tcBorders>
                    <w:tl2br w:val="nil"/>
                    <w:tr2bl w:val="nil"/>
                  </w:tcBorders>
                  <w:vAlign w:val="center"/>
                </w:tcPr>
                <w:p w14:paraId="620E162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1232</w:t>
                  </w:r>
                </w:p>
              </w:tc>
              <w:tc>
                <w:tcPr>
                  <w:tcW w:w="1028" w:type="dxa"/>
                  <w:tcBorders>
                    <w:tl2br w:val="nil"/>
                    <w:tr2bl w:val="nil"/>
                  </w:tcBorders>
                  <w:vAlign w:val="center"/>
                </w:tcPr>
                <w:p w14:paraId="589715F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45.3</w:t>
                  </w:r>
                </w:p>
              </w:tc>
              <w:tc>
                <w:tcPr>
                  <w:tcW w:w="1028" w:type="dxa"/>
                  <w:vMerge w:val="continue"/>
                  <w:tcBorders>
                    <w:tl2br w:val="nil"/>
                    <w:tr2bl w:val="nil"/>
                  </w:tcBorders>
                  <w:vAlign w:val="center"/>
                </w:tcPr>
                <w:p w14:paraId="0C880C0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48" w:type="dxa"/>
                  <w:tcBorders>
                    <w:tl2br w:val="nil"/>
                    <w:tr2bl w:val="nil"/>
                  </w:tcBorders>
                  <w:vAlign w:val="center"/>
                </w:tcPr>
                <w:p w14:paraId="50D3B8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54FFF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50" w:type="dxa"/>
                  <w:vMerge w:val="restart"/>
                  <w:tcBorders>
                    <w:tl2br w:val="nil"/>
                    <w:tr2bl w:val="nil"/>
                  </w:tcBorders>
                  <w:vAlign w:val="center"/>
                </w:tcPr>
                <w:p w14:paraId="09A338AB">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筛分车间排口（DA006）</w:t>
                  </w:r>
                </w:p>
              </w:tc>
              <w:tc>
                <w:tcPr>
                  <w:tcW w:w="403" w:type="dxa"/>
                  <w:vMerge w:val="continue"/>
                  <w:tcBorders>
                    <w:tl2br w:val="nil"/>
                    <w:tr2bl w:val="nil"/>
                  </w:tcBorders>
                  <w:vAlign w:val="center"/>
                </w:tcPr>
                <w:p w14:paraId="6B78426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02" w:type="dxa"/>
                  <w:vMerge w:val="restart"/>
                  <w:tcBorders>
                    <w:tl2br w:val="nil"/>
                    <w:tr2bl w:val="nil"/>
                  </w:tcBorders>
                  <w:vAlign w:val="center"/>
                </w:tcPr>
                <w:p w14:paraId="26299A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2026年2月24日</w:t>
                  </w:r>
                </w:p>
              </w:tc>
              <w:tc>
                <w:tcPr>
                  <w:tcW w:w="977" w:type="dxa"/>
                  <w:tcBorders>
                    <w:tl2br w:val="nil"/>
                    <w:tr2bl w:val="nil"/>
                  </w:tcBorders>
                  <w:vAlign w:val="center"/>
                </w:tcPr>
                <w:p w14:paraId="3EA8906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8931</w:t>
                  </w:r>
                </w:p>
              </w:tc>
              <w:tc>
                <w:tcPr>
                  <w:tcW w:w="1018" w:type="dxa"/>
                  <w:tcBorders>
                    <w:tl2br w:val="nil"/>
                    <w:tr2bl w:val="nil"/>
                  </w:tcBorders>
                  <w:vAlign w:val="center"/>
                </w:tcPr>
                <w:p w14:paraId="57D1C31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6601</w:t>
                  </w:r>
                </w:p>
              </w:tc>
              <w:tc>
                <w:tcPr>
                  <w:tcW w:w="1028" w:type="dxa"/>
                  <w:tcBorders>
                    <w:tl2br w:val="nil"/>
                    <w:tr2bl w:val="nil"/>
                  </w:tcBorders>
                  <w:vAlign w:val="center"/>
                </w:tcPr>
                <w:p w14:paraId="39A15480">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46.8</w:t>
                  </w:r>
                </w:p>
              </w:tc>
              <w:tc>
                <w:tcPr>
                  <w:tcW w:w="1028" w:type="dxa"/>
                  <w:vMerge w:val="continue"/>
                  <w:tcBorders>
                    <w:tl2br w:val="nil"/>
                    <w:tr2bl w:val="nil"/>
                  </w:tcBorders>
                  <w:vAlign w:val="center"/>
                </w:tcPr>
                <w:p w14:paraId="4591452D">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48" w:type="dxa"/>
                  <w:tcBorders>
                    <w:tl2br w:val="nil"/>
                    <w:tr2bl w:val="nil"/>
                  </w:tcBorders>
                  <w:vAlign w:val="center"/>
                </w:tcPr>
                <w:p w14:paraId="0DFD2F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3D08B1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50" w:type="dxa"/>
                  <w:vMerge w:val="continue"/>
                  <w:tcBorders>
                    <w:tl2br w:val="nil"/>
                    <w:tr2bl w:val="nil"/>
                  </w:tcBorders>
                  <w:vAlign w:val="center"/>
                </w:tcPr>
                <w:p w14:paraId="0AF5EB2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403" w:type="dxa"/>
                  <w:vMerge w:val="continue"/>
                  <w:tcBorders>
                    <w:tl2br w:val="nil"/>
                    <w:tr2bl w:val="nil"/>
                  </w:tcBorders>
                  <w:vAlign w:val="center"/>
                </w:tcPr>
                <w:p w14:paraId="07237ED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02" w:type="dxa"/>
                  <w:vMerge w:val="continue"/>
                  <w:tcBorders>
                    <w:tl2br w:val="nil"/>
                    <w:tr2bl w:val="nil"/>
                  </w:tcBorders>
                  <w:vAlign w:val="center"/>
                </w:tcPr>
                <w:p w14:paraId="3D6C5E9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77" w:type="dxa"/>
                  <w:tcBorders>
                    <w:tl2br w:val="nil"/>
                    <w:tr2bl w:val="nil"/>
                  </w:tcBorders>
                  <w:vAlign w:val="center"/>
                </w:tcPr>
                <w:p w14:paraId="5C80C3F8">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9186</w:t>
                  </w:r>
                </w:p>
              </w:tc>
              <w:tc>
                <w:tcPr>
                  <w:tcW w:w="1018" w:type="dxa"/>
                  <w:tcBorders>
                    <w:tl2br w:val="nil"/>
                    <w:tr2bl w:val="nil"/>
                  </w:tcBorders>
                  <w:vAlign w:val="center"/>
                </w:tcPr>
                <w:p w14:paraId="237FAE9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6776</w:t>
                  </w:r>
                </w:p>
              </w:tc>
              <w:tc>
                <w:tcPr>
                  <w:tcW w:w="1028" w:type="dxa"/>
                  <w:tcBorders>
                    <w:tl2br w:val="nil"/>
                    <w:tr2bl w:val="nil"/>
                  </w:tcBorders>
                  <w:vAlign w:val="center"/>
                </w:tcPr>
                <w:p w14:paraId="1F69CBA2">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41.5</w:t>
                  </w:r>
                </w:p>
              </w:tc>
              <w:tc>
                <w:tcPr>
                  <w:tcW w:w="1028" w:type="dxa"/>
                  <w:vMerge w:val="continue"/>
                  <w:tcBorders>
                    <w:tl2br w:val="nil"/>
                    <w:tr2bl w:val="nil"/>
                  </w:tcBorders>
                  <w:vAlign w:val="center"/>
                </w:tcPr>
                <w:p w14:paraId="6597AA4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48" w:type="dxa"/>
                  <w:tcBorders>
                    <w:tl2br w:val="nil"/>
                    <w:tr2bl w:val="nil"/>
                  </w:tcBorders>
                  <w:vAlign w:val="center"/>
                </w:tcPr>
                <w:p w14:paraId="2273C5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3236BB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continue"/>
                  <w:tcBorders>
                    <w:tl2br w:val="nil"/>
                    <w:tr2bl w:val="nil"/>
                  </w:tcBorders>
                  <w:vAlign w:val="center"/>
                </w:tcPr>
                <w:p w14:paraId="14515F8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403" w:type="dxa"/>
                  <w:vMerge w:val="continue"/>
                  <w:tcBorders>
                    <w:tl2br w:val="nil"/>
                    <w:tr2bl w:val="nil"/>
                  </w:tcBorders>
                  <w:vAlign w:val="center"/>
                </w:tcPr>
                <w:p w14:paraId="38C1F55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02" w:type="dxa"/>
                  <w:vMerge w:val="continue"/>
                  <w:tcBorders>
                    <w:tl2br w:val="nil"/>
                    <w:tr2bl w:val="nil"/>
                  </w:tcBorders>
                  <w:vAlign w:val="center"/>
                </w:tcPr>
                <w:p w14:paraId="5575AFF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77" w:type="dxa"/>
                  <w:tcBorders>
                    <w:tl2br w:val="nil"/>
                    <w:tr2bl w:val="nil"/>
                  </w:tcBorders>
                  <w:vAlign w:val="center"/>
                </w:tcPr>
                <w:p w14:paraId="431E0F9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8931</w:t>
                  </w:r>
                </w:p>
              </w:tc>
              <w:tc>
                <w:tcPr>
                  <w:tcW w:w="1018" w:type="dxa"/>
                  <w:tcBorders>
                    <w:tl2br w:val="nil"/>
                    <w:tr2bl w:val="nil"/>
                  </w:tcBorders>
                  <w:vAlign w:val="center"/>
                </w:tcPr>
                <w:p w14:paraId="40A6D41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6573</w:t>
                  </w:r>
                </w:p>
              </w:tc>
              <w:tc>
                <w:tcPr>
                  <w:tcW w:w="1028" w:type="dxa"/>
                  <w:tcBorders>
                    <w:tl2br w:val="nil"/>
                    <w:tr2bl w:val="nil"/>
                  </w:tcBorders>
                  <w:vAlign w:val="center"/>
                </w:tcPr>
                <w:p w14:paraId="3A9587D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47.2</w:t>
                  </w:r>
                </w:p>
              </w:tc>
              <w:tc>
                <w:tcPr>
                  <w:tcW w:w="1028" w:type="dxa"/>
                  <w:vMerge w:val="continue"/>
                  <w:tcBorders>
                    <w:tl2br w:val="nil"/>
                    <w:tr2bl w:val="nil"/>
                  </w:tcBorders>
                  <w:vAlign w:val="center"/>
                </w:tcPr>
                <w:p w14:paraId="1D988A3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948" w:type="dxa"/>
                  <w:tcBorders>
                    <w:tl2br w:val="nil"/>
                    <w:tr2bl w:val="nil"/>
                  </w:tcBorders>
                  <w:vAlign w:val="center"/>
                </w:tcPr>
                <w:p w14:paraId="21F050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bl>
          <w:p w14:paraId="4A4FFE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监测结果统计</w:t>
            </w:r>
            <w:r>
              <w:rPr>
                <w:rFonts w:hint="eastAsia" w:ascii="宋体" w:hAnsi="宋体" w:cs="宋体"/>
                <w:color w:val="000000"/>
                <w:kern w:val="0"/>
                <w:sz w:val="24"/>
                <w:szCs w:val="24"/>
                <w:lang w:val="en-US" w:eastAsia="zh-CN" w:bidi="ar"/>
              </w:rPr>
              <w:t>可知</w:t>
            </w:r>
            <w:r>
              <w:rPr>
                <w:rFonts w:hint="eastAsia" w:ascii="宋体" w:hAnsi="宋体" w:eastAsia="宋体" w:cs="宋体"/>
                <w:color w:val="000000"/>
                <w:kern w:val="0"/>
                <w:sz w:val="24"/>
                <w:szCs w:val="24"/>
                <w:lang w:val="en-US" w:eastAsia="zh-CN" w:bidi="ar"/>
              </w:rPr>
              <w:t>：有组织废气排放浓度满足《铜、镍、钴工业污染物排放标准》（</w:t>
            </w:r>
            <w:r>
              <w:rPr>
                <w:rFonts w:hint="default" w:ascii="Times New Roman" w:hAnsi="Times New Roman" w:eastAsia="宋体" w:cs="Times New Roman"/>
                <w:color w:val="000000"/>
                <w:kern w:val="0"/>
                <w:sz w:val="24"/>
                <w:szCs w:val="24"/>
                <w:lang w:val="en-US" w:eastAsia="zh-CN" w:bidi="ar"/>
              </w:rPr>
              <w:t>GB25467-2010</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规定的大气污染物排放限值要求，废气污染物可以做到达标排放。</w:t>
            </w:r>
          </w:p>
          <w:p w14:paraId="3F0423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根据2024年</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2025年年度执行报告原有项目各排气筒污染物排放量如下表：</w:t>
            </w:r>
          </w:p>
          <w:p w14:paraId="74D67A9E">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表2-15 现有排气筒污染物排放量核算表</w:t>
            </w:r>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964"/>
              <w:gridCol w:w="1956"/>
              <w:gridCol w:w="1962"/>
            </w:tblGrid>
            <w:tr w14:paraId="7F6E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tcBorders>
                    <w:left w:val="nil"/>
                  </w:tcBorders>
                  <w:vAlign w:val="center"/>
                </w:tcPr>
                <w:p w14:paraId="58AAACF2">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时间</w:t>
                  </w:r>
                </w:p>
              </w:tc>
              <w:tc>
                <w:tcPr>
                  <w:tcW w:w="1974" w:type="dxa"/>
                  <w:vAlign w:val="center"/>
                </w:tcPr>
                <w:p w14:paraId="22919355">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排放源名称</w:t>
                  </w:r>
                </w:p>
              </w:tc>
              <w:tc>
                <w:tcPr>
                  <w:tcW w:w="1974" w:type="dxa"/>
                  <w:vAlign w:val="center"/>
                </w:tcPr>
                <w:p w14:paraId="167E2B5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排放口类型</w:t>
                  </w:r>
                </w:p>
              </w:tc>
              <w:tc>
                <w:tcPr>
                  <w:tcW w:w="1976" w:type="dxa"/>
                  <w:tcBorders>
                    <w:right w:val="nil"/>
                  </w:tcBorders>
                  <w:vAlign w:val="center"/>
                </w:tcPr>
                <w:p w14:paraId="26F7E65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颗粒物排放量（t/a）</w:t>
                  </w:r>
                </w:p>
              </w:tc>
            </w:tr>
            <w:tr w14:paraId="7F50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restart"/>
                  <w:tcBorders>
                    <w:left w:val="nil"/>
                  </w:tcBorders>
                  <w:vAlign w:val="center"/>
                </w:tcPr>
                <w:p w14:paraId="62761485">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2024年</w:t>
                  </w:r>
                </w:p>
              </w:tc>
              <w:tc>
                <w:tcPr>
                  <w:tcW w:w="1974" w:type="dxa"/>
                  <w:vAlign w:val="center"/>
                </w:tcPr>
                <w:p w14:paraId="5D30A1A3">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给料仓排口（DA004）</w:t>
                  </w:r>
                </w:p>
              </w:tc>
              <w:tc>
                <w:tcPr>
                  <w:tcW w:w="1974" w:type="dxa"/>
                  <w:vAlign w:val="center"/>
                </w:tcPr>
                <w:p w14:paraId="5B6E3F8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一般排放口</w:t>
                  </w:r>
                </w:p>
              </w:tc>
              <w:tc>
                <w:tcPr>
                  <w:tcW w:w="1976" w:type="dxa"/>
                  <w:tcBorders>
                    <w:right w:val="nil"/>
                  </w:tcBorders>
                  <w:vAlign w:val="center"/>
                </w:tcPr>
                <w:p w14:paraId="568F78E3">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0.23</w:t>
                  </w:r>
                </w:p>
              </w:tc>
            </w:tr>
            <w:tr w14:paraId="402E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left w:val="nil"/>
                  </w:tcBorders>
                  <w:vAlign w:val="center"/>
                </w:tcPr>
                <w:p w14:paraId="368834A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974" w:type="dxa"/>
                  <w:vAlign w:val="center"/>
                </w:tcPr>
                <w:p w14:paraId="1170C3D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破碎车间排口（DA005）</w:t>
                  </w:r>
                </w:p>
              </w:tc>
              <w:tc>
                <w:tcPr>
                  <w:tcW w:w="1974" w:type="dxa"/>
                  <w:vAlign w:val="center"/>
                </w:tcPr>
                <w:p w14:paraId="40E0C4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一般排放口</w:t>
                  </w:r>
                </w:p>
              </w:tc>
              <w:tc>
                <w:tcPr>
                  <w:tcW w:w="1976" w:type="dxa"/>
                  <w:tcBorders>
                    <w:right w:val="nil"/>
                  </w:tcBorders>
                  <w:vAlign w:val="center"/>
                </w:tcPr>
                <w:p w14:paraId="63230C25">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0.27</w:t>
                  </w:r>
                </w:p>
              </w:tc>
            </w:tr>
            <w:tr w14:paraId="0C92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left w:val="nil"/>
                  </w:tcBorders>
                  <w:vAlign w:val="center"/>
                </w:tcPr>
                <w:p w14:paraId="1E0B4B1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974" w:type="dxa"/>
                  <w:vAlign w:val="center"/>
                </w:tcPr>
                <w:p w14:paraId="2FFF74A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筛分车间排口（DA006）</w:t>
                  </w:r>
                </w:p>
              </w:tc>
              <w:tc>
                <w:tcPr>
                  <w:tcW w:w="1974" w:type="dxa"/>
                  <w:vAlign w:val="center"/>
                </w:tcPr>
                <w:p w14:paraId="4F8690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一般排放口</w:t>
                  </w:r>
                </w:p>
              </w:tc>
              <w:tc>
                <w:tcPr>
                  <w:tcW w:w="1976" w:type="dxa"/>
                  <w:tcBorders>
                    <w:right w:val="nil"/>
                  </w:tcBorders>
                  <w:vAlign w:val="center"/>
                </w:tcPr>
                <w:p w14:paraId="374BE5F8">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1.35</w:t>
                  </w:r>
                </w:p>
              </w:tc>
            </w:tr>
            <w:tr w14:paraId="3204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left w:val="nil"/>
                  </w:tcBorders>
                  <w:vAlign w:val="center"/>
                </w:tcPr>
                <w:p w14:paraId="60BF4842">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974" w:type="dxa"/>
                  <w:vAlign w:val="center"/>
                </w:tcPr>
                <w:p w14:paraId="363700E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合计</w:t>
                  </w:r>
                </w:p>
              </w:tc>
              <w:tc>
                <w:tcPr>
                  <w:tcW w:w="1974" w:type="dxa"/>
                  <w:vAlign w:val="center"/>
                </w:tcPr>
                <w:p w14:paraId="6A3D6F4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w:t>
                  </w:r>
                </w:p>
              </w:tc>
              <w:tc>
                <w:tcPr>
                  <w:tcW w:w="1976" w:type="dxa"/>
                  <w:tcBorders>
                    <w:right w:val="nil"/>
                  </w:tcBorders>
                  <w:vAlign w:val="center"/>
                </w:tcPr>
                <w:p w14:paraId="1F59639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1.85</w:t>
                  </w:r>
                </w:p>
              </w:tc>
            </w:tr>
            <w:tr w14:paraId="22AF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974" w:type="dxa"/>
                  <w:vMerge w:val="restart"/>
                  <w:tcBorders>
                    <w:left w:val="nil"/>
                  </w:tcBorders>
                  <w:vAlign w:val="center"/>
                </w:tcPr>
                <w:p w14:paraId="1B34A31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2025年</w:t>
                  </w:r>
                </w:p>
              </w:tc>
              <w:tc>
                <w:tcPr>
                  <w:tcW w:w="1974" w:type="dxa"/>
                  <w:vAlign w:val="center"/>
                </w:tcPr>
                <w:p w14:paraId="0C6EBFF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给料仓排口（DA004）</w:t>
                  </w:r>
                </w:p>
              </w:tc>
              <w:tc>
                <w:tcPr>
                  <w:tcW w:w="1974" w:type="dxa"/>
                  <w:vAlign w:val="center"/>
                </w:tcPr>
                <w:p w14:paraId="284ED8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一般排放口</w:t>
                  </w:r>
                </w:p>
              </w:tc>
              <w:tc>
                <w:tcPr>
                  <w:tcW w:w="1976" w:type="dxa"/>
                  <w:tcBorders>
                    <w:right w:val="nil"/>
                  </w:tcBorders>
                  <w:vAlign w:val="center"/>
                </w:tcPr>
                <w:p w14:paraId="26025CF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0.76</w:t>
                  </w:r>
                </w:p>
              </w:tc>
            </w:tr>
            <w:tr w14:paraId="3D32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left w:val="nil"/>
                  </w:tcBorders>
                  <w:vAlign w:val="center"/>
                </w:tcPr>
                <w:p w14:paraId="71C61F21">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974" w:type="dxa"/>
                  <w:vAlign w:val="center"/>
                </w:tcPr>
                <w:p w14:paraId="6E1E35D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破碎车间排口（DA005）</w:t>
                  </w:r>
                </w:p>
              </w:tc>
              <w:tc>
                <w:tcPr>
                  <w:tcW w:w="1974" w:type="dxa"/>
                  <w:vAlign w:val="center"/>
                </w:tcPr>
                <w:p w14:paraId="364EDA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一般排放口</w:t>
                  </w:r>
                </w:p>
              </w:tc>
              <w:tc>
                <w:tcPr>
                  <w:tcW w:w="1976" w:type="dxa"/>
                  <w:tcBorders>
                    <w:right w:val="nil"/>
                  </w:tcBorders>
                  <w:vAlign w:val="center"/>
                </w:tcPr>
                <w:p w14:paraId="102BD4E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0.45</w:t>
                  </w:r>
                </w:p>
              </w:tc>
            </w:tr>
            <w:tr w14:paraId="6DFD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left w:val="nil"/>
                  </w:tcBorders>
                  <w:vAlign w:val="center"/>
                </w:tcPr>
                <w:p w14:paraId="7FA9F63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974" w:type="dxa"/>
                  <w:vAlign w:val="center"/>
                </w:tcPr>
                <w:p w14:paraId="23DB271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筛分车间排口（DA006）</w:t>
                  </w:r>
                </w:p>
              </w:tc>
              <w:tc>
                <w:tcPr>
                  <w:tcW w:w="1974" w:type="dxa"/>
                  <w:vAlign w:val="center"/>
                </w:tcPr>
                <w:p w14:paraId="3365AA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一般排放口</w:t>
                  </w:r>
                </w:p>
              </w:tc>
              <w:tc>
                <w:tcPr>
                  <w:tcW w:w="1976" w:type="dxa"/>
                  <w:tcBorders>
                    <w:right w:val="nil"/>
                  </w:tcBorders>
                  <w:vAlign w:val="center"/>
                </w:tcPr>
                <w:p w14:paraId="3C56591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1.56</w:t>
                  </w:r>
                </w:p>
              </w:tc>
            </w:tr>
            <w:tr w14:paraId="333E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left w:val="nil"/>
                  </w:tcBorders>
                  <w:vAlign w:val="center"/>
                </w:tcPr>
                <w:p w14:paraId="6D589E2D">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974" w:type="dxa"/>
                  <w:vAlign w:val="center"/>
                </w:tcPr>
                <w:p w14:paraId="092AD540">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合计</w:t>
                  </w:r>
                </w:p>
              </w:tc>
              <w:tc>
                <w:tcPr>
                  <w:tcW w:w="1974" w:type="dxa"/>
                  <w:vAlign w:val="center"/>
                </w:tcPr>
                <w:p w14:paraId="6B0862A2">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w:t>
                  </w:r>
                </w:p>
              </w:tc>
              <w:tc>
                <w:tcPr>
                  <w:tcW w:w="1976" w:type="dxa"/>
                  <w:tcBorders>
                    <w:right w:val="nil"/>
                  </w:tcBorders>
                  <w:vAlign w:val="center"/>
                </w:tcPr>
                <w:p w14:paraId="2F518F1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2.77</w:t>
                  </w:r>
                </w:p>
              </w:tc>
            </w:tr>
            <w:tr w14:paraId="6838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2" w:type="dxa"/>
                  <w:gridSpan w:val="3"/>
                  <w:tcBorders>
                    <w:left w:val="nil"/>
                  </w:tcBorders>
                  <w:vAlign w:val="center"/>
                </w:tcPr>
                <w:p w14:paraId="361ADE42">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平均值</w:t>
                  </w:r>
                </w:p>
              </w:tc>
              <w:tc>
                <w:tcPr>
                  <w:tcW w:w="1976" w:type="dxa"/>
                  <w:tcBorders>
                    <w:right w:val="nil"/>
                  </w:tcBorders>
                  <w:vAlign w:val="center"/>
                </w:tcPr>
                <w:p w14:paraId="2A2D239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2.31</w:t>
                  </w:r>
                </w:p>
              </w:tc>
            </w:tr>
          </w:tbl>
          <w:p w14:paraId="5BF38D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厂界无组织废气</w:t>
            </w:r>
          </w:p>
          <w:p w14:paraId="045707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厂界无组织废气根据易门铜业有限</w:t>
            </w:r>
            <w:r>
              <w:rPr>
                <w:rFonts w:hint="default" w:ascii="宋体" w:hAnsi="宋体" w:eastAsia="宋体" w:cs="宋体"/>
                <w:color w:val="000000"/>
                <w:kern w:val="0"/>
                <w:sz w:val="24"/>
                <w:szCs w:val="24"/>
                <w:lang w:val="en-US" w:eastAsia="zh-CN" w:bidi="ar"/>
              </w:rPr>
              <w:t>公</w:t>
            </w:r>
            <w:r>
              <w:rPr>
                <w:rFonts w:hint="default" w:ascii="Times New Roman" w:hAnsi="Times New Roman" w:eastAsia="宋体" w:cs="Times New Roman"/>
                <w:color w:val="000000"/>
                <w:kern w:val="0"/>
                <w:sz w:val="24"/>
                <w:szCs w:val="24"/>
                <w:lang w:val="en-US" w:eastAsia="zh-CN" w:bidi="ar"/>
              </w:rPr>
              <w:t>司2026年</w:t>
            </w:r>
            <w:r>
              <w:rPr>
                <w:rFonts w:hint="eastAsia" w:cs="Times New Roman"/>
                <w:color w:val="000000"/>
                <w:kern w:val="0"/>
                <w:sz w:val="24"/>
                <w:szCs w:val="24"/>
                <w:lang w:val="en-US" w:eastAsia="zh-CN" w:bidi="ar"/>
              </w:rPr>
              <w:t>第一</w:t>
            </w:r>
            <w:r>
              <w:rPr>
                <w:rFonts w:hint="default" w:ascii="Times New Roman" w:hAnsi="Times New Roman" w:eastAsia="宋体" w:cs="Times New Roman"/>
                <w:color w:val="000000"/>
                <w:kern w:val="0"/>
                <w:sz w:val="24"/>
                <w:szCs w:val="24"/>
                <w:lang w:val="en-US" w:eastAsia="zh-CN" w:bidi="ar"/>
              </w:rPr>
              <w:t>季度自行监测报告中的监测数据进行分析，厂界废气无组织排放监测结果统计见下</w:t>
            </w:r>
            <w:r>
              <w:rPr>
                <w:rFonts w:hint="eastAsia" w:ascii="宋体" w:hAnsi="宋体" w:eastAsia="宋体" w:cs="宋体"/>
                <w:color w:val="000000"/>
                <w:kern w:val="0"/>
                <w:sz w:val="24"/>
                <w:szCs w:val="24"/>
                <w:lang w:val="en-US" w:eastAsia="zh-CN" w:bidi="ar"/>
              </w:rPr>
              <w:t>表。</w:t>
            </w:r>
          </w:p>
          <w:p w14:paraId="3F152D00">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表2-16 厂界无组织排放监测结果统计表</w:t>
            </w:r>
          </w:p>
          <w:tbl>
            <w:tblPr>
              <w:tblStyle w:val="22"/>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909"/>
              <w:gridCol w:w="1569"/>
              <w:gridCol w:w="1649"/>
              <w:gridCol w:w="1133"/>
              <w:gridCol w:w="1309"/>
            </w:tblGrid>
            <w:tr w14:paraId="77AB2F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276" w:type="dxa"/>
                  <w:tcBorders>
                    <w:tl2br w:val="nil"/>
                    <w:tr2bl w:val="nil"/>
                  </w:tcBorders>
                  <w:vAlign w:val="center"/>
                </w:tcPr>
                <w:p w14:paraId="5AE1AC63">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监测点位</w:t>
                  </w:r>
                </w:p>
              </w:tc>
              <w:tc>
                <w:tcPr>
                  <w:tcW w:w="910" w:type="dxa"/>
                  <w:tcBorders>
                    <w:tl2br w:val="nil"/>
                    <w:tr2bl w:val="nil"/>
                  </w:tcBorders>
                  <w:vAlign w:val="center"/>
                </w:tcPr>
                <w:p w14:paraId="50634368">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项目</w:t>
                  </w:r>
                </w:p>
              </w:tc>
              <w:tc>
                <w:tcPr>
                  <w:tcW w:w="1570" w:type="dxa"/>
                  <w:tcBorders>
                    <w:tl2br w:val="nil"/>
                    <w:tr2bl w:val="nil"/>
                  </w:tcBorders>
                  <w:vAlign w:val="center"/>
                </w:tcPr>
                <w:p w14:paraId="0D21AF2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采样时间</w:t>
                  </w:r>
                </w:p>
              </w:tc>
              <w:tc>
                <w:tcPr>
                  <w:tcW w:w="1650" w:type="dxa"/>
                  <w:tcBorders>
                    <w:tl2br w:val="nil"/>
                    <w:tr2bl w:val="nil"/>
                  </w:tcBorders>
                  <w:vAlign w:val="center"/>
                </w:tcPr>
                <w:p w14:paraId="2853F0F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监测结果（mg/m</w:t>
                  </w:r>
                  <w:r>
                    <w:rPr>
                      <w:rFonts w:hint="eastAsia" w:ascii="Times New Roman" w:hAnsi="Times New Roman" w:cs="Times New Roman"/>
                      <w:spacing w:val="-3"/>
                      <w:sz w:val="18"/>
                      <w:szCs w:val="18"/>
                      <w:vertAlign w:val="superscript"/>
                      <w:lang w:val="en-US" w:eastAsia="zh-CN"/>
                    </w:rPr>
                    <w:t>3</w:t>
                  </w:r>
                  <w:r>
                    <w:rPr>
                      <w:rFonts w:hint="eastAsia" w:ascii="Times New Roman" w:hAnsi="Times New Roman" w:cs="Times New Roman"/>
                      <w:spacing w:val="-3"/>
                      <w:sz w:val="18"/>
                      <w:szCs w:val="18"/>
                      <w:vertAlign w:val="baseline"/>
                      <w:lang w:val="en-US" w:eastAsia="zh-CN"/>
                    </w:rPr>
                    <w:t>）</w:t>
                  </w:r>
                </w:p>
              </w:tc>
              <w:tc>
                <w:tcPr>
                  <w:tcW w:w="1134" w:type="dxa"/>
                  <w:tcBorders>
                    <w:tl2br w:val="nil"/>
                    <w:tr2bl w:val="nil"/>
                  </w:tcBorders>
                  <w:vAlign w:val="center"/>
                </w:tcPr>
                <w:p w14:paraId="5922C4C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标准值</w:t>
                  </w:r>
                </w:p>
              </w:tc>
              <w:tc>
                <w:tcPr>
                  <w:tcW w:w="1309" w:type="dxa"/>
                  <w:tcBorders>
                    <w:tl2br w:val="nil"/>
                    <w:tr2bl w:val="nil"/>
                  </w:tcBorders>
                  <w:vAlign w:val="center"/>
                </w:tcPr>
                <w:p w14:paraId="1C74AD2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达标情况</w:t>
                  </w:r>
                </w:p>
              </w:tc>
            </w:tr>
            <w:tr w14:paraId="7E3AAF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tcBorders>
                    <w:tl2br w:val="nil"/>
                    <w:tr2bl w:val="nil"/>
                  </w:tcBorders>
                  <w:vAlign w:val="center"/>
                </w:tcPr>
                <w:p w14:paraId="478286E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cs="Times New Roman"/>
                      <w:spacing w:val="-3"/>
                      <w:sz w:val="18"/>
                      <w:szCs w:val="18"/>
                      <w:vertAlign w:val="baseline"/>
                      <w:lang w:val="en-US" w:eastAsia="zh-CN"/>
                    </w:rPr>
                    <w:t>厂界1</w:t>
                  </w:r>
                  <w:r>
                    <w:rPr>
                      <w:rFonts w:hint="default" w:ascii="Times New Roman" w:hAnsi="Times New Roman" w:eastAsia="宋体" w:cs="Times New Roman"/>
                      <w:spacing w:val="-3"/>
                      <w:sz w:val="18"/>
                      <w:szCs w:val="18"/>
                      <w:vertAlign w:val="baseline"/>
                      <w:lang w:val="en-US" w:eastAsia="zh-CN"/>
                    </w:rPr>
                    <w:t>＃</w:t>
                  </w:r>
                </w:p>
              </w:tc>
              <w:tc>
                <w:tcPr>
                  <w:tcW w:w="910" w:type="dxa"/>
                  <w:vMerge w:val="restart"/>
                  <w:tcBorders>
                    <w:tl2br w:val="nil"/>
                    <w:tr2bl w:val="nil"/>
                  </w:tcBorders>
                  <w:vAlign w:val="center"/>
                </w:tcPr>
                <w:p w14:paraId="3BD4F10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颗粒物</w:t>
                  </w:r>
                </w:p>
              </w:tc>
              <w:tc>
                <w:tcPr>
                  <w:tcW w:w="1570" w:type="dxa"/>
                  <w:vMerge w:val="restart"/>
                  <w:tcBorders>
                    <w:tl2br w:val="nil"/>
                    <w:tr2bl w:val="nil"/>
                  </w:tcBorders>
                  <w:vAlign w:val="center"/>
                </w:tcPr>
                <w:p w14:paraId="69204C3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2026年2月24日</w:t>
                  </w:r>
                </w:p>
              </w:tc>
              <w:tc>
                <w:tcPr>
                  <w:tcW w:w="1650" w:type="dxa"/>
                  <w:tcBorders>
                    <w:tl2br w:val="nil"/>
                    <w:tr2bl w:val="nil"/>
                  </w:tcBorders>
                  <w:vAlign w:val="center"/>
                </w:tcPr>
                <w:p w14:paraId="310BE50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0.427</w:t>
                  </w:r>
                </w:p>
              </w:tc>
              <w:tc>
                <w:tcPr>
                  <w:tcW w:w="1134" w:type="dxa"/>
                  <w:tcBorders>
                    <w:tl2br w:val="nil"/>
                    <w:tr2bl w:val="nil"/>
                  </w:tcBorders>
                  <w:vAlign w:val="center"/>
                </w:tcPr>
                <w:p w14:paraId="2E360C90">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5D643AD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49A8A1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tcBorders>
                    <w:tl2br w:val="nil"/>
                    <w:tr2bl w:val="nil"/>
                  </w:tcBorders>
                  <w:vAlign w:val="center"/>
                </w:tcPr>
                <w:p w14:paraId="56EC651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910" w:type="dxa"/>
                  <w:vMerge w:val="continue"/>
                  <w:tcBorders>
                    <w:tl2br w:val="nil"/>
                    <w:tr2bl w:val="nil"/>
                  </w:tcBorders>
                  <w:vAlign w:val="center"/>
                </w:tcPr>
                <w:p w14:paraId="0A280CD3">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7C007B9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3C0FF8E6">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0.432</w:t>
                  </w:r>
                </w:p>
              </w:tc>
              <w:tc>
                <w:tcPr>
                  <w:tcW w:w="1134" w:type="dxa"/>
                  <w:tcBorders>
                    <w:tl2br w:val="nil"/>
                    <w:tr2bl w:val="nil"/>
                  </w:tcBorders>
                  <w:vAlign w:val="center"/>
                </w:tcPr>
                <w:p w14:paraId="73028E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446A01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5060A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tcBorders>
                    <w:tl2br w:val="nil"/>
                    <w:tr2bl w:val="nil"/>
                  </w:tcBorders>
                  <w:vAlign w:val="center"/>
                </w:tcPr>
                <w:p w14:paraId="1D38906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910" w:type="dxa"/>
                  <w:vMerge w:val="continue"/>
                  <w:tcBorders>
                    <w:tl2br w:val="nil"/>
                    <w:tr2bl w:val="nil"/>
                  </w:tcBorders>
                  <w:vAlign w:val="center"/>
                </w:tcPr>
                <w:p w14:paraId="268CA50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49AA64E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659E8E6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0.425</w:t>
                  </w:r>
                </w:p>
              </w:tc>
              <w:tc>
                <w:tcPr>
                  <w:tcW w:w="1134" w:type="dxa"/>
                  <w:tcBorders>
                    <w:tl2br w:val="nil"/>
                    <w:tr2bl w:val="nil"/>
                  </w:tcBorders>
                  <w:vAlign w:val="center"/>
                </w:tcPr>
                <w:p w14:paraId="004772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22ADDA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cs="Times New Roman"/>
                      <w:spacing w:val="-3"/>
                      <w:sz w:val="18"/>
                      <w:szCs w:val="18"/>
                      <w:vertAlign w:val="baseline"/>
                      <w:lang w:val="en-US" w:eastAsia="zh-CN"/>
                    </w:rPr>
                    <w:t>达标</w:t>
                  </w:r>
                </w:p>
              </w:tc>
            </w:tr>
            <w:tr w14:paraId="1A20DB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tcBorders>
                    <w:tl2br w:val="nil"/>
                    <w:tr2bl w:val="nil"/>
                  </w:tcBorders>
                  <w:vAlign w:val="center"/>
                </w:tcPr>
                <w:p w14:paraId="51EF43F8">
                  <w:pPr>
                    <w:keepNext w:val="0"/>
                    <w:keepLines w:val="0"/>
                    <w:widowControl/>
                    <w:suppressLineNumbers w:val="0"/>
                    <w:ind w:left="0" w:leftChars="0" w:right="0" w:rightChars="0" w:firstLine="0" w:firstLineChars="0"/>
                    <w:jc w:val="center"/>
                    <w:rPr>
                      <w:rFonts w:hint="eastAsia" w:ascii="Times New Roman" w:hAnsi="Times New Roman" w:eastAsia="宋体" w:cs="Times New Roman"/>
                      <w:spacing w:val="-3"/>
                      <w:sz w:val="18"/>
                      <w:szCs w:val="18"/>
                      <w:vertAlign w:val="baseline"/>
                      <w:lang w:val="en-US" w:eastAsia="zh-CN"/>
                    </w:rPr>
                  </w:pPr>
                  <w:r>
                    <w:rPr>
                      <w:rFonts w:hint="default" w:ascii="Times New Roman" w:hAnsi="Times New Roman" w:cs="Times New Roman"/>
                      <w:spacing w:val="-3"/>
                      <w:sz w:val="18"/>
                      <w:szCs w:val="18"/>
                      <w:vertAlign w:val="baseline"/>
                      <w:lang w:val="en-US" w:eastAsia="zh-CN"/>
                    </w:rPr>
                    <w:t>厂界</w:t>
                  </w:r>
                  <w:r>
                    <w:rPr>
                      <w:rFonts w:hint="eastAsia" w:ascii="Times New Roman" w:hAnsi="Times New Roman" w:cs="Times New Roman"/>
                      <w:spacing w:val="-3"/>
                      <w:sz w:val="18"/>
                      <w:szCs w:val="18"/>
                      <w:vertAlign w:val="baseline"/>
                      <w:lang w:val="en-US" w:eastAsia="zh-CN"/>
                    </w:rPr>
                    <w:t>2</w:t>
                  </w:r>
                  <w:r>
                    <w:rPr>
                      <w:rFonts w:hint="default" w:ascii="Times New Roman" w:hAnsi="Times New Roman" w:eastAsia="宋体" w:cs="Times New Roman"/>
                      <w:spacing w:val="-3"/>
                      <w:sz w:val="18"/>
                      <w:szCs w:val="18"/>
                      <w:vertAlign w:val="baseline"/>
                      <w:lang w:val="en-US" w:eastAsia="zh-CN"/>
                    </w:rPr>
                    <w:t>＃</w:t>
                  </w:r>
                </w:p>
              </w:tc>
              <w:tc>
                <w:tcPr>
                  <w:tcW w:w="910" w:type="dxa"/>
                  <w:vMerge w:val="continue"/>
                  <w:tcBorders>
                    <w:tl2br w:val="nil"/>
                    <w:tr2bl w:val="nil"/>
                  </w:tcBorders>
                  <w:vAlign w:val="center"/>
                </w:tcPr>
                <w:p w14:paraId="2603157F">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34E996B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36790C3D">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0.541</w:t>
                  </w:r>
                </w:p>
              </w:tc>
              <w:tc>
                <w:tcPr>
                  <w:tcW w:w="1134" w:type="dxa"/>
                  <w:tcBorders>
                    <w:tl2br w:val="nil"/>
                    <w:tr2bl w:val="nil"/>
                  </w:tcBorders>
                  <w:vAlign w:val="center"/>
                </w:tcPr>
                <w:p w14:paraId="1FB23A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42CECF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2071AA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tcBorders>
                    <w:tl2br w:val="nil"/>
                    <w:tr2bl w:val="nil"/>
                  </w:tcBorders>
                  <w:vAlign w:val="center"/>
                </w:tcPr>
                <w:p w14:paraId="3ADB93B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910" w:type="dxa"/>
                  <w:vMerge w:val="continue"/>
                  <w:tcBorders>
                    <w:tl2br w:val="nil"/>
                    <w:tr2bl w:val="nil"/>
                  </w:tcBorders>
                  <w:vAlign w:val="center"/>
                </w:tcPr>
                <w:p w14:paraId="0A2496B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7275690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4979D09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0.546</w:t>
                  </w:r>
                </w:p>
              </w:tc>
              <w:tc>
                <w:tcPr>
                  <w:tcW w:w="1134" w:type="dxa"/>
                  <w:tcBorders>
                    <w:tl2br w:val="nil"/>
                    <w:tr2bl w:val="nil"/>
                  </w:tcBorders>
                  <w:vAlign w:val="center"/>
                </w:tcPr>
                <w:p w14:paraId="067C97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6BEE4E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3EDA54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tcBorders>
                    <w:tl2br w:val="nil"/>
                    <w:tr2bl w:val="nil"/>
                  </w:tcBorders>
                  <w:vAlign w:val="center"/>
                </w:tcPr>
                <w:p w14:paraId="30A35C5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910" w:type="dxa"/>
                  <w:vMerge w:val="continue"/>
                  <w:tcBorders>
                    <w:tl2br w:val="nil"/>
                    <w:tr2bl w:val="nil"/>
                  </w:tcBorders>
                  <w:vAlign w:val="center"/>
                </w:tcPr>
                <w:p w14:paraId="6C5993D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5A90C8BD">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3E8BED8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0.551</w:t>
                  </w:r>
                </w:p>
              </w:tc>
              <w:tc>
                <w:tcPr>
                  <w:tcW w:w="1134" w:type="dxa"/>
                  <w:tcBorders>
                    <w:tl2br w:val="nil"/>
                    <w:tr2bl w:val="nil"/>
                  </w:tcBorders>
                  <w:vAlign w:val="center"/>
                </w:tcPr>
                <w:p w14:paraId="0F714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63D0D4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cs="Times New Roman"/>
                      <w:spacing w:val="-3"/>
                      <w:sz w:val="18"/>
                      <w:szCs w:val="18"/>
                      <w:vertAlign w:val="baseline"/>
                      <w:lang w:val="en-US" w:eastAsia="zh-CN"/>
                    </w:rPr>
                    <w:t>达标</w:t>
                  </w:r>
                </w:p>
              </w:tc>
            </w:tr>
            <w:tr w14:paraId="3D6BA6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tcBorders>
                    <w:tl2br w:val="nil"/>
                    <w:tr2bl w:val="nil"/>
                  </w:tcBorders>
                  <w:vAlign w:val="center"/>
                </w:tcPr>
                <w:p w14:paraId="024AC6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default" w:ascii="Times New Roman" w:hAnsi="Times New Roman" w:cs="Times New Roman"/>
                      <w:spacing w:val="-3"/>
                      <w:sz w:val="18"/>
                      <w:szCs w:val="18"/>
                      <w:vertAlign w:val="baseline"/>
                      <w:lang w:val="en-US" w:eastAsia="zh-CN"/>
                    </w:rPr>
                    <w:t>厂界</w:t>
                  </w:r>
                  <w:r>
                    <w:rPr>
                      <w:rFonts w:hint="eastAsia" w:ascii="Times New Roman" w:hAnsi="Times New Roman" w:cs="Times New Roman"/>
                      <w:spacing w:val="-3"/>
                      <w:sz w:val="18"/>
                      <w:szCs w:val="18"/>
                      <w:vertAlign w:val="baseline"/>
                      <w:lang w:val="en-US" w:eastAsia="zh-CN"/>
                    </w:rPr>
                    <w:t>3</w:t>
                  </w:r>
                  <w:r>
                    <w:rPr>
                      <w:rFonts w:hint="default" w:ascii="Times New Roman" w:hAnsi="Times New Roman" w:eastAsia="宋体" w:cs="Times New Roman"/>
                      <w:spacing w:val="-3"/>
                      <w:sz w:val="18"/>
                      <w:szCs w:val="18"/>
                      <w:vertAlign w:val="baseline"/>
                      <w:lang w:val="en-US" w:eastAsia="zh-CN"/>
                    </w:rPr>
                    <w:t>＃</w:t>
                  </w:r>
                </w:p>
              </w:tc>
              <w:tc>
                <w:tcPr>
                  <w:tcW w:w="910" w:type="dxa"/>
                  <w:vMerge w:val="continue"/>
                  <w:tcBorders>
                    <w:tl2br w:val="nil"/>
                    <w:tr2bl w:val="nil"/>
                  </w:tcBorders>
                  <w:vAlign w:val="center"/>
                </w:tcPr>
                <w:p w14:paraId="24CB078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3EF9848D">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001B3CD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0.585</w:t>
                  </w:r>
                </w:p>
              </w:tc>
              <w:tc>
                <w:tcPr>
                  <w:tcW w:w="1134" w:type="dxa"/>
                  <w:tcBorders>
                    <w:tl2br w:val="nil"/>
                    <w:tr2bl w:val="nil"/>
                  </w:tcBorders>
                  <w:vAlign w:val="center"/>
                </w:tcPr>
                <w:p w14:paraId="3E33DB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18A879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524A55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tcBorders>
                    <w:tl2br w:val="nil"/>
                    <w:tr2bl w:val="nil"/>
                  </w:tcBorders>
                  <w:vAlign w:val="center"/>
                </w:tcPr>
                <w:p w14:paraId="6BBAB02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910" w:type="dxa"/>
                  <w:vMerge w:val="continue"/>
                  <w:tcBorders>
                    <w:tl2br w:val="nil"/>
                    <w:tr2bl w:val="nil"/>
                  </w:tcBorders>
                  <w:vAlign w:val="center"/>
                </w:tcPr>
                <w:p w14:paraId="2F95670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30E8505C">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6CA55840">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0.579</w:t>
                  </w:r>
                </w:p>
              </w:tc>
              <w:tc>
                <w:tcPr>
                  <w:tcW w:w="1134" w:type="dxa"/>
                  <w:tcBorders>
                    <w:tl2br w:val="nil"/>
                    <w:tr2bl w:val="nil"/>
                  </w:tcBorders>
                  <w:vAlign w:val="center"/>
                </w:tcPr>
                <w:p w14:paraId="6E3CA7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38116C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268DC6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tcBorders>
                    <w:tl2br w:val="nil"/>
                    <w:tr2bl w:val="nil"/>
                  </w:tcBorders>
                  <w:vAlign w:val="center"/>
                </w:tcPr>
                <w:p w14:paraId="0CAEA128">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910" w:type="dxa"/>
                  <w:vMerge w:val="continue"/>
                  <w:tcBorders>
                    <w:tl2br w:val="nil"/>
                    <w:tr2bl w:val="nil"/>
                  </w:tcBorders>
                  <w:vAlign w:val="center"/>
                </w:tcPr>
                <w:p w14:paraId="0C826BA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2427D11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5A31401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0.583</w:t>
                  </w:r>
                </w:p>
              </w:tc>
              <w:tc>
                <w:tcPr>
                  <w:tcW w:w="1134" w:type="dxa"/>
                  <w:tcBorders>
                    <w:tl2br w:val="nil"/>
                    <w:tr2bl w:val="nil"/>
                  </w:tcBorders>
                  <w:vAlign w:val="center"/>
                </w:tcPr>
                <w:p w14:paraId="41A596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0A93CA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cs="Times New Roman"/>
                      <w:spacing w:val="-3"/>
                      <w:sz w:val="18"/>
                      <w:szCs w:val="18"/>
                      <w:vertAlign w:val="baseline"/>
                      <w:lang w:val="en-US" w:eastAsia="zh-CN"/>
                    </w:rPr>
                    <w:t>达标</w:t>
                  </w:r>
                </w:p>
              </w:tc>
            </w:tr>
            <w:tr w14:paraId="6E4E21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tcBorders>
                    <w:tl2br w:val="nil"/>
                    <w:tr2bl w:val="nil"/>
                  </w:tcBorders>
                  <w:vAlign w:val="center"/>
                </w:tcPr>
                <w:p w14:paraId="4175C8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default" w:ascii="Times New Roman" w:hAnsi="Times New Roman" w:cs="Times New Roman"/>
                      <w:spacing w:val="-3"/>
                      <w:sz w:val="18"/>
                      <w:szCs w:val="18"/>
                      <w:vertAlign w:val="baseline"/>
                      <w:lang w:val="en-US" w:eastAsia="zh-CN"/>
                    </w:rPr>
                    <w:t>厂界</w:t>
                  </w:r>
                  <w:r>
                    <w:rPr>
                      <w:rFonts w:hint="eastAsia" w:ascii="Times New Roman" w:hAnsi="Times New Roman" w:cs="Times New Roman"/>
                      <w:spacing w:val="-3"/>
                      <w:sz w:val="18"/>
                      <w:szCs w:val="18"/>
                      <w:vertAlign w:val="baseline"/>
                      <w:lang w:val="en-US" w:eastAsia="zh-CN"/>
                    </w:rPr>
                    <w:t>4</w:t>
                  </w:r>
                  <w:r>
                    <w:rPr>
                      <w:rFonts w:hint="default" w:ascii="Times New Roman" w:hAnsi="Times New Roman" w:eastAsia="宋体" w:cs="Times New Roman"/>
                      <w:spacing w:val="-3"/>
                      <w:sz w:val="18"/>
                      <w:szCs w:val="18"/>
                      <w:vertAlign w:val="baseline"/>
                      <w:lang w:val="en-US" w:eastAsia="zh-CN"/>
                    </w:rPr>
                    <w:t>＃</w:t>
                  </w:r>
                </w:p>
              </w:tc>
              <w:tc>
                <w:tcPr>
                  <w:tcW w:w="910" w:type="dxa"/>
                  <w:vMerge w:val="continue"/>
                  <w:tcBorders>
                    <w:tl2br w:val="nil"/>
                    <w:tr2bl w:val="nil"/>
                  </w:tcBorders>
                  <w:vAlign w:val="center"/>
                </w:tcPr>
                <w:p w14:paraId="7B0AAF99">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694DB1B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0DBFC137">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0.618</w:t>
                  </w:r>
                </w:p>
              </w:tc>
              <w:tc>
                <w:tcPr>
                  <w:tcW w:w="1134" w:type="dxa"/>
                  <w:tcBorders>
                    <w:tl2br w:val="nil"/>
                    <w:tr2bl w:val="nil"/>
                  </w:tcBorders>
                  <w:vAlign w:val="center"/>
                </w:tcPr>
                <w:p w14:paraId="053424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5F979B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53E93D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tcBorders>
                    <w:tl2br w:val="nil"/>
                    <w:tr2bl w:val="nil"/>
                  </w:tcBorders>
                  <w:vAlign w:val="center"/>
                </w:tcPr>
                <w:p w14:paraId="467E9104">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910" w:type="dxa"/>
                  <w:vMerge w:val="continue"/>
                  <w:tcBorders>
                    <w:tl2br w:val="nil"/>
                    <w:tr2bl w:val="nil"/>
                  </w:tcBorders>
                  <w:vAlign w:val="center"/>
                </w:tcPr>
                <w:p w14:paraId="465BF130">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25D9D89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71E710A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0.628</w:t>
                  </w:r>
                </w:p>
              </w:tc>
              <w:tc>
                <w:tcPr>
                  <w:tcW w:w="1134" w:type="dxa"/>
                  <w:tcBorders>
                    <w:tl2br w:val="nil"/>
                    <w:tr2bl w:val="nil"/>
                  </w:tcBorders>
                  <w:vAlign w:val="center"/>
                </w:tcPr>
                <w:p w14:paraId="2B4EA3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7EDBD3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r>
                    <w:rPr>
                      <w:rFonts w:hint="eastAsia" w:ascii="Times New Roman" w:hAnsi="Times New Roman" w:eastAsia="宋体" w:cs="Times New Roman"/>
                      <w:spacing w:val="-3"/>
                      <w:sz w:val="18"/>
                      <w:szCs w:val="18"/>
                      <w:vertAlign w:val="baseline"/>
                      <w:lang w:val="en-US" w:eastAsia="zh-CN"/>
                    </w:rPr>
                    <w:t>达标</w:t>
                  </w:r>
                </w:p>
              </w:tc>
            </w:tr>
            <w:tr w14:paraId="3B52EF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tcBorders>
                    <w:tl2br w:val="nil"/>
                    <w:tr2bl w:val="nil"/>
                  </w:tcBorders>
                  <w:vAlign w:val="center"/>
                </w:tcPr>
                <w:p w14:paraId="55D4DD52">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910" w:type="dxa"/>
                  <w:vMerge w:val="continue"/>
                  <w:tcBorders>
                    <w:tl2br w:val="nil"/>
                    <w:tr2bl w:val="nil"/>
                  </w:tcBorders>
                  <w:vAlign w:val="center"/>
                </w:tcPr>
                <w:p w14:paraId="4CD73ABA">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sz w:val="18"/>
                      <w:szCs w:val="18"/>
                      <w:vertAlign w:val="baseline"/>
                      <w:lang w:val="en-US" w:eastAsia="zh-CN"/>
                    </w:rPr>
                  </w:pPr>
                </w:p>
              </w:tc>
              <w:tc>
                <w:tcPr>
                  <w:tcW w:w="1570" w:type="dxa"/>
                  <w:vMerge w:val="continue"/>
                  <w:tcBorders>
                    <w:tl2br w:val="nil"/>
                    <w:tr2bl w:val="nil"/>
                  </w:tcBorders>
                  <w:vAlign w:val="center"/>
                </w:tcPr>
                <w:p w14:paraId="233F239E">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p>
              </w:tc>
              <w:tc>
                <w:tcPr>
                  <w:tcW w:w="1650" w:type="dxa"/>
                  <w:tcBorders>
                    <w:tl2br w:val="nil"/>
                    <w:tr2bl w:val="nil"/>
                  </w:tcBorders>
                  <w:vAlign w:val="center"/>
                </w:tcPr>
                <w:p w14:paraId="2D26329B">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ascii="Times New Roman" w:hAnsi="Times New Roman" w:cs="Times New Roman"/>
                      <w:spacing w:val="-3"/>
                      <w:sz w:val="18"/>
                      <w:szCs w:val="18"/>
                      <w:vertAlign w:val="baseline"/>
                      <w:lang w:val="en-US" w:eastAsia="zh-CN"/>
                    </w:rPr>
                    <w:t>0.625</w:t>
                  </w:r>
                </w:p>
              </w:tc>
              <w:tc>
                <w:tcPr>
                  <w:tcW w:w="1134" w:type="dxa"/>
                  <w:tcBorders>
                    <w:tl2br w:val="nil"/>
                    <w:tr2bl w:val="nil"/>
                  </w:tcBorders>
                  <w:vAlign w:val="center"/>
                </w:tcPr>
                <w:p w14:paraId="77AED3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default" w:ascii="Times New Roman" w:hAnsi="Times New Roman" w:eastAsia="宋体" w:cs="Times New Roman"/>
                      <w:spacing w:val="-3"/>
                      <w:sz w:val="18"/>
                      <w:szCs w:val="18"/>
                      <w:vertAlign w:val="baseline"/>
                      <w:lang w:val="en-US" w:eastAsia="zh-CN"/>
                    </w:rPr>
                    <w:t>≤1.0</w:t>
                  </w:r>
                </w:p>
              </w:tc>
              <w:tc>
                <w:tcPr>
                  <w:tcW w:w="1309" w:type="dxa"/>
                  <w:tcBorders>
                    <w:tl2br w:val="nil"/>
                    <w:tr2bl w:val="nil"/>
                  </w:tcBorders>
                  <w:vAlign w:val="center"/>
                </w:tcPr>
                <w:p w14:paraId="442D9C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vertAlign w:val="baseline"/>
                      <w:lang w:val="en-US" w:eastAsia="zh-CN"/>
                    </w:rPr>
                  </w:pPr>
                  <w:r>
                    <w:rPr>
                      <w:rFonts w:hint="eastAsia" w:cs="Times New Roman"/>
                      <w:spacing w:val="-3"/>
                      <w:sz w:val="18"/>
                      <w:szCs w:val="18"/>
                      <w:vertAlign w:val="baseline"/>
                      <w:lang w:val="en-US" w:eastAsia="zh-CN"/>
                    </w:rPr>
                    <w:t>达标</w:t>
                  </w:r>
                </w:p>
              </w:tc>
            </w:tr>
          </w:tbl>
          <w:p w14:paraId="5B8D07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由监测结果统计可见：厂界4个废气无组织排放监控点颗粒物均符合《铜、镍、钴工业污染物排放标准》（GB25467-2010）表6规定的大气污染物排放限值。</w:t>
            </w:r>
          </w:p>
          <w:p w14:paraId="53E5965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原有项目无组织粉尘排放量如下：</w:t>
            </w:r>
          </w:p>
          <w:p w14:paraId="5A32B10C">
            <w:pPr>
              <w:pStyle w:val="3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铜冶炼渣堆场粉尘</w:t>
            </w:r>
          </w:p>
          <w:p w14:paraId="4BB471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铜冶炼渣堆场占地面积为</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500m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，设置顶棚及严密围挡，堆场表面矿尘的排放受诸如风速、矿堆的几何形状、矿堆密度、水分含量等多种因素的影响。</w:t>
            </w:r>
            <w:r>
              <w:rPr>
                <w:rFonts w:hint="eastAsia" w:ascii="Times New Roman" w:hAnsi="Times New Roman" w:eastAsia="宋体" w:cs="Times New Roman"/>
                <w:color w:val="auto"/>
                <w:kern w:val="0"/>
                <w:sz w:val="24"/>
                <w:szCs w:val="24"/>
                <w:lang w:val="en-US" w:eastAsia="zh-CN" w:bidi="ar"/>
              </w:rPr>
              <w:t>堆场冶炼渣块度大</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且在堆场</w:t>
            </w:r>
            <w:r>
              <w:rPr>
                <w:rFonts w:hint="default" w:ascii="Times New Roman" w:hAnsi="Times New Roman" w:eastAsia="宋体" w:cs="Times New Roman"/>
                <w:color w:val="auto"/>
                <w:kern w:val="0"/>
                <w:sz w:val="24"/>
                <w:szCs w:val="24"/>
                <w:lang w:val="en-US" w:eastAsia="zh-CN" w:bidi="ar"/>
              </w:rPr>
              <w:t>设置喷淋设施</w:t>
            </w:r>
            <w:r>
              <w:rPr>
                <w:rFonts w:hint="eastAsia" w:ascii="Times New Roman" w:hAnsi="Times New Roman" w:eastAsia="宋体" w:cs="Times New Roman"/>
                <w:color w:val="auto"/>
                <w:kern w:val="0"/>
                <w:sz w:val="24"/>
                <w:szCs w:val="24"/>
                <w:lang w:val="en-US" w:eastAsia="zh-CN" w:bidi="ar"/>
              </w:rPr>
              <w:t>。因此，</w:t>
            </w:r>
            <w:r>
              <w:rPr>
                <w:rFonts w:hint="default" w:ascii="Times New Roman" w:hAnsi="Times New Roman" w:eastAsia="宋体" w:cs="Times New Roman"/>
                <w:color w:val="auto"/>
                <w:kern w:val="0"/>
                <w:sz w:val="24"/>
                <w:szCs w:val="24"/>
                <w:lang w:val="en-US" w:eastAsia="zh-CN" w:bidi="ar"/>
              </w:rPr>
              <w:t>在堆放时产尘量较小</w:t>
            </w:r>
            <w:r>
              <w:rPr>
                <w:rFonts w:hint="eastAsia" w:ascii="Times New Roman" w:hAnsi="Times New Roman" w:eastAsia="宋体" w:cs="Times New Roman"/>
                <w:color w:val="auto"/>
                <w:kern w:val="0"/>
                <w:sz w:val="24"/>
                <w:szCs w:val="24"/>
                <w:lang w:val="en-US" w:eastAsia="zh-CN" w:bidi="ar"/>
              </w:rPr>
              <w:t>。</w:t>
            </w:r>
          </w:p>
          <w:p w14:paraId="0BEB18C7">
            <w:pPr>
              <w:pStyle w:val="31"/>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（2）缓冷场拆包区粉尘</w:t>
            </w:r>
          </w:p>
          <w:p w14:paraId="0681F0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冶炼渣在缓冷场拆包区翻倒回产生一定的粉尘</w:t>
            </w:r>
            <w:r>
              <w:rPr>
                <w:rFonts w:hint="default" w:ascii="Times New Roman" w:hAnsi="Times New Roman" w:eastAsia="宋体" w:cs="Times New Roman"/>
                <w:color w:val="auto"/>
                <w:kern w:val="0"/>
                <w:sz w:val="24"/>
                <w:szCs w:val="24"/>
                <w:lang w:val="en-US" w:eastAsia="zh-CN" w:bidi="ar"/>
              </w:rPr>
              <w:t>，粉尘产生量约为</w:t>
            </w:r>
            <w:r>
              <w:rPr>
                <w:rFonts w:hint="eastAsia" w:cs="Times New Roman"/>
                <w:color w:val="auto"/>
                <w:kern w:val="0"/>
                <w:sz w:val="24"/>
                <w:szCs w:val="24"/>
                <w:lang w:val="en-US" w:eastAsia="zh-CN" w:bidi="ar"/>
              </w:rPr>
              <w:t>1.3</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highlight w:val="none"/>
              </w:rPr>
              <w:t>项目在</w:t>
            </w:r>
            <w:r>
              <w:rPr>
                <w:rFonts w:hint="eastAsia" w:ascii="Times New Roman" w:hAnsi="Times New Roman" w:cs="Times New Roman"/>
                <w:color w:val="auto"/>
                <w:sz w:val="24"/>
                <w:highlight w:val="none"/>
                <w:lang w:val="en-US" w:eastAsia="zh-CN"/>
              </w:rPr>
              <w:t>缓冷场拆包区</w:t>
            </w:r>
            <w:r>
              <w:rPr>
                <w:rFonts w:hint="default" w:ascii="Times New Roman" w:hAnsi="Times New Roman" w:cs="Times New Roman"/>
                <w:color w:val="auto"/>
                <w:sz w:val="24"/>
                <w:highlight w:val="none"/>
              </w:rPr>
              <w:t>设置喷淋设施，根据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工业源固体物料堆场颗粒物核算系数手册</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附录4可知，洒水控制效率为74%，</w:t>
            </w:r>
            <w:r>
              <w:rPr>
                <w:rFonts w:hint="eastAsia" w:ascii="Times New Roman" w:hAnsi="Times New Roman" w:cs="Times New Roman"/>
                <w:color w:val="auto"/>
                <w:sz w:val="24"/>
                <w:highlight w:val="none"/>
                <w:lang w:val="en-US" w:eastAsia="zh-CN"/>
              </w:rPr>
              <w:t>则粉尘</w:t>
            </w:r>
            <w:r>
              <w:rPr>
                <w:rFonts w:hint="default" w:ascii="Times New Roman" w:hAnsi="Times New Roman" w:eastAsia="宋体" w:cs="Times New Roman"/>
                <w:color w:val="auto"/>
                <w:kern w:val="0"/>
                <w:sz w:val="24"/>
                <w:szCs w:val="24"/>
                <w:lang w:val="en-US" w:eastAsia="zh-CN" w:bidi="ar"/>
              </w:rPr>
              <w:t>排放量为</w:t>
            </w:r>
            <w:r>
              <w:rPr>
                <w:rFonts w:hint="eastAsia" w:cs="Times New Roman"/>
                <w:color w:val="auto"/>
                <w:kern w:val="0"/>
                <w:sz w:val="24"/>
                <w:szCs w:val="24"/>
                <w:lang w:val="en-US" w:eastAsia="zh-CN" w:bidi="ar"/>
              </w:rPr>
              <w:t>0.34</w:t>
            </w:r>
            <w:r>
              <w:rPr>
                <w:rFonts w:hint="default" w:ascii="Times New Roman" w:hAnsi="Times New Roman" w:eastAsia="宋体" w:cs="Times New Roman"/>
                <w:color w:val="auto"/>
                <w:kern w:val="0"/>
                <w:sz w:val="24"/>
                <w:szCs w:val="24"/>
                <w:lang w:val="en-US" w:eastAsia="zh-CN" w:bidi="ar"/>
              </w:rPr>
              <w:t>t/a，</w:t>
            </w:r>
            <w:r>
              <w:rPr>
                <w:rFonts w:hint="eastAsia" w:cs="Times New Roman"/>
                <w:color w:val="auto"/>
                <w:kern w:val="0"/>
                <w:sz w:val="24"/>
                <w:szCs w:val="24"/>
                <w:lang w:val="en-US" w:eastAsia="zh-CN" w:bidi="ar"/>
              </w:rPr>
              <w:t>0.04</w:t>
            </w:r>
            <w:r>
              <w:rPr>
                <w:rFonts w:hint="default" w:ascii="Times New Roman" w:hAnsi="Times New Roman" w:eastAsia="宋体" w:cs="Times New Roman"/>
                <w:color w:val="auto"/>
                <w:kern w:val="0"/>
                <w:sz w:val="24"/>
                <w:szCs w:val="24"/>
                <w:lang w:val="en-US" w:eastAsia="zh-CN" w:bidi="ar"/>
              </w:rPr>
              <w:t>kg/h。</w:t>
            </w:r>
          </w:p>
          <w:p w14:paraId="7D00FCAD">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各料仓受料过程及皮带输送过程产生的粉尘</w:t>
            </w:r>
          </w:p>
          <w:p w14:paraId="11F50D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根据《逸散性工业粉尘控制技术》“第十八章粒料加工厂”中的逸散尘排放因子，送料过程产污系数为0.0007kg/t-进料，出料过程产污系数为0.00145kg/t-装料，</w:t>
            </w:r>
            <w:r>
              <w:rPr>
                <w:rFonts w:hint="eastAsia" w:cs="Times New Roman"/>
                <w:color w:val="auto"/>
                <w:kern w:val="0"/>
                <w:sz w:val="24"/>
                <w:szCs w:val="24"/>
                <w:lang w:val="en-US" w:eastAsia="zh-CN" w:bidi="ar"/>
              </w:rPr>
              <w:t>原有项目</w:t>
            </w:r>
            <w:r>
              <w:rPr>
                <w:rFonts w:hint="default" w:ascii="Times New Roman" w:hAnsi="Times New Roman" w:eastAsia="宋体" w:cs="Times New Roman"/>
                <w:color w:val="auto"/>
                <w:kern w:val="0"/>
                <w:sz w:val="24"/>
                <w:szCs w:val="24"/>
                <w:lang w:val="en-US" w:eastAsia="zh-CN" w:bidi="ar"/>
              </w:rPr>
              <w:t>原料总用量为</w:t>
            </w:r>
            <w:r>
              <w:rPr>
                <w:rFonts w:hint="eastAsia" w:ascii="Times New Roman" w:hAnsi="Times New Roman" w:eastAsia="宋体" w:cs="Times New Roman"/>
                <w:color w:val="auto"/>
                <w:kern w:val="0"/>
                <w:sz w:val="24"/>
                <w:szCs w:val="24"/>
                <w:lang w:val="en-US" w:eastAsia="zh-CN" w:bidi="ar"/>
              </w:rPr>
              <w:t>429000</w:t>
            </w:r>
            <w:r>
              <w:rPr>
                <w:rFonts w:hint="default" w:ascii="Times New Roman" w:hAnsi="Times New Roman" w:eastAsia="宋体" w:cs="Times New Roman"/>
                <w:color w:val="auto"/>
                <w:kern w:val="0"/>
                <w:sz w:val="24"/>
                <w:szCs w:val="24"/>
                <w:lang w:val="en-US" w:eastAsia="zh-CN" w:bidi="ar"/>
              </w:rPr>
              <w:t>t/a，则粉尘总产生量为</w:t>
            </w:r>
            <w:r>
              <w:rPr>
                <w:rFonts w:hint="eastAsia" w:ascii="Times New Roman" w:hAnsi="Times New Roman" w:eastAsia="宋体" w:cs="Times New Roman"/>
                <w:color w:val="auto"/>
                <w:kern w:val="0"/>
                <w:sz w:val="24"/>
                <w:szCs w:val="24"/>
                <w:lang w:val="en-US" w:eastAsia="zh-CN" w:bidi="ar"/>
              </w:rPr>
              <w:t>0.62</w:t>
            </w:r>
            <w:r>
              <w:rPr>
                <w:rFonts w:hint="default" w:ascii="Times New Roman" w:hAnsi="Times New Roman" w:eastAsia="宋体" w:cs="Times New Roman"/>
                <w:color w:val="auto"/>
                <w:kern w:val="0"/>
                <w:sz w:val="24"/>
                <w:szCs w:val="24"/>
                <w:lang w:val="en-US" w:eastAsia="zh-CN" w:bidi="ar"/>
              </w:rPr>
              <w:t>t/a。皮带设置密闭式通廊，料仓顶部设置洒水喷头，针对倒料采取喷雾控尘，可有效降低无组织粉尘排放量（粉尘控制效率达70%），则各料仓受料过程及皮带输送过程粉尘排放量为</w:t>
            </w:r>
            <w:r>
              <w:rPr>
                <w:rFonts w:hint="eastAsia" w:ascii="Times New Roman" w:hAnsi="Times New Roman" w:eastAsia="宋体" w:cs="Times New Roman"/>
                <w:color w:val="auto"/>
                <w:kern w:val="0"/>
                <w:sz w:val="24"/>
                <w:szCs w:val="24"/>
                <w:lang w:val="en-US" w:eastAsia="zh-CN" w:bidi="ar"/>
              </w:rPr>
              <w:t>0.19</w:t>
            </w:r>
            <w:r>
              <w:rPr>
                <w:rFonts w:hint="default" w:ascii="Times New Roman" w:hAnsi="Times New Roman" w:eastAsia="宋体" w:cs="Times New Roman"/>
                <w:color w:val="auto"/>
                <w:kern w:val="0"/>
                <w:sz w:val="24"/>
                <w:szCs w:val="24"/>
                <w:lang w:val="en-US" w:eastAsia="zh-CN" w:bidi="ar"/>
              </w:rPr>
              <w:t>t/a。</w:t>
            </w:r>
          </w:p>
          <w:p w14:paraId="42A91B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kern w:val="2"/>
                <w:sz w:val="24"/>
                <w:szCs w:val="24"/>
                <w:highlight w:val="none"/>
                <w:lang w:val="en-US" w:eastAsia="zh-CN" w:bidi="ar-SA"/>
              </w:rPr>
            </w:pPr>
            <w:r>
              <w:rPr>
                <w:rFonts w:hint="eastAsia" w:cs="Times New Roman"/>
                <w:color w:val="auto"/>
                <w:kern w:val="0"/>
                <w:sz w:val="24"/>
                <w:szCs w:val="24"/>
                <w:lang w:val="en-US" w:eastAsia="zh-CN" w:bidi="ar"/>
              </w:rPr>
              <w:t>（4）</w:t>
            </w:r>
            <w:r>
              <w:rPr>
                <w:rFonts w:hint="eastAsia" w:ascii="Times New Roman" w:hAnsi="Times New Roman" w:cs="Times New Roman"/>
                <w:color w:val="auto"/>
                <w:kern w:val="2"/>
                <w:sz w:val="24"/>
                <w:szCs w:val="24"/>
                <w:highlight w:val="none"/>
                <w:lang w:val="en-US" w:eastAsia="zh-CN" w:bidi="ar-SA"/>
              </w:rPr>
              <w:t>上料、破碎、筛分工序逸散粉尘</w:t>
            </w:r>
          </w:p>
          <w:p w14:paraId="2B649D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hAnsi="Times New Roman" w:eastAsia="宋体" w:cs="Times New Roman"/>
                <w:color w:val="auto"/>
                <w:sz w:val="24"/>
                <w:szCs w:val="24"/>
                <w:lang w:val="en-US" w:eastAsia="zh-CN"/>
              </w:rPr>
              <w:t>原有项目</w:t>
            </w:r>
            <w:r>
              <w:rPr>
                <w:rFonts w:hint="default" w:ascii="Times New Roman" w:hAnsi="Times New Roman" w:eastAsia="宋体" w:cs="Times New Roman"/>
                <w:color w:val="auto"/>
                <w:sz w:val="24"/>
                <w:szCs w:val="24"/>
                <w:lang w:val="en-US" w:eastAsia="zh-CN"/>
              </w:rPr>
              <w:t>在</w:t>
            </w:r>
            <w:r>
              <w:rPr>
                <w:rFonts w:hint="eastAsia" w:ascii="Times New Roman" w:hAnsi="Times New Roman" w:cs="Times New Roman"/>
                <w:color w:val="auto"/>
                <w:sz w:val="24"/>
                <w:szCs w:val="24"/>
                <w:lang w:val="en-US" w:eastAsia="zh-CN"/>
              </w:rPr>
              <w:t>上料、破碎、筛分</w:t>
            </w:r>
            <w:r>
              <w:rPr>
                <w:rFonts w:hint="default" w:ascii="Times New Roman" w:hAnsi="Times New Roman" w:eastAsia="宋体" w:cs="Times New Roman"/>
                <w:color w:val="auto"/>
                <w:sz w:val="24"/>
                <w:szCs w:val="24"/>
                <w:lang w:val="en-US" w:eastAsia="zh-CN"/>
              </w:rPr>
              <w:t>过程中产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生的颗粒物</w:t>
            </w:r>
            <w:r>
              <w:rPr>
                <w:rFonts w:hint="eastAsia" w:ascii="Times New Roman" w:hAnsi="Times New Roman" w:cs="Times New Roman"/>
                <w:color w:val="000000" w:themeColor="text1"/>
                <w:sz w:val="24"/>
                <w:szCs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量为</w:t>
            </w:r>
            <w:r>
              <w:rPr>
                <w:rFonts w:hint="eastAsia" w:cs="Times New Roman"/>
                <w:color w:val="000000" w:themeColor="text1"/>
                <w:sz w:val="24"/>
                <w:szCs w:val="24"/>
                <w:lang w:val="en-US" w:eastAsia="zh-CN"/>
                <w14:textFill>
                  <w14:solidFill>
                    <w14:schemeClr w14:val="tx1"/>
                  </w14:solidFill>
                </w14:textFill>
              </w:rPr>
              <w:t>283.4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上料口、破碎机、筛分机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上方安装集气罩收集</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粉尘，收集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后</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的粉尘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经</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多管湿式除尘器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处理后通过排气筒排放，</w:t>
            </w:r>
            <w:r>
              <w:rPr>
                <w:rFonts w:hint="default" w:ascii="Times New Roman" w:hAnsi="Times New Roman" w:cs="Times New Roman"/>
                <w:color w:val="auto"/>
                <w:sz w:val="24"/>
                <w:highlight w:val="none"/>
                <w:lang w:val="en-US" w:eastAsia="zh-CN"/>
              </w:rPr>
              <w:t>根据类比同类工程项目，集气罩捕集效率</w:t>
            </w:r>
            <w:r>
              <w:rPr>
                <w:rFonts w:hint="default" w:ascii="Times New Roman" w:hAnsi="Times New Roman" w:cs="Times New Roman"/>
                <w:bCs/>
                <w:color w:val="auto"/>
                <w:sz w:val="24"/>
                <w:szCs w:val="24"/>
                <w:highlight w:val="none"/>
                <w:lang w:val="en-US" w:eastAsia="zh-CN"/>
              </w:rPr>
              <w:t>以85%计，</w:t>
            </w:r>
            <w:r>
              <w:rPr>
                <w:rFonts w:hint="default" w:ascii="Times New Roman" w:hAnsi="Times New Roman" w:cs="Times New Roman"/>
                <w:color w:val="auto"/>
                <w:sz w:val="24"/>
                <w:szCs w:val="24"/>
                <w:highlight w:val="none"/>
                <w:lang w:val="en-US" w:eastAsia="zh-CN"/>
              </w:rPr>
              <w:t>其中15%以无组织的形式排放</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则项目在上料、破碎、筛分工序逸散粉尘为</w:t>
            </w:r>
            <w:r>
              <w:rPr>
                <w:rFonts w:hint="eastAsia" w:cs="Times New Roman"/>
                <w:color w:val="000000" w:themeColor="text1"/>
                <w:kern w:val="0"/>
                <w:sz w:val="24"/>
                <w:szCs w:val="24"/>
                <w:lang w:val="en-US" w:eastAsia="zh-CN" w:bidi="ar"/>
                <w14:textFill>
                  <w14:solidFill>
                    <w14:schemeClr w14:val="tx1"/>
                  </w14:solidFill>
                </w14:textFill>
              </w:rPr>
              <w:t>42.51</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t/a，</w:t>
            </w:r>
            <w:r>
              <w:rPr>
                <w:rFonts w:hint="eastAsia" w:cs="Times New Roman"/>
                <w:color w:val="auto"/>
                <w:kern w:val="0"/>
                <w:sz w:val="24"/>
                <w:highlight w:val="none"/>
                <w:lang w:val="en-US" w:eastAsia="zh-CN"/>
              </w:rPr>
              <w:t>原有项目</w:t>
            </w:r>
            <w:r>
              <w:rPr>
                <w:rFonts w:hint="default" w:ascii="Times New Roman" w:hAnsi="Times New Roman" w:cs="Times New Roman"/>
                <w:color w:val="auto"/>
                <w:kern w:val="0"/>
                <w:sz w:val="24"/>
                <w:highlight w:val="none"/>
                <w:lang w:val="en-US" w:eastAsia="zh-CN"/>
              </w:rPr>
              <w:t>针对</w:t>
            </w:r>
            <w:r>
              <w:rPr>
                <w:rFonts w:hint="default" w:ascii="Times New Roman" w:hAnsi="Times New Roman" w:cs="Times New Roman"/>
                <w:color w:val="auto"/>
                <w:sz w:val="24"/>
                <w:highlight w:val="none"/>
                <w:lang w:val="en-US" w:eastAsia="zh-CN"/>
              </w:rPr>
              <w:t>每个破碎、筛分</w:t>
            </w:r>
            <w:r>
              <w:rPr>
                <w:rFonts w:hint="default" w:ascii="Times New Roman" w:hAnsi="Times New Roman" w:cs="Times New Roman"/>
                <w:color w:val="auto"/>
                <w:kern w:val="0"/>
                <w:sz w:val="24"/>
                <w:highlight w:val="none"/>
                <w:lang w:val="en-US" w:eastAsia="zh-CN"/>
              </w:rPr>
              <w:t>设备采用彩钢瓦进行密闭，</w:t>
            </w:r>
            <w:r>
              <w:rPr>
                <w:rFonts w:hint="default" w:ascii="Times New Roman" w:hAnsi="Times New Roman" w:cs="Times New Roman"/>
                <w:color w:val="auto"/>
                <w:sz w:val="24"/>
                <w:highlight w:val="none"/>
                <w:lang w:val="en-US" w:eastAsia="zh-CN"/>
              </w:rPr>
              <w:t>粉尘排放量可削减50%</w:t>
            </w:r>
            <w:r>
              <w:rPr>
                <w:rFonts w:hint="default" w:ascii="Times New Roman" w:hAnsi="Times New Roman" w:cs="Times New Roman"/>
                <w:color w:val="auto"/>
                <w:sz w:val="24"/>
                <w:szCs w:val="24"/>
                <w:highlight w:val="none"/>
                <w:lang w:val="en-US" w:eastAsia="zh-CN"/>
              </w:rPr>
              <w:t>，同时对破碎、筛分设备产尘点洒水控尘，</w:t>
            </w:r>
            <w:r>
              <w:rPr>
                <w:rFonts w:hint="default" w:ascii="Times New Roman" w:hAnsi="Times New Roman" w:cs="Times New Roman"/>
                <w:color w:val="auto"/>
                <w:kern w:val="0"/>
                <w:sz w:val="24"/>
                <w:highlight w:val="none"/>
                <w:lang w:val="en-US" w:eastAsia="zh-CN"/>
              </w:rPr>
              <w:t>可有效降低70%的粉尘，则粉尘综合去除效率为85%，则</w:t>
            </w:r>
            <w:r>
              <w:rPr>
                <w:rFonts w:hint="eastAsia" w:ascii="Times New Roman" w:hAnsi="Times New Roman" w:cs="Times New Roman"/>
                <w:color w:val="auto"/>
                <w:kern w:val="0"/>
                <w:sz w:val="24"/>
                <w:highlight w:val="none"/>
                <w:lang w:val="en-US" w:eastAsia="zh-CN"/>
              </w:rPr>
              <w:t>上料、</w:t>
            </w:r>
            <w:r>
              <w:rPr>
                <w:rFonts w:hint="default" w:ascii="Times New Roman" w:hAnsi="Times New Roman" w:cs="Times New Roman"/>
                <w:color w:val="auto"/>
                <w:sz w:val="24"/>
                <w:highlight w:val="none"/>
                <w:lang w:val="en-US" w:eastAsia="zh-CN"/>
              </w:rPr>
              <w:t>破碎、筛分无组织粉尘排放量为</w:t>
            </w:r>
            <w:r>
              <w:rPr>
                <w:rFonts w:hint="eastAsia" w:ascii="Times New Roman" w:hAnsi="Times New Roman" w:cs="Times New Roman"/>
                <w:color w:val="auto"/>
                <w:sz w:val="24"/>
                <w:highlight w:val="none"/>
                <w:lang w:val="en-US" w:eastAsia="zh-CN"/>
              </w:rPr>
              <w:t>6.37</w:t>
            </w:r>
            <w:r>
              <w:rPr>
                <w:rFonts w:hint="default" w:ascii="Times New Roman" w:hAnsi="Times New Roman" w:cs="Times New Roman"/>
                <w:color w:val="auto"/>
                <w:sz w:val="24"/>
                <w:highlight w:val="none"/>
                <w:lang w:val="en-US" w:eastAsia="zh-CN"/>
              </w:rPr>
              <w:t>t/a。</w:t>
            </w:r>
          </w:p>
          <w:p w14:paraId="1FF80EB8">
            <w:pPr>
              <w:keepNext w:val="0"/>
              <w:keepLines w:val="0"/>
              <w:pageBreakBefore w:val="0"/>
              <w:widowControl w:val="0"/>
              <w:tabs>
                <w:tab w:val="left" w:pos="4083"/>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车辆运输扬尘</w:t>
            </w:r>
          </w:p>
          <w:p w14:paraId="5C6BF063">
            <w:pPr>
              <w:keepNext w:val="0"/>
              <w:keepLines w:val="0"/>
              <w:pageBreakBefore w:val="0"/>
              <w:widowControl w:val="0"/>
              <w:tabs>
                <w:tab w:val="left" w:pos="4083"/>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原有项目除铜冶炼渣以外的原辅料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均为</w:t>
            </w:r>
            <w:r>
              <w:rPr>
                <w:rFonts w:hint="default" w:ascii="Times New Roman" w:hAnsi="Times New Roman" w:cs="Times New Roman"/>
                <w:color w:val="auto"/>
                <w:sz w:val="24"/>
                <w:highlight w:val="none"/>
              </w:rPr>
              <w:t>外购，</w:t>
            </w:r>
            <w:r>
              <w:rPr>
                <w:rFonts w:hint="default" w:ascii="Times New Roman" w:hAnsi="Times New Roman" w:eastAsia="宋体" w:cs="Times New Roman"/>
                <w:color w:val="auto"/>
                <w:sz w:val="24"/>
                <w:highlight w:val="none"/>
                <w:lang w:val="en-US" w:eastAsia="zh-CN"/>
              </w:rPr>
              <w:t>铁精矿</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尾矿通过汽车运输外售</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车辆在进厂道路和场内运输道路行驶时会产生一定的道路扬尘，粉尘量主要受运输量以及运输距离的影响，在项目区内运输产生的道路扬尘公式如下：</w:t>
            </w:r>
          </w:p>
          <w:p w14:paraId="550531C6">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0" o:spt="75" type="#_x0000_t75" style="height:73.45pt;width:191.55pt;" o:ole="t" filled="f" stroked="f" coordsize="21600,21600">
                  <v:path/>
                  <v:fill on="f" alignshape="1" focussize="0,0"/>
                  <v:stroke on="f"/>
                  <v:imagedata r:id="rId18" o:title=""/>
                  <o:lock v:ext="edit" aspectratio="t"/>
                  <w10:wrap type="none"/>
                  <w10:anchorlock/>
                </v:shape>
                <o:OLEObject Type="Embed" ProgID="Equation.3" ShapeID="_x0000_i1030" DrawAspect="Content" ObjectID="_1468075730" r:id="rId17">
                  <o:LockedField>false</o:LockedField>
                </o:OLEObject>
              </w:object>
            </w:r>
          </w:p>
          <w:p w14:paraId="0E926D68">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—道路扬尘量，（kg/km·辆）；</w:t>
            </w:r>
          </w:p>
          <w:p w14:paraId="09FB199E">
            <w:pPr>
              <w:spacing w:line="360" w:lineRule="auto"/>
              <w:ind w:left="708" w:leftChars="337"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—总扬尘量，（kg/a）；</w:t>
            </w:r>
          </w:p>
          <w:p w14:paraId="6B150B1B">
            <w:pPr>
              <w:spacing w:line="360" w:lineRule="auto"/>
              <w:ind w:left="708" w:leftChars="337"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V—车辆速度，5km/h；</w:t>
            </w:r>
          </w:p>
          <w:p w14:paraId="396F810D">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M—车辆载重，</w:t>
            </w:r>
            <w:r>
              <w:rPr>
                <w:rFonts w:hint="eastAsia" w:cs="Times New Roman"/>
                <w:color w:val="auto"/>
                <w:sz w:val="24"/>
                <w:highlight w:val="none"/>
                <w:lang w:val="en-US" w:eastAsia="zh-CN"/>
              </w:rPr>
              <w:t>50</w:t>
            </w:r>
            <w:r>
              <w:rPr>
                <w:rFonts w:hint="default" w:ascii="Times New Roman" w:hAnsi="Times New Roman" w:cs="Times New Roman"/>
                <w:color w:val="auto"/>
                <w:sz w:val="24"/>
                <w:highlight w:val="none"/>
              </w:rPr>
              <w:t>t/辆；</w:t>
            </w:r>
          </w:p>
          <w:p w14:paraId="5ED92BB9">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P—路面灰尘覆盖率，0.2kg/m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14:paraId="0589DB7E">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L—运距，</w:t>
            </w:r>
            <w:r>
              <w:rPr>
                <w:rFonts w:hint="eastAsia"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km（</w:t>
            </w:r>
            <w:r>
              <w:rPr>
                <w:rFonts w:hint="default" w:ascii="Times New Roman" w:hAnsi="Times New Roman" w:cs="Times New Roman"/>
                <w:color w:val="auto"/>
                <w:sz w:val="24"/>
                <w:szCs w:val="32"/>
                <w:highlight w:val="none"/>
                <w:lang w:val="en-US" w:eastAsia="zh-CN"/>
              </w:rPr>
              <w:t>项目区内道路运输场地</w:t>
            </w:r>
            <w:r>
              <w:rPr>
                <w:rFonts w:hint="default" w:ascii="Times New Roman" w:hAnsi="Times New Roman" w:cs="Times New Roman"/>
                <w:color w:val="auto"/>
                <w:sz w:val="24"/>
                <w:highlight w:val="none"/>
              </w:rPr>
              <w:t>）；</w:t>
            </w:r>
          </w:p>
          <w:p w14:paraId="3A15246B">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Q—运输量，</w:t>
            </w:r>
            <w:r>
              <w:rPr>
                <w:rFonts w:hint="eastAsia" w:cs="Times New Roman"/>
                <w:color w:val="auto"/>
                <w:sz w:val="24"/>
                <w:highlight w:val="none"/>
                <w:lang w:val="en-US" w:eastAsia="zh-CN"/>
              </w:rPr>
              <w:t>20.3</w:t>
            </w:r>
            <w:r>
              <w:rPr>
                <w:rFonts w:hint="eastAsia" w:ascii="Times New Roman" w:hAnsi="Times New Roman" w:cs="Times New Roman"/>
                <w:color w:val="auto"/>
                <w:sz w:val="24"/>
                <w:highlight w:val="none"/>
                <w:lang w:val="en-US" w:eastAsia="zh-CN"/>
              </w:rPr>
              <w:t>万</w:t>
            </w:r>
            <w:r>
              <w:rPr>
                <w:rFonts w:hint="default" w:ascii="Times New Roman" w:hAnsi="Times New Roman" w:cs="Times New Roman"/>
                <w:color w:val="auto"/>
                <w:sz w:val="24"/>
                <w:highlight w:val="none"/>
              </w:rPr>
              <w:t>t/a（原料运输及产品运输量）。</w:t>
            </w:r>
          </w:p>
          <w:p w14:paraId="489CD7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经计算，运输扬尘产生量为</w:t>
            </w:r>
            <w:r>
              <w:rPr>
                <w:rFonts w:hint="eastAsia" w:cs="Times New Roman"/>
                <w:color w:val="auto"/>
                <w:sz w:val="24"/>
                <w:highlight w:val="none"/>
                <w:lang w:val="en-US" w:eastAsia="zh-CN"/>
              </w:rPr>
              <w:t>4200</w:t>
            </w:r>
            <w:r>
              <w:rPr>
                <w:rFonts w:hint="default" w:ascii="Times New Roman" w:hAnsi="Times New Roman" w:cs="Times New Roman"/>
                <w:color w:val="auto"/>
                <w:sz w:val="24"/>
                <w:highlight w:val="none"/>
              </w:rPr>
              <w:t>kg/a，</w:t>
            </w:r>
            <w:r>
              <w:rPr>
                <w:rFonts w:hint="eastAsia" w:cs="Times New Roman"/>
                <w:color w:val="auto"/>
                <w:sz w:val="24"/>
                <w:highlight w:val="none"/>
                <w:lang w:val="en-US" w:eastAsia="zh-CN"/>
              </w:rPr>
              <w:t>4.2</w:t>
            </w:r>
            <w:r>
              <w:rPr>
                <w:rFonts w:hint="default" w:ascii="Times New Roman" w:hAnsi="Times New Roman" w:cs="Times New Roman"/>
                <w:color w:val="auto"/>
                <w:sz w:val="24"/>
                <w:highlight w:val="none"/>
              </w:rPr>
              <w:t>t/a，项目区配套设置</w:t>
            </w:r>
            <w:r>
              <w:rPr>
                <w:rFonts w:hint="default" w:ascii="Times New Roman" w:hAnsi="Times New Roman" w:cs="Times New Roman"/>
                <w:color w:val="auto"/>
                <w:sz w:val="24"/>
                <w:highlight w:val="none"/>
                <w:lang w:val="en-US" w:eastAsia="zh-CN"/>
              </w:rPr>
              <w:t>车辆冲洗区及</w:t>
            </w:r>
            <w:r>
              <w:rPr>
                <w:rFonts w:hint="default" w:ascii="Times New Roman" w:hAnsi="Times New Roman" w:cs="Times New Roman"/>
                <w:color w:val="auto"/>
                <w:sz w:val="24"/>
                <w:highlight w:val="none"/>
              </w:rPr>
              <w:t>一个</w:t>
            </w:r>
            <w:r>
              <w:rPr>
                <w:rFonts w:hint="default" w:ascii="Times New Roman" w:hAnsi="Times New Roman" w:cs="Times New Roman"/>
                <w:bCs/>
                <w:color w:val="auto"/>
                <w:sz w:val="24"/>
                <w:highlight w:val="none"/>
              </w:rPr>
              <w:t>洗车废水沉淀池</w:t>
            </w:r>
            <w:r>
              <w:rPr>
                <w:rFonts w:hint="default" w:ascii="Times New Roman" w:hAnsi="Times New Roman" w:cs="Times New Roman"/>
                <w:color w:val="auto"/>
                <w:sz w:val="24"/>
                <w:highlight w:val="none"/>
              </w:rPr>
              <w:t>，车辆</w:t>
            </w:r>
            <w:r>
              <w:rPr>
                <w:rFonts w:hint="default" w:ascii="Times New Roman" w:hAnsi="Times New Roman" w:cs="Times New Roman"/>
                <w:color w:val="auto"/>
                <w:kern w:val="0"/>
                <w:sz w:val="24"/>
                <w:highlight w:val="none"/>
              </w:rPr>
              <w:t>运输扬尘可通过</w:t>
            </w:r>
            <w:r>
              <w:rPr>
                <w:rFonts w:hint="default" w:ascii="Times New Roman" w:hAnsi="Times New Roman" w:cs="Times New Roman"/>
                <w:color w:val="auto"/>
                <w:kern w:val="0"/>
                <w:sz w:val="24"/>
                <w:highlight w:val="none"/>
                <w:lang w:val="en-US" w:eastAsia="zh-CN"/>
              </w:rPr>
              <w:t>厂区道路硬化、</w:t>
            </w:r>
            <w:r>
              <w:rPr>
                <w:rFonts w:hint="default" w:ascii="Times New Roman" w:hAnsi="Times New Roman" w:cs="Times New Roman"/>
                <w:color w:val="auto"/>
                <w:kern w:val="0"/>
                <w:sz w:val="24"/>
                <w:highlight w:val="none"/>
              </w:rPr>
              <w:t>加强路面养护</w:t>
            </w:r>
            <w:r>
              <w:rPr>
                <w:rFonts w:hint="default" w:ascii="Times New Roman" w:hAnsi="Times New Roman" w:cs="Times New Roman"/>
                <w:color w:val="auto"/>
                <w:sz w:val="24"/>
                <w:highlight w:val="none"/>
              </w:rPr>
              <w:t>及运输道路洒水控尘</w:t>
            </w:r>
            <w:r>
              <w:rPr>
                <w:rFonts w:hint="default" w:ascii="Times New Roman" w:hAnsi="Times New Roman" w:cs="Times New Roman"/>
                <w:color w:val="auto"/>
                <w:kern w:val="0"/>
                <w:sz w:val="24"/>
                <w:highlight w:val="none"/>
              </w:rPr>
              <w:t>、对出场车辆轮胎进行清洗及做好运输车辆车厢采用篷布措施来得到控制，</w:t>
            </w:r>
            <w:r>
              <w:rPr>
                <w:rFonts w:hint="default" w:ascii="Times New Roman" w:hAnsi="Times New Roman" w:cs="Times New Roman"/>
                <w:color w:val="auto"/>
                <w:sz w:val="24"/>
                <w:highlight w:val="none"/>
              </w:rPr>
              <w:t>抑尘效率70%，</w:t>
            </w:r>
            <w:r>
              <w:rPr>
                <w:rFonts w:hint="default" w:ascii="Times New Roman" w:hAnsi="Times New Roman" w:cs="Times New Roman"/>
                <w:color w:val="auto"/>
                <w:kern w:val="0"/>
                <w:sz w:val="24"/>
                <w:highlight w:val="none"/>
              </w:rPr>
              <w:t>最终粉尘排放量为</w:t>
            </w:r>
            <w:r>
              <w:rPr>
                <w:rFonts w:hint="eastAsia" w:cs="Times New Roman"/>
                <w:color w:val="auto"/>
                <w:kern w:val="0"/>
                <w:sz w:val="24"/>
                <w:highlight w:val="none"/>
                <w:lang w:val="en-US" w:eastAsia="zh-CN"/>
              </w:rPr>
              <w:t>1.26</w:t>
            </w:r>
            <w:r>
              <w:rPr>
                <w:rFonts w:hint="default" w:ascii="Times New Roman" w:hAnsi="Times New Roman" w:cs="Times New Roman"/>
                <w:color w:val="auto"/>
                <w:sz w:val="24"/>
                <w:highlight w:val="none"/>
              </w:rPr>
              <w:t>t/a。</w:t>
            </w:r>
          </w:p>
          <w:p w14:paraId="5CE6D6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因此，</w:t>
            </w:r>
            <w:r>
              <w:rPr>
                <w:rFonts w:hint="eastAsia" w:cs="Times New Roman"/>
                <w:color w:val="auto"/>
                <w:sz w:val="24"/>
                <w:highlight w:val="none"/>
                <w:lang w:val="en-US" w:eastAsia="zh-CN"/>
              </w:rPr>
              <w:t>原有项目</w:t>
            </w:r>
            <w:r>
              <w:rPr>
                <w:rFonts w:hint="eastAsia" w:ascii="Times New Roman" w:hAnsi="Times New Roman" w:cs="Times New Roman"/>
                <w:color w:val="auto"/>
                <w:sz w:val="24"/>
                <w:highlight w:val="none"/>
                <w:lang w:val="en-US" w:eastAsia="zh-CN"/>
              </w:rPr>
              <w:t>无组织粉尘排放量为</w:t>
            </w:r>
            <w:r>
              <w:rPr>
                <w:rFonts w:hint="eastAsia" w:cs="Times New Roman"/>
                <w:color w:val="auto"/>
                <w:sz w:val="24"/>
                <w:highlight w:val="none"/>
                <w:lang w:val="en-US" w:eastAsia="zh-CN"/>
              </w:rPr>
              <w:t>8.16</w:t>
            </w:r>
            <w:r>
              <w:rPr>
                <w:rFonts w:hint="default" w:ascii="Times New Roman" w:hAnsi="Times New Roman" w:cs="Times New Roman"/>
                <w:color w:val="auto"/>
                <w:sz w:val="24"/>
                <w:highlight w:val="none"/>
              </w:rPr>
              <w:t>t/a</w:t>
            </w:r>
            <w:r>
              <w:rPr>
                <w:rFonts w:hint="eastAsia" w:ascii="Times New Roman" w:hAnsi="Times New Roman" w:cs="Times New Roman"/>
                <w:color w:val="auto"/>
                <w:sz w:val="24"/>
                <w:highlight w:val="none"/>
                <w:lang w:eastAsia="zh-CN"/>
              </w:rPr>
              <w:t>。</w:t>
            </w:r>
          </w:p>
          <w:p w14:paraId="5183D41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废水</w:t>
            </w:r>
          </w:p>
          <w:p w14:paraId="0FD9E1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现有项目废水主要为生产废水、铜冶炼渣堆场降雨淋滤水和生产区初期雨水等。</w:t>
            </w:r>
          </w:p>
          <w:p w14:paraId="4FD6BA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（1）生产废水</w:t>
            </w:r>
          </w:p>
          <w:p w14:paraId="1429CD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1）精矿、尾矿渣脱水产生的废水</w:t>
            </w:r>
          </w:p>
          <w:p w14:paraId="246A5D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项目磨矿工段和浮选工段用水总量为3670m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/d，其中工艺回水量为3310m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/d。尾水主要污染物为SS、重金属。项目生产废水经过不断的循环使用，项目精矿浓缩溢流水和尾矿渣浓缩溢流水经废水回用系统收集进入回水池、经沉淀后回用于磨矿工段和浮选工段，不外排。</w:t>
            </w:r>
          </w:p>
          <w:p w14:paraId="2268FB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2）车间地面冲洗水</w:t>
            </w:r>
          </w:p>
          <w:p w14:paraId="5F510B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球磨、浮选等生产车间有地坪冲洗水产生，清洗实际生产过程中跑、冒、滴、漏的物料。车间清洁用水量为3.3m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/次，废水产生量约为2.9m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/d，车间场地冲洗水通过截污沟收集到回水池沉淀后回用于磨矿工段和浮选工段，不外排。</w:t>
            </w:r>
          </w:p>
          <w:p w14:paraId="4AF9E9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3）磨机、渣浆泵冷却用水</w:t>
            </w:r>
          </w:p>
          <w:p w14:paraId="7D97F0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磨机和渣浆泵冷却用水量为120m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/d，损失水量为114m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/d，为保持循环水水质、定期需排放、平均每天外排清下水6m³/d，排入回水池，回用于磨矿工段和浮选工段，不外排。</w:t>
            </w:r>
          </w:p>
          <w:p w14:paraId="2F13AD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4）除尘废水</w:t>
            </w:r>
          </w:p>
          <w:p w14:paraId="4E0EE9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原有项目投料、破碎和筛分除尘采用多管冲击式除尘器，为湿式除尘，项目3台除尘器，除尘器用水量为9.7m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/d，产生的废水约为8.3m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/d，废水经除尘器下方管道收集至回水池，不外排。损失水由新鲜水补充，补充量约为1.4m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/d。废水排出后进入回水池，经沉淀后回用于磨矿工段和浮选工段，不外排。</w:t>
            </w:r>
          </w:p>
          <w:p w14:paraId="06965D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5）缓冷场冷却废水</w:t>
            </w:r>
          </w:p>
          <w:p w14:paraId="7E2AC5A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易门铜业冶炼渣以轨道运输方式运至缓冷场，进行自然缓冷，缓冷废水量约为3630m³/d，收集至缓冷循环水池，循环使用，不外排。</w:t>
            </w:r>
          </w:p>
          <w:p w14:paraId="4ED7E969">
            <w:pPr>
              <w:pStyle w:val="48"/>
              <w:keepNext w:val="0"/>
              <w:keepLines w:val="0"/>
              <w:pageBreakBefore w:val="0"/>
              <w:widowControl w:val="0"/>
              <w:kinsoku/>
              <w:wordWrap/>
              <w:overflowPunct/>
              <w:topLinePunct w:val="0"/>
              <w:autoSpaceDE/>
              <w:autoSpaceDN/>
              <w:bidi w:val="0"/>
              <w:adjustRightInd/>
              <w:snapToGrid/>
              <w:spacing w:line="360" w:lineRule="auto"/>
              <w:ind w:right="0" w:firstLine="468" w:firstLineChars="200"/>
              <w:textAlignment w:val="auto"/>
              <w:rPr>
                <w:rFonts w:hint="eastAsia" w:ascii="Times New Roman" w:hAnsi="Times New Roman" w:eastAsia="Times New Roman" w:cs="Times New Roman"/>
                <w:spacing w:val="-3"/>
                <w:lang w:val="en-US" w:eastAsia="zh-CN"/>
              </w:rPr>
            </w:pPr>
            <w:r>
              <w:rPr>
                <w:rFonts w:hint="eastAsia" w:ascii="Times New Roman" w:hAnsi="Times New Roman" w:eastAsia="Times New Roman" w:cs="Times New Roman"/>
                <w:spacing w:val="-3"/>
                <w:lang w:val="en-US" w:eastAsia="zh-CN"/>
              </w:rPr>
              <w:t>（2）初期雨水</w:t>
            </w:r>
          </w:p>
          <w:p w14:paraId="64B20AB9">
            <w:pPr>
              <w:pStyle w:val="48"/>
              <w:keepNext w:val="0"/>
              <w:keepLines w:val="0"/>
              <w:pageBreakBefore w:val="0"/>
              <w:widowControl w:val="0"/>
              <w:kinsoku/>
              <w:wordWrap/>
              <w:overflowPunct/>
              <w:topLinePunct w:val="0"/>
              <w:autoSpaceDE/>
              <w:autoSpaceDN/>
              <w:bidi w:val="0"/>
              <w:adjustRightInd/>
              <w:snapToGrid/>
              <w:spacing w:line="360" w:lineRule="auto"/>
              <w:ind w:right="0" w:firstLine="468" w:firstLineChars="200"/>
              <w:textAlignment w:val="auto"/>
              <w:rPr>
                <w:rFonts w:hint="eastAsia" w:ascii="Times New Roman" w:hAnsi="Times New Roman" w:eastAsia="Times New Roman" w:cs="Times New Roman"/>
                <w:spacing w:val="-3"/>
                <w:lang w:val="en-US" w:eastAsia="zh-CN"/>
              </w:rPr>
            </w:pPr>
            <w:r>
              <w:rPr>
                <w:rFonts w:hint="eastAsia" w:ascii="Times New Roman" w:hAnsi="Times New Roman" w:eastAsia="Times New Roman" w:cs="Times New Roman"/>
                <w:spacing w:val="-3"/>
                <w:lang w:val="en-US" w:eastAsia="zh-CN"/>
              </w:rPr>
              <w:t>渣选厂初期雨水依托厂区已建初期雨水收集池，收集处理后回用于生产，不外排。</w:t>
            </w:r>
          </w:p>
          <w:p w14:paraId="5A2B9AC2">
            <w:pPr>
              <w:pStyle w:val="48"/>
              <w:keepNext w:val="0"/>
              <w:keepLines w:val="0"/>
              <w:pageBreakBefore w:val="0"/>
              <w:widowControl w:val="0"/>
              <w:kinsoku/>
              <w:wordWrap/>
              <w:overflowPunct/>
              <w:topLinePunct w:val="0"/>
              <w:autoSpaceDE/>
              <w:autoSpaceDN/>
              <w:bidi w:val="0"/>
              <w:adjustRightInd/>
              <w:snapToGrid/>
              <w:spacing w:line="360" w:lineRule="auto"/>
              <w:ind w:right="0" w:firstLine="468" w:firstLineChars="200"/>
              <w:textAlignment w:val="auto"/>
              <w:rPr>
                <w:rFonts w:hint="eastAsia" w:ascii="Times New Roman" w:hAnsi="Times New Roman" w:eastAsia="Times New Roman" w:cs="Times New Roman"/>
                <w:spacing w:val="-3"/>
                <w:lang w:val="en-US" w:eastAsia="zh-CN"/>
              </w:rPr>
            </w:pPr>
            <w:r>
              <w:rPr>
                <w:rFonts w:hint="eastAsia" w:ascii="Times New Roman" w:hAnsi="Times New Roman" w:eastAsia="Times New Roman" w:cs="Times New Roman"/>
                <w:spacing w:val="-3"/>
                <w:lang w:val="en-US" w:eastAsia="zh-CN"/>
              </w:rPr>
              <w:t>（3）生活污水</w:t>
            </w:r>
          </w:p>
          <w:p w14:paraId="347D270D">
            <w:pPr>
              <w:pStyle w:val="48"/>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现有渣选厂共设置劳动定员54人，</w:t>
            </w:r>
            <w:r>
              <w:rPr>
                <w:rFonts w:hint="default" w:ascii="Times New Roman" w:hAnsi="Times New Roman" w:cs="Times New Roman" w:eastAsiaTheme="minorEastAsia"/>
                <w:color w:val="auto"/>
                <w:sz w:val="24"/>
                <w:szCs w:val="24"/>
                <w:highlight w:val="none"/>
              </w:rPr>
              <w:t>用水量按</w:t>
            </w:r>
            <w:r>
              <w:rPr>
                <w:rFonts w:hint="eastAsia" w:ascii="Times New Roman" w:hAnsi="Times New Roman" w:cs="Times New Roman" w:eastAsiaTheme="minorEastAsia"/>
                <w:color w:val="auto"/>
                <w:sz w:val="24"/>
                <w:szCs w:val="24"/>
                <w:highlight w:val="none"/>
                <w:lang w:val="en-US" w:eastAsia="zh-CN"/>
              </w:rPr>
              <w:t>120</w:t>
            </w:r>
            <w:r>
              <w:rPr>
                <w:rFonts w:hint="default" w:ascii="Times New Roman" w:hAnsi="Times New Roman" w:cs="Times New Roman" w:eastAsiaTheme="minorEastAsia"/>
                <w:color w:val="auto"/>
                <w:sz w:val="24"/>
                <w:szCs w:val="24"/>
                <w:highlight w:val="none"/>
              </w:rPr>
              <w:t>/人·d计算</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eastAsia="宋体" w:cs="Times New Roman"/>
                <w:color w:val="000000"/>
                <w:kern w:val="0"/>
                <w:sz w:val="24"/>
                <w:szCs w:val="24"/>
                <w:lang w:val="en-US" w:eastAsia="zh-CN" w:bidi="ar"/>
              </w:rPr>
              <w:t>用水量约为6.48m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w:t>
            </w:r>
            <w:r>
              <w:rPr>
                <w:rFonts w:hint="eastAsia" w:ascii="Times New Roman" w:hAnsi="Times New Roman" w:cs="Times New Roman"/>
                <w:color w:val="auto"/>
                <w:sz w:val="24"/>
                <w:szCs w:val="24"/>
                <w:highlight w:val="none"/>
                <w:lang w:val="en-US" w:eastAsia="zh-CN"/>
              </w:rPr>
              <w:t>2138.4</w:t>
            </w:r>
            <w:r>
              <w:rPr>
                <w:rFonts w:hint="default" w:ascii="Times New Roman" w:hAnsi="Times New Roman" w:cs="Times New Roman" w:eastAsiaTheme="minorEastAsia"/>
                <w:color w:val="auto"/>
                <w:sz w:val="24"/>
                <w:szCs w:val="24"/>
                <w:highlight w:val="none"/>
              </w:rPr>
              <w:t>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/a</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废水产生量按80%计，产生量为</w:t>
            </w:r>
            <w:r>
              <w:rPr>
                <w:rFonts w:hint="eastAsia" w:ascii="Times New Roman" w:hAnsi="Times New Roman" w:cs="Times New Roman"/>
                <w:color w:val="auto"/>
                <w:sz w:val="24"/>
                <w:szCs w:val="24"/>
                <w:highlight w:val="none"/>
                <w:lang w:val="en-US" w:eastAsia="zh-CN"/>
              </w:rPr>
              <w:t>5.184</w:t>
            </w:r>
            <w:r>
              <w:rPr>
                <w:rFonts w:hint="default" w:ascii="Times New Roman" w:hAnsi="Times New Roman" w:cs="Times New Roman" w:eastAsiaTheme="minorEastAsia"/>
                <w:color w:val="auto"/>
                <w:sz w:val="24"/>
                <w:szCs w:val="24"/>
                <w:highlight w:val="none"/>
              </w:rPr>
              <w:t>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/d，</w:t>
            </w:r>
            <w:r>
              <w:rPr>
                <w:rFonts w:hint="eastAsia" w:ascii="Times New Roman" w:hAnsi="Times New Roman" w:cs="Times New Roman"/>
                <w:color w:val="auto"/>
                <w:sz w:val="24"/>
                <w:szCs w:val="24"/>
                <w:highlight w:val="none"/>
                <w:lang w:val="en-US" w:eastAsia="zh-CN"/>
              </w:rPr>
              <w:t>1710.72</w:t>
            </w:r>
            <w:r>
              <w:rPr>
                <w:rFonts w:hint="default" w:ascii="Times New Roman" w:hAnsi="Times New Roman" w:cs="Times New Roman" w:eastAsiaTheme="minorEastAsia"/>
                <w:color w:val="auto"/>
                <w:sz w:val="24"/>
                <w:szCs w:val="24"/>
                <w:highlight w:val="none"/>
              </w:rPr>
              <w:t>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/a</w:t>
            </w:r>
            <w:r>
              <w:rPr>
                <w:rFonts w:hint="eastAsia" w:ascii="Times New Roman" w:hAnsi="Times New Roman" w:eastAsia="宋体" w:cs="Times New Roman"/>
                <w:color w:val="000000"/>
                <w:kern w:val="0"/>
                <w:sz w:val="24"/>
                <w:szCs w:val="24"/>
                <w:lang w:val="en-US" w:eastAsia="zh-CN" w:bidi="ar"/>
              </w:rPr>
              <w:t>，依托厂区已建生活污水处理站处理达标后回用于厂区绿化浇洒，不外排。</w:t>
            </w:r>
          </w:p>
          <w:p w14:paraId="0C2FF3D0">
            <w:pPr>
              <w:pStyle w:val="48"/>
              <w:keepNext w:val="0"/>
              <w:keepLines w:val="0"/>
              <w:pageBreakBefore w:val="0"/>
              <w:widowControl w:val="0"/>
              <w:kinsoku/>
              <w:wordWrap/>
              <w:overflowPunct/>
              <w:topLinePunct w:val="0"/>
              <w:autoSpaceDE/>
              <w:autoSpaceDN/>
              <w:bidi w:val="0"/>
              <w:adjustRightInd/>
              <w:snapToGrid/>
              <w:spacing w:line="360" w:lineRule="auto"/>
              <w:ind w:right="0" w:firstLine="468" w:firstLineChars="200"/>
              <w:textAlignment w:val="auto"/>
              <w:rPr>
                <w:rFonts w:hint="eastAsia" w:ascii="Times New Roman" w:hAnsi="Times New Roman" w:eastAsia="Times New Roman" w:cs="Times New Roman"/>
                <w:b/>
                <w:bCs/>
                <w:spacing w:val="-3"/>
                <w:lang w:val="en-US" w:eastAsia="zh-CN"/>
              </w:rPr>
            </w:pPr>
            <w:r>
              <w:rPr>
                <w:rFonts w:hint="eastAsia" w:ascii="Times New Roman" w:hAnsi="Times New Roman" w:eastAsia="Times New Roman" w:cs="Times New Roman"/>
                <w:b/>
                <w:bCs/>
                <w:spacing w:val="-3"/>
                <w:lang w:val="en-US" w:eastAsia="zh-CN"/>
              </w:rPr>
              <w:t>3、厂界噪声</w:t>
            </w:r>
          </w:p>
          <w:p w14:paraId="29F6975F">
            <w:pPr>
              <w:pStyle w:val="48"/>
              <w:keepNext w:val="0"/>
              <w:keepLines w:val="0"/>
              <w:pageBreakBefore w:val="0"/>
              <w:widowControl w:val="0"/>
              <w:kinsoku/>
              <w:wordWrap/>
              <w:overflowPunct/>
              <w:topLinePunct w:val="0"/>
              <w:autoSpaceDE/>
              <w:autoSpaceDN/>
              <w:bidi w:val="0"/>
              <w:adjustRightInd/>
              <w:snapToGrid/>
              <w:spacing w:line="360" w:lineRule="auto"/>
              <w:ind w:right="0" w:firstLine="468" w:firstLineChars="200"/>
              <w:textAlignment w:val="auto"/>
              <w:rPr>
                <w:rFonts w:hint="default" w:ascii="Times New Roman" w:hAnsi="Times New Roman" w:eastAsia="Times New Roman" w:cs="Times New Roman"/>
                <w:spacing w:val="-3"/>
                <w:lang w:val="en-US" w:eastAsia="zh-CN"/>
              </w:rPr>
            </w:pPr>
            <w:r>
              <w:rPr>
                <w:rFonts w:hint="default" w:ascii="Times New Roman" w:hAnsi="Times New Roman" w:eastAsia="Times New Roman" w:cs="Times New Roman"/>
                <w:spacing w:val="-3"/>
                <w:lang w:val="en-US" w:eastAsia="zh-CN"/>
              </w:rPr>
              <w:t>厂噪声根据易门铜业有限公司2025年第四季度和2026年第一季度噪声自行监测结果，监测结果见下表。</w:t>
            </w:r>
          </w:p>
          <w:p w14:paraId="50241379">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sz w:val="21"/>
                <w:szCs w:val="21"/>
              </w:rPr>
            </w:pPr>
            <w:r>
              <w:rPr>
                <w:rFonts w:hint="eastAsia" w:ascii="黑体" w:hAnsi="黑体" w:eastAsia="黑体" w:cs="黑体"/>
                <w:b w:val="0"/>
                <w:bCs w:val="0"/>
                <w:spacing w:val="-2"/>
                <w:sz w:val="21"/>
                <w:szCs w:val="21"/>
              </w:rPr>
              <w:t>表2-1</w:t>
            </w:r>
            <w:r>
              <w:rPr>
                <w:rFonts w:hint="eastAsia" w:ascii="黑体" w:hAnsi="黑体" w:eastAsia="黑体" w:cs="黑体"/>
                <w:b w:val="0"/>
                <w:bCs w:val="0"/>
                <w:spacing w:val="-2"/>
                <w:sz w:val="21"/>
                <w:szCs w:val="21"/>
                <w:lang w:val="en-US" w:eastAsia="zh-CN"/>
              </w:rPr>
              <w:t>7</w:t>
            </w:r>
            <w:r>
              <w:rPr>
                <w:rFonts w:hint="eastAsia" w:ascii="黑体" w:hAnsi="黑体" w:eastAsia="黑体" w:cs="黑体"/>
                <w:b w:val="0"/>
                <w:bCs w:val="0"/>
                <w:spacing w:val="-2"/>
                <w:sz w:val="21"/>
                <w:szCs w:val="21"/>
              </w:rPr>
              <w:t xml:space="preserve">        噪声监测结果与评价</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305"/>
              <w:gridCol w:w="1306"/>
              <w:gridCol w:w="1306"/>
              <w:gridCol w:w="1306"/>
              <w:gridCol w:w="1306"/>
            </w:tblGrid>
            <w:tr w14:paraId="31D9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Borders>
                    <w:left w:val="nil"/>
                  </w:tcBorders>
                  <w:vAlign w:val="center"/>
                </w:tcPr>
                <w:p w14:paraId="5D8F444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时间</w:t>
                  </w:r>
                </w:p>
              </w:tc>
              <w:tc>
                <w:tcPr>
                  <w:tcW w:w="833" w:type="pct"/>
                  <w:vAlign w:val="center"/>
                </w:tcPr>
                <w:p w14:paraId="7C0AD26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检测点位</w:t>
                  </w:r>
                </w:p>
              </w:tc>
              <w:tc>
                <w:tcPr>
                  <w:tcW w:w="833" w:type="pct"/>
                  <w:vAlign w:val="center"/>
                </w:tcPr>
                <w:p w14:paraId="0F4D642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时间</w:t>
                  </w:r>
                </w:p>
              </w:tc>
              <w:tc>
                <w:tcPr>
                  <w:tcW w:w="833" w:type="pct"/>
                  <w:vAlign w:val="center"/>
                </w:tcPr>
                <w:p w14:paraId="3B8AA14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噪声值Leq</w:t>
                  </w:r>
                </w:p>
              </w:tc>
              <w:tc>
                <w:tcPr>
                  <w:tcW w:w="833" w:type="pct"/>
                  <w:vAlign w:val="center"/>
                </w:tcPr>
                <w:p w14:paraId="054BE8D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标准</w:t>
                  </w:r>
                </w:p>
              </w:tc>
              <w:tc>
                <w:tcPr>
                  <w:tcW w:w="833" w:type="pct"/>
                  <w:tcBorders>
                    <w:right w:val="nil"/>
                  </w:tcBorders>
                  <w:vAlign w:val="center"/>
                </w:tcPr>
                <w:p w14:paraId="5011D40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达标情况</w:t>
                  </w:r>
                </w:p>
              </w:tc>
            </w:tr>
            <w:tr w14:paraId="6EDA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33" w:type="pct"/>
                  <w:vMerge w:val="restart"/>
                  <w:tcBorders>
                    <w:left w:val="nil"/>
                  </w:tcBorders>
                  <w:vAlign w:val="center"/>
                </w:tcPr>
                <w:p w14:paraId="18E7632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2025年</w:t>
                  </w:r>
                  <w:r>
                    <w:rPr>
                      <w:rFonts w:hint="eastAsia" w:ascii="Times New Roman" w:hAnsi="Times New Roman" w:eastAsia="宋体" w:cs="Times New Roman"/>
                      <w:color w:val="auto"/>
                      <w:kern w:val="0"/>
                      <w:sz w:val="18"/>
                      <w:szCs w:val="18"/>
                      <w:highlight w:val="none"/>
                      <w:lang w:val="en-US" w:eastAsia="zh-CN"/>
                    </w:rPr>
                    <w:t>第</w:t>
                  </w:r>
                  <w:r>
                    <w:rPr>
                      <w:rFonts w:hint="eastAsia" w:cs="Times New Roman"/>
                      <w:color w:val="auto"/>
                      <w:kern w:val="0"/>
                      <w:sz w:val="18"/>
                      <w:szCs w:val="18"/>
                      <w:highlight w:val="none"/>
                      <w:lang w:val="en-US" w:eastAsia="zh-CN"/>
                    </w:rPr>
                    <w:t>四</w:t>
                  </w:r>
                  <w:r>
                    <w:rPr>
                      <w:rFonts w:hint="eastAsia" w:ascii="Times New Roman" w:hAnsi="Times New Roman" w:eastAsia="宋体" w:cs="Times New Roman"/>
                      <w:color w:val="auto"/>
                      <w:kern w:val="0"/>
                      <w:sz w:val="18"/>
                      <w:szCs w:val="18"/>
                      <w:highlight w:val="none"/>
                      <w:lang w:val="en-US" w:eastAsia="zh-CN"/>
                    </w:rPr>
                    <w:t>季度</w:t>
                  </w:r>
                </w:p>
              </w:tc>
              <w:tc>
                <w:tcPr>
                  <w:tcW w:w="833" w:type="pct"/>
                  <w:vMerge w:val="restart"/>
                  <w:vAlign w:val="center"/>
                </w:tcPr>
                <w:p w14:paraId="01106FE6">
                  <w:pPr>
                    <w:keepNext w:val="0"/>
                    <w:keepLines w:val="0"/>
                    <w:widowControl/>
                    <w:suppressLineNumbers w:val="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厂界东侧</w:t>
                  </w:r>
                </w:p>
              </w:tc>
              <w:tc>
                <w:tcPr>
                  <w:tcW w:w="833" w:type="pct"/>
                  <w:vAlign w:val="center"/>
                </w:tcPr>
                <w:p w14:paraId="4CBFE39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w:t>
                  </w:r>
                </w:p>
              </w:tc>
              <w:tc>
                <w:tcPr>
                  <w:tcW w:w="833" w:type="pct"/>
                  <w:vAlign w:val="center"/>
                </w:tcPr>
                <w:p w14:paraId="018D92B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w:t>
                  </w:r>
                </w:p>
              </w:tc>
              <w:tc>
                <w:tcPr>
                  <w:tcW w:w="833" w:type="pct"/>
                  <w:vAlign w:val="center"/>
                </w:tcPr>
                <w:p w14:paraId="691BC03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833" w:type="pct"/>
                  <w:tcBorders>
                    <w:right w:val="nil"/>
                  </w:tcBorders>
                  <w:vAlign w:val="center"/>
                </w:tcPr>
                <w:p w14:paraId="242112A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B77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1822489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continue"/>
                  <w:vAlign w:val="center"/>
                </w:tcPr>
                <w:p w14:paraId="74DBC24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Align w:val="center"/>
                </w:tcPr>
                <w:p w14:paraId="65940A8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833" w:type="pct"/>
                  <w:vAlign w:val="center"/>
                </w:tcPr>
                <w:p w14:paraId="664B5AE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49</w:t>
                  </w:r>
                </w:p>
              </w:tc>
              <w:tc>
                <w:tcPr>
                  <w:tcW w:w="833" w:type="pct"/>
                  <w:vAlign w:val="center"/>
                </w:tcPr>
                <w:p w14:paraId="7B4274A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833" w:type="pct"/>
                  <w:tcBorders>
                    <w:right w:val="nil"/>
                  </w:tcBorders>
                  <w:vAlign w:val="center"/>
                </w:tcPr>
                <w:p w14:paraId="32C81E7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4D5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3D24B65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restart"/>
                  <w:vAlign w:val="center"/>
                </w:tcPr>
                <w:p w14:paraId="5DE3CD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厂界南侧</w:t>
                  </w:r>
                </w:p>
              </w:tc>
              <w:tc>
                <w:tcPr>
                  <w:tcW w:w="833" w:type="pct"/>
                  <w:vAlign w:val="center"/>
                </w:tcPr>
                <w:p w14:paraId="0AFE56D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w:t>
                  </w:r>
                </w:p>
              </w:tc>
              <w:tc>
                <w:tcPr>
                  <w:tcW w:w="833" w:type="pct"/>
                  <w:vAlign w:val="center"/>
                </w:tcPr>
                <w:p w14:paraId="04ABBB6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56</w:t>
                  </w:r>
                </w:p>
              </w:tc>
              <w:tc>
                <w:tcPr>
                  <w:tcW w:w="833" w:type="pct"/>
                  <w:vAlign w:val="center"/>
                </w:tcPr>
                <w:p w14:paraId="39E25C2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833" w:type="pct"/>
                  <w:tcBorders>
                    <w:right w:val="nil"/>
                  </w:tcBorders>
                  <w:vAlign w:val="center"/>
                </w:tcPr>
                <w:p w14:paraId="005DADE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D35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72AF682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continue"/>
                  <w:vAlign w:val="center"/>
                </w:tcPr>
                <w:p w14:paraId="15099F7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Align w:val="center"/>
                </w:tcPr>
                <w:p w14:paraId="7B3E864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833" w:type="pct"/>
                  <w:vAlign w:val="center"/>
                </w:tcPr>
                <w:p w14:paraId="121618BC">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50</w:t>
                  </w:r>
                </w:p>
              </w:tc>
              <w:tc>
                <w:tcPr>
                  <w:tcW w:w="833" w:type="pct"/>
                  <w:vAlign w:val="center"/>
                </w:tcPr>
                <w:p w14:paraId="213D65E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833" w:type="pct"/>
                  <w:tcBorders>
                    <w:right w:val="nil"/>
                  </w:tcBorders>
                  <w:vAlign w:val="center"/>
                </w:tcPr>
                <w:p w14:paraId="583AA61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414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3ECAE9A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restart"/>
                  <w:vAlign w:val="center"/>
                </w:tcPr>
                <w:p w14:paraId="203345E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厂界西侧</w:t>
                  </w:r>
                </w:p>
              </w:tc>
              <w:tc>
                <w:tcPr>
                  <w:tcW w:w="833" w:type="pct"/>
                  <w:vAlign w:val="center"/>
                </w:tcPr>
                <w:p w14:paraId="461320E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w:t>
                  </w:r>
                </w:p>
              </w:tc>
              <w:tc>
                <w:tcPr>
                  <w:tcW w:w="833" w:type="pct"/>
                  <w:vAlign w:val="center"/>
                </w:tcPr>
                <w:p w14:paraId="5B61E55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58</w:t>
                  </w:r>
                </w:p>
              </w:tc>
              <w:tc>
                <w:tcPr>
                  <w:tcW w:w="833" w:type="pct"/>
                  <w:vAlign w:val="center"/>
                </w:tcPr>
                <w:p w14:paraId="69AC63E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833" w:type="pct"/>
                  <w:tcBorders>
                    <w:right w:val="nil"/>
                  </w:tcBorders>
                  <w:vAlign w:val="center"/>
                </w:tcPr>
                <w:p w14:paraId="7F6B011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CEE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44FBFF1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continue"/>
                  <w:vAlign w:val="center"/>
                </w:tcPr>
                <w:p w14:paraId="60AA68B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Align w:val="center"/>
                </w:tcPr>
                <w:p w14:paraId="181F90C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833" w:type="pct"/>
                  <w:vAlign w:val="center"/>
                </w:tcPr>
                <w:p w14:paraId="4B1C3EB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49</w:t>
                  </w:r>
                </w:p>
              </w:tc>
              <w:tc>
                <w:tcPr>
                  <w:tcW w:w="833" w:type="pct"/>
                  <w:vAlign w:val="center"/>
                </w:tcPr>
                <w:p w14:paraId="7E9C030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833" w:type="pct"/>
                  <w:tcBorders>
                    <w:right w:val="nil"/>
                  </w:tcBorders>
                  <w:vAlign w:val="center"/>
                </w:tcPr>
                <w:p w14:paraId="25EA43D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14D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3DD0B83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restart"/>
                  <w:vAlign w:val="center"/>
                </w:tcPr>
                <w:p w14:paraId="6626A72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厂界北侧</w:t>
                  </w:r>
                </w:p>
              </w:tc>
              <w:tc>
                <w:tcPr>
                  <w:tcW w:w="833" w:type="pct"/>
                  <w:vAlign w:val="center"/>
                </w:tcPr>
                <w:p w14:paraId="092849D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w:t>
                  </w:r>
                </w:p>
              </w:tc>
              <w:tc>
                <w:tcPr>
                  <w:tcW w:w="833" w:type="pct"/>
                  <w:vAlign w:val="center"/>
                </w:tcPr>
                <w:p w14:paraId="136366F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w:t>
                  </w:r>
                </w:p>
              </w:tc>
              <w:tc>
                <w:tcPr>
                  <w:tcW w:w="833" w:type="pct"/>
                  <w:vAlign w:val="center"/>
                </w:tcPr>
                <w:p w14:paraId="3FB745A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833" w:type="pct"/>
                  <w:tcBorders>
                    <w:right w:val="nil"/>
                  </w:tcBorders>
                  <w:vAlign w:val="center"/>
                </w:tcPr>
                <w:p w14:paraId="5E213E4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5B28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24B8A40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continue"/>
                  <w:vAlign w:val="center"/>
                </w:tcPr>
                <w:p w14:paraId="6EA72BF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Align w:val="center"/>
                </w:tcPr>
                <w:p w14:paraId="0EA2512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833" w:type="pct"/>
                  <w:vAlign w:val="center"/>
                </w:tcPr>
                <w:p w14:paraId="28ABD1F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49</w:t>
                  </w:r>
                </w:p>
              </w:tc>
              <w:tc>
                <w:tcPr>
                  <w:tcW w:w="833" w:type="pct"/>
                  <w:vAlign w:val="center"/>
                </w:tcPr>
                <w:p w14:paraId="2573973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833" w:type="pct"/>
                  <w:tcBorders>
                    <w:right w:val="nil"/>
                  </w:tcBorders>
                  <w:vAlign w:val="center"/>
                </w:tcPr>
                <w:p w14:paraId="3D94038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2A8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left w:val="nil"/>
                  </w:tcBorders>
                  <w:vAlign w:val="center"/>
                </w:tcPr>
                <w:p w14:paraId="7AFE0F8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2026年第一季度</w:t>
                  </w:r>
                </w:p>
              </w:tc>
              <w:tc>
                <w:tcPr>
                  <w:tcW w:w="833" w:type="pct"/>
                  <w:vMerge w:val="restart"/>
                  <w:vAlign w:val="center"/>
                </w:tcPr>
                <w:p w14:paraId="055E54E5">
                  <w:pPr>
                    <w:keepNext w:val="0"/>
                    <w:keepLines w:val="0"/>
                    <w:widowControl/>
                    <w:suppressLineNumbers w:val="0"/>
                    <w:jc w:val="center"/>
                    <w:rPr>
                      <w:rFonts w:hint="eastAsia" w:ascii="Times New Roman" w:hAnsi="Times New Roman" w:eastAsia="宋体" w:cs="Times New Roman"/>
                      <w:color w:val="000000"/>
                      <w:kern w:val="0"/>
                      <w:sz w:val="18"/>
                      <w:szCs w:val="18"/>
                      <w:lang w:val="en-US" w:eastAsia="zh-CN" w:bidi="ar"/>
                    </w:rPr>
                  </w:pPr>
                  <w:r>
                    <w:rPr>
                      <w:rFonts w:hint="eastAsia" w:cs="Times New Roman"/>
                      <w:color w:val="auto"/>
                      <w:kern w:val="0"/>
                      <w:sz w:val="18"/>
                      <w:szCs w:val="18"/>
                      <w:highlight w:val="none"/>
                      <w:lang w:val="en-US" w:eastAsia="zh-CN"/>
                    </w:rPr>
                    <w:t>厂界东侧</w:t>
                  </w:r>
                </w:p>
              </w:tc>
              <w:tc>
                <w:tcPr>
                  <w:tcW w:w="833" w:type="pct"/>
                  <w:vAlign w:val="center"/>
                </w:tcPr>
                <w:p w14:paraId="3BB2438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w:t>
                  </w:r>
                </w:p>
              </w:tc>
              <w:tc>
                <w:tcPr>
                  <w:tcW w:w="833" w:type="pct"/>
                  <w:vAlign w:val="center"/>
                </w:tcPr>
                <w:p w14:paraId="5AECE18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57</w:t>
                  </w:r>
                </w:p>
              </w:tc>
              <w:tc>
                <w:tcPr>
                  <w:tcW w:w="833" w:type="pct"/>
                  <w:vAlign w:val="center"/>
                </w:tcPr>
                <w:p w14:paraId="4C68200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833" w:type="pct"/>
                  <w:tcBorders>
                    <w:right w:val="nil"/>
                  </w:tcBorders>
                  <w:vAlign w:val="center"/>
                </w:tcPr>
                <w:p w14:paraId="09BE990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0195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6292511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continue"/>
                  <w:vAlign w:val="center"/>
                </w:tcPr>
                <w:p w14:paraId="7404221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Align w:val="center"/>
                </w:tcPr>
                <w:p w14:paraId="6C9002B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833" w:type="pct"/>
                  <w:vAlign w:val="center"/>
                </w:tcPr>
                <w:p w14:paraId="163B545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46</w:t>
                  </w:r>
                </w:p>
              </w:tc>
              <w:tc>
                <w:tcPr>
                  <w:tcW w:w="833" w:type="pct"/>
                  <w:vAlign w:val="center"/>
                </w:tcPr>
                <w:p w14:paraId="6B0FA71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833" w:type="pct"/>
                  <w:tcBorders>
                    <w:right w:val="nil"/>
                  </w:tcBorders>
                  <w:vAlign w:val="center"/>
                </w:tcPr>
                <w:p w14:paraId="75EE657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7094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6A8EE34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restart"/>
                  <w:vAlign w:val="center"/>
                </w:tcPr>
                <w:p w14:paraId="342DA83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厂界南侧</w:t>
                  </w:r>
                </w:p>
              </w:tc>
              <w:tc>
                <w:tcPr>
                  <w:tcW w:w="833" w:type="pct"/>
                  <w:vAlign w:val="center"/>
                </w:tcPr>
                <w:p w14:paraId="76A6C3D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w:t>
                  </w:r>
                </w:p>
              </w:tc>
              <w:tc>
                <w:tcPr>
                  <w:tcW w:w="833" w:type="pct"/>
                  <w:vAlign w:val="center"/>
                </w:tcPr>
                <w:p w14:paraId="7570C51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w:t>
                  </w:r>
                </w:p>
              </w:tc>
              <w:tc>
                <w:tcPr>
                  <w:tcW w:w="833" w:type="pct"/>
                  <w:vAlign w:val="center"/>
                </w:tcPr>
                <w:p w14:paraId="28B348E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833" w:type="pct"/>
                  <w:tcBorders>
                    <w:right w:val="nil"/>
                  </w:tcBorders>
                  <w:vAlign w:val="center"/>
                </w:tcPr>
                <w:p w14:paraId="7B9F047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2763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660B801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continue"/>
                  <w:vAlign w:val="center"/>
                </w:tcPr>
                <w:p w14:paraId="0D50FC5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Align w:val="center"/>
                </w:tcPr>
                <w:p w14:paraId="0D986A2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833" w:type="pct"/>
                  <w:vAlign w:val="center"/>
                </w:tcPr>
                <w:p w14:paraId="7677A0E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46</w:t>
                  </w:r>
                </w:p>
              </w:tc>
              <w:tc>
                <w:tcPr>
                  <w:tcW w:w="833" w:type="pct"/>
                  <w:vAlign w:val="center"/>
                </w:tcPr>
                <w:p w14:paraId="7BEF5DF8">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833" w:type="pct"/>
                  <w:tcBorders>
                    <w:right w:val="nil"/>
                  </w:tcBorders>
                  <w:vAlign w:val="center"/>
                </w:tcPr>
                <w:p w14:paraId="4B0F318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C10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2445B28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restart"/>
                  <w:vAlign w:val="center"/>
                </w:tcPr>
                <w:p w14:paraId="7684E75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厂界西侧</w:t>
                  </w:r>
                </w:p>
              </w:tc>
              <w:tc>
                <w:tcPr>
                  <w:tcW w:w="833" w:type="pct"/>
                  <w:vAlign w:val="center"/>
                </w:tcPr>
                <w:p w14:paraId="4285C54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w:t>
                  </w:r>
                </w:p>
              </w:tc>
              <w:tc>
                <w:tcPr>
                  <w:tcW w:w="833" w:type="pct"/>
                  <w:vAlign w:val="center"/>
                </w:tcPr>
                <w:p w14:paraId="531B60E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54</w:t>
                  </w:r>
                </w:p>
              </w:tc>
              <w:tc>
                <w:tcPr>
                  <w:tcW w:w="833" w:type="pct"/>
                  <w:vAlign w:val="center"/>
                </w:tcPr>
                <w:p w14:paraId="5452F04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833" w:type="pct"/>
                  <w:tcBorders>
                    <w:right w:val="nil"/>
                  </w:tcBorders>
                  <w:vAlign w:val="center"/>
                </w:tcPr>
                <w:p w14:paraId="6014B85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470E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4DA1C66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continue"/>
                  <w:vAlign w:val="center"/>
                </w:tcPr>
                <w:p w14:paraId="4DBA7A8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Align w:val="center"/>
                </w:tcPr>
                <w:p w14:paraId="110DDCF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833" w:type="pct"/>
                  <w:vAlign w:val="center"/>
                </w:tcPr>
                <w:p w14:paraId="4FCE0F57">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47</w:t>
                  </w:r>
                </w:p>
              </w:tc>
              <w:tc>
                <w:tcPr>
                  <w:tcW w:w="833" w:type="pct"/>
                  <w:vAlign w:val="center"/>
                </w:tcPr>
                <w:p w14:paraId="54F8210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833" w:type="pct"/>
                  <w:tcBorders>
                    <w:right w:val="nil"/>
                  </w:tcBorders>
                  <w:vAlign w:val="center"/>
                </w:tcPr>
                <w:p w14:paraId="1EE2ED7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3D55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5561ADEB">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restart"/>
                  <w:vAlign w:val="center"/>
                </w:tcPr>
                <w:p w14:paraId="477050E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000000"/>
                      <w:kern w:val="0"/>
                      <w:sz w:val="18"/>
                      <w:szCs w:val="18"/>
                      <w:lang w:val="en-US" w:eastAsia="zh-CN" w:bidi="ar"/>
                    </w:rPr>
                  </w:pPr>
                  <w:r>
                    <w:rPr>
                      <w:rFonts w:hint="eastAsia" w:cs="Times New Roman"/>
                      <w:color w:val="auto"/>
                      <w:kern w:val="0"/>
                      <w:sz w:val="18"/>
                      <w:szCs w:val="18"/>
                      <w:highlight w:val="none"/>
                      <w:lang w:val="en-US" w:eastAsia="zh-CN"/>
                    </w:rPr>
                    <w:t>厂界北侧</w:t>
                  </w:r>
                </w:p>
              </w:tc>
              <w:tc>
                <w:tcPr>
                  <w:tcW w:w="833" w:type="pct"/>
                  <w:vAlign w:val="center"/>
                </w:tcPr>
                <w:p w14:paraId="4895682D">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w:t>
                  </w:r>
                </w:p>
              </w:tc>
              <w:tc>
                <w:tcPr>
                  <w:tcW w:w="833" w:type="pct"/>
                  <w:vAlign w:val="center"/>
                </w:tcPr>
                <w:p w14:paraId="4E315692">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54</w:t>
                  </w:r>
                </w:p>
              </w:tc>
              <w:tc>
                <w:tcPr>
                  <w:tcW w:w="833" w:type="pct"/>
                  <w:vAlign w:val="center"/>
                </w:tcPr>
                <w:p w14:paraId="7B65D51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833" w:type="pct"/>
                  <w:tcBorders>
                    <w:right w:val="nil"/>
                  </w:tcBorders>
                  <w:vAlign w:val="center"/>
                </w:tcPr>
                <w:p w14:paraId="4741953F">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r w14:paraId="129B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nil"/>
                  </w:tcBorders>
                  <w:vAlign w:val="center"/>
                </w:tcPr>
                <w:p w14:paraId="04A8926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Merge w:val="continue"/>
                  <w:vAlign w:val="center"/>
                </w:tcPr>
                <w:p w14:paraId="1BBFDE8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33" w:type="pct"/>
                  <w:vAlign w:val="center"/>
                </w:tcPr>
                <w:p w14:paraId="2653A1E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夜间</w:t>
                  </w:r>
                </w:p>
              </w:tc>
              <w:tc>
                <w:tcPr>
                  <w:tcW w:w="833" w:type="pct"/>
                  <w:vAlign w:val="center"/>
                </w:tcPr>
                <w:p w14:paraId="6E3FEF2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44</w:t>
                  </w:r>
                </w:p>
              </w:tc>
              <w:tc>
                <w:tcPr>
                  <w:tcW w:w="833" w:type="pct"/>
                  <w:vAlign w:val="center"/>
                </w:tcPr>
                <w:p w14:paraId="555F7773">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833" w:type="pct"/>
                  <w:tcBorders>
                    <w:right w:val="nil"/>
                  </w:tcBorders>
                  <w:vAlign w:val="center"/>
                </w:tcPr>
                <w:p w14:paraId="24E6E0E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达标</w:t>
                  </w:r>
                </w:p>
              </w:tc>
            </w:tr>
          </w:tbl>
          <w:p w14:paraId="71209D17">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pPr>
            <w:r>
              <w:rPr>
                <w:spacing w:val="-2"/>
              </w:rPr>
              <w:t>根据监测结果：监测点</w:t>
            </w:r>
            <w:r>
              <w:t>昼间、夜间噪声监测结果均达到</w:t>
            </w:r>
            <w:r>
              <w:rPr>
                <w:rFonts w:hint="default" w:ascii="Times New Roman" w:hAnsi="Times New Roman" w:eastAsia="宋体" w:cs="Times New Roman"/>
                <w:color w:val="auto"/>
                <w:sz w:val="24"/>
                <w:szCs w:val="24"/>
              </w:rPr>
              <w:t>《工业企业厂界环境噪声排放标准》（GB12348-2008）3类标准</w:t>
            </w:r>
            <w:r>
              <w:rPr>
                <w:spacing w:val="-1"/>
              </w:rPr>
              <w:t>要</w:t>
            </w:r>
            <w:r>
              <w:rPr>
                <w:spacing w:val="-11"/>
              </w:rPr>
              <w:t>求。</w:t>
            </w:r>
          </w:p>
          <w:p w14:paraId="509678D2">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rFonts w:ascii="宋体" w:hAnsi="宋体" w:eastAsia="宋体" w:cs="宋体"/>
                <w:b/>
                <w:bCs/>
                <w:spacing w:val="-2"/>
              </w:rPr>
            </w:pPr>
            <w:r>
              <w:rPr>
                <w:rFonts w:hint="eastAsia" w:ascii="宋体" w:hAnsi="宋体" w:eastAsia="宋体" w:cs="宋体"/>
                <w:b/>
                <w:bCs/>
                <w:spacing w:val="-2"/>
                <w:lang w:val="en-US" w:eastAsia="zh-CN"/>
              </w:rPr>
              <w:t>4、</w:t>
            </w:r>
            <w:r>
              <w:rPr>
                <w:rFonts w:ascii="宋体" w:hAnsi="宋体" w:eastAsia="宋体" w:cs="宋体"/>
                <w:b/>
                <w:bCs/>
                <w:spacing w:val="-2"/>
              </w:rPr>
              <w:t>固体废物</w:t>
            </w:r>
          </w:p>
          <w:p w14:paraId="32BEDBBB">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尾渣</w:t>
            </w:r>
          </w:p>
          <w:p w14:paraId="3DF58010">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原有</w:t>
            </w:r>
            <w:r>
              <w:rPr>
                <w:rFonts w:hint="eastAsia" w:ascii="Times New Roman" w:hAnsi="Times New Roman" w:eastAsia="宋体" w:cs="Times New Roman"/>
                <w:color w:val="auto"/>
                <w:sz w:val="24"/>
                <w:szCs w:val="24"/>
                <w:lang w:val="en-US" w:eastAsia="zh-CN"/>
              </w:rPr>
              <w:t>项目尾渣产生量为195000t/a，</w:t>
            </w:r>
            <w:r>
              <w:rPr>
                <w:rFonts w:hint="default" w:ascii="Times New Roman" w:hAnsi="Times New Roman" w:eastAsia="宋体" w:cs="Times New Roman"/>
                <w:color w:val="auto"/>
                <w:sz w:val="24"/>
                <w:szCs w:val="24"/>
              </w:rPr>
              <w:t>尾渣为一般工业固废</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收集暂存于尾渣仓内</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外售给易门洪斌经贸有限公司、</w:t>
            </w:r>
            <w:r>
              <w:rPr>
                <w:rFonts w:hint="eastAsia" w:ascii="Times New Roman" w:hAnsi="Times New Roman" w:eastAsia="宋体" w:cs="Times New Roman"/>
                <w:color w:val="auto"/>
                <w:sz w:val="24"/>
                <w:szCs w:val="24"/>
                <w:lang w:val="en-US" w:eastAsia="zh-CN"/>
              </w:rPr>
              <w:t>海邦矿业（峨山）有限公司以及</w:t>
            </w:r>
            <w:r>
              <w:rPr>
                <w:rFonts w:hint="default" w:ascii="Times New Roman" w:hAnsi="Times New Roman" w:eastAsia="宋体" w:cs="Times New Roman"/>
                <w:color w:val="auto"/>
                <w:sz w:val="24"/>
                <w:szCs w:val="24"/>
              </w:rPr>
              <w:t>易门六街二台坡渣选有限公司</w:t>
            </w:r>
            <w:r>
              <w:rPr>
                <w:rFonts w:hint="eastAsia" w:ascii="Times New Roman" w:hAnsi="Times New Roman" w:eastAsia="宋体" w:cs="Times New Roman"/>
                <w:color w:val="auto"/>
                <w:sz w:val="24"/>
                <w:szCs w:val="24"/>
                <w:lang w:val="en-US" w:eastAsia="zh-CN"/>
              </w:rPr>
              <w:t>进行综合利用。</w:t>
            </w:r>
          </w:p>
          <w:p w14:paraId="38416F16">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（2）回水池污泥</w:t>
            </w:r>
          </w:p>
          <w:p w14:paraId="147E85E2">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cs="宋体"/>
                <w:spacing w:val="-2"/>
                <w:lang w:eastAsia="zh-CN"/>
              </w:rPr>
            </w:pPr>
            <w:r>
              <w:rPr>
                <w:rFonts w:hint="eastAsia" w:ascii="Times New Roman" w:hAnsi="Times New Roman" w:eastAsia="宋体" w:cs="Times New Roman"/>
                <w:color w:val="auto"/>
                <w:sz w:val="24"/>
                <w:szCs w:val="24"/>
                <w:lang w:val="en-US" w:eastAsia="zh-CN"/>
              </w:rPr>
              <w:t>现有项目回水池污泥产生量约为935t/a，回</w:t>
            </w:r>
            <w:r>
              <w:rPr>
                <w:rFonts w:ascii="宋体" w:hAnsi="宋体" w:eastAsia="宋体" w:cs="宋体"/>
                <w:spacing w:val="-2"/>
              </w:rPr>
              <w:t>水池污泥泵入磨浮工段进行浮选</w:t>
            </w:r>
            <w:r>
              <w:rPr>
                <w:rFonts w:hint="eastAsia" w:cs="宋体"/>
                <w:spacing w:val="-2"/>
                <w:lang w:eastAsia="zh-CN"/>
              </w:rPr>
              <w:t>。</w:t>
            </w:r>
          </w:p>
          <w:p w14:paraId="193B6F8A">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（3）生活垃圾</w:t>
            </w:r>
          </w:p>
          <w:p w14:paraId="01E02381">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现有项目共设置劳动定员54人，日常运行过程中生活垃圾产生量按照0.5kg·人/d计，则生活垃圾产生量为27kg/d、8.91t/a。产生的生活垃圾</w:t>
            </w:r>
            <w:r>
              <w:rPr>
                <w:rFonts w:hint="default" w:ascii="Times New Roman" w:hAnsi="Times New Roman" w:eastAsia="宋体" w:cs="Times New Roman"/>
                <w:color w:val="auto"/>
                <w:sz w:val="24"/>
                <w:szCs w:val="24"/>
                <w:lang w:val="en-US" w:eastAsia="zh-CN"/>
              </w:rPr>
              <w:t>依托易门铜业有限公司设置的生活垃圾收集设施统一收集后定期外运至工业园区生活垃圾集中收集点，由环卫部门集中处理。</w:t>
            </w:r>
          </w:p>
          <w:p w14:paraId="659C2534">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废润滑油</w:t>
            </w:r>
            <w:r>
              <w:rPr>
                <w:rFonts w:hint="eastAsia" w:ascii="Times New Roman" w:hAnsi="Times New Roman" w:eastAsia="宋体" w:cs="Times New Roman"/>
                <w:color w:val="auto"/>
                <w:sz w:val="24"/>
                <w:szCs w:val="24"/>
                <w:lang w:val="en-US" w:eastAsia="zh-CN"/>
              </w:rPr>
              <w:t>、废油桶</w:t>
            </w:r>
            <w:r>
              <w:rPr>
                <w:rFonts w:hint="default" w:ascii="Times New Roman" w:hAnsi="Times New Roman" w:eastAsia="宋体" w:cs="Times New Roman"/>
                <w:color w:val="auto"/>
                <w:sz w:val="24"/>
                <w:szCs w:val="24"/>
                <w:lang w:val="en-US" w:eastAsia="zh-CN"/>
              </w:rPr>
              <w:t>（危险废物）</w:t>
            </w:r>
          </w:p>
          <w:p w14:paraId="13F50434">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设备检修产生的废润滑油，废物类别HW08，废物代码900-214-08，产生量约</w:t>
            </w:r>
            <w:r>
              <w:rPr>
                <w:rFonts w:hint="eastAsia" w:ascii="Times New Roman" w:hAnsi="Times New Roman" w:cs="Times New Roman"/>
                <w:color w:val="auto"/>
                <w:sz w:val="24"/>
                <w:szCs w:val="24"/>
                <w:lang w:val="en-US" w:eastAsia="zh-CN"/>
              </w:rPr>
              <w:t>0.01</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润滑油更换产生的废油桶，废物类别HW08，废物代码900-249-08，产生量约</w:t>
            </w:r>
            <w:r>
              <w:rPr>
                <w:rFonts w:hint="eastAsia" w:ascii="Times New Roman" w:hAnsi="Times New Roman" w:cs="Times New Roman"/>
                <w:color w:val="auto"/>
                <w:sz w:val="24"/>
                <w:szCs w:val="24"/>
                <w:lang w:val="en-US" w:eastAsia="zh-CN"/>
              </w:rPr>
              <w:t>0.03</w:t>
            </w:r>
            <w:r>
              <w:rPr>
                <w:rFonts w:hint="eastAsia"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危险废物依托易门铜业有限公司已建5#危废暂存库进行暂存，然后委托云南广莱再生资源回收有限公司定期进行清运处置。</w:t>
            </w:r>
          </w:p>
          <w:p w14:paraId="0542C318">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jc w:val="both"/>
              <w:textAlignment w:val="auto"/>
              <w:rPr>
                <w:rFonts w:hint="default" w:ascii="Times New Roman" w:hAnsi="Times New Roman" w:eastAsia="宋体" w:cs="Times New Roman"/>
                <w:b/>
                <w:bCs/>
                <w:spacing w:val="-1"/>
                <w:lang w:val="en-US" w:eastAsia="zh-CN"/>
              </w:rPr>
            </w:pPr>
            <w:r>
              <w:rPr>
                <w:rFonts w:hint="eastAsia" w:ascii="Times New Roman" w:hAnsi="Times New Roman" w:cs="Times New Roman"/>
                <w:b/>
                <w:bCs/>
                <w:spacing w:val="-1"/>
                <w:lang w:val="en-US" w:eastAsia="zh-CN"/>
              </w:rPr>
              <w:t>三</w:t>
            </w:r>
            <w:r>
              <w:rPr>
                <w:rFonts w:hint="default" w:ascii="Times New Roman" w:hAnsi="Times New Roman" w:eastAsia="宋体" w:cs="Times New Roman"/>
                <w:b/>
                <w:bCs/>
                <w:spacing w:val="-1"/>
              </w:rPr>
              <w:t>、</w:t>
            </w:r>
            <w:r>
              <w:rPr>
                <w:rFonts w:hint="default" w:ascii="Times New Roman" w:hAnsi="Times New Roman" w:eastAsia="宋体" w:cs="Times New Roman"/>
                <w:b/>
                <w:bCs/>
                <w:spacing w:val="-1"/>
                <w:lang w:val="en-US" w:eastAsia="zh-CN"/>
              </w:rPr>
              <w:t>原有项目存在的环境问题</w:t>
            </w:r>
          </w:p>
          <w:p w14:paraId="1D9A6DBB">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rPr>
            </w:pPr>
            <w:r>
              <w:rPr>
                <w:rFonts w:hint="default" w:ascii="Times New Roman" w:hAnsi="Times New Roman" w:eastAsia="宋体" w:cs="Times New Roman"/>
                <w:spacing w:val="-1"/>
              </w:rPr>
              <w:t>现有项目的建设履行了环境影响审批手续，在建设过程中和投入试生产后，执行了环保</w:t>
            </w:r>
            <w:r>
              <w:rPr>
                <w:rFonts w:hint="eastAsia" w:ascii="Times New Roman" w:hAnsi="Times New Roman" w:eastAsia="宋体" w:cs="Times New Roman"/>
                <w:spacing w:val="-1"/>
                <w:lang w:eastAsia="zh-CN"/>
              </w:rPr>
              <w:t>“</w:t>
            </w:r>
            <w:r>
              <w:rPr>
                <w:rFonts w:hint="eastAsia" w:ascii="Times New Roman" w:hAnsi="Times New Roman" w:eastAsia="宋体" w:cs="Times New Roman"/>
                <w:spacing w:val="-1"/>
                <w:lang w:val="en-US" w:eastAsia="zh-CN"/>
              </w:rPr>
              <w:t>三同时</w:t>
            </w:r>
            <w:r>
              <w:rPr>
                <w:rFonts w:hint="eastAsia" w:ascii="Times New Roman" w:hAnsi="Times New Roman" w:eastAsia="宋体" w:cs="Times New Roman"/>
                <w:spacing w:val="-1"/>
                <w:lang w:eastAsia="zh-CN"/>
              </w:rPr>
              <w:t>”</w:t>
            </w:r>
            <w:r>
              <w:rPr>
                <w:rFonts w:hint="default" w:ascii="Times New Roman" w:hAnsi="Times New Roman" w:eastAsia="宋体" w:cs="Times New Roman"/>
                <w:spacing w:val="-1"/>
              </w:rPr>
              <w:t>的要求，项目各产污节点均按要求配备了相应的环保设施，采取的废气、废水、噪声治理措施，正常情况下可确保达标排放，项目的生活垃圾、工业固废和危险废物均可得到有效处置，处置率为100%。</w:t>
            </w:r>
          </w:p>
          <w:p w14:paraId="28768F14">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rPr>
            </w:pPr>
            <w:r>
              <w:rPr>
                <w:rFonts w:hint="default" w:ascii="Times New Roman" w:hAnsi="Times New Roman" w:eastAsia="宋体" w:cs="Times New Roman"/>
                <w:spacing w:val="-1"/>
              </w:rPr>
              <w:t>后续需要进一步强化操作人员岗位培训，建立规范的废气、废水、废渣处理设施运行值班记录制度。严格按规程运行环保设施并定期维护保养，建立设施运行台帐，确保环保设施长期稳定运行，防止事故排放。</w:t>
            </w:r>
          </w:p>
          <w:p w14:paraId="20AB7B4E">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rPr>
            </w:pPr>
          </w:p>
          <w:p w14:paraId="3E694009">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rPr>
            </w:pPr>
          </w:p>
          <w:p w14:paraId="0F4C4AFC">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rPr>
            </w:pPr>
          </w:p>
          <w:p w14:paraId="4629E284">
            <w:pPr>
              <w:pStyle w:val="48"/>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rPr>
            </w:pPr>
          </w:p>
          <w:p w14:paraId="7EB19276">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0ED37D46">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298E14FA">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279E72E7">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32457C6E">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5E5A26C5">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3843978C">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026FECC8">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0A76C05D">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30771934">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36F69F81">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34ED39F5">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spacing w:val="-3"/>
                <w:lang w:val="en-US" w:eastAsia="zh-CN"/>
              </w:rPr>
            </w:pPr>
          </w:p>
          <w:p w14:paraId="501B91D5">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spacing w:val="-3"/>
                <w:lang w:val="en-US" w:eastAsia="zh-CN"/>
              </w:rPr>
            </w:pPr>
          </w:p>
          <w:p w14:paraId="795B104F">
            <w:pPr>
              <w:pStyle w:val="48"/>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eastAsia="宋体"/>
                <w:spacing w:val="-3"/>
                <w:lang w:val="en-US" w:eastAsia="zh-CN"/>
              </w:rPr>
            </w:pPr>
          </w:p>
        </w:tc>
      </w:tr>
    </w:tbl>
    <w:p w14:paraId="69146CEF">
      <w:pPr>
        <w:pStyle w:val="3"/>
        <w:keepNext/>
        <w:keepLines w:val="0"/>
        <w:pageBreakBefore w:val="0"/>
        <w:widowControl w:val="0"/>
        <w:kinsoku/>
        <w:wordWrap/>
        <w:overflowPunct w:val="0"/>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lang w:val="en-US" w:eastAsia="zh-CN"/>
        </w:rPr>
      </w:pPr>
      <w:bookmarkStart w:id="8" w:name="_Toc15557"/>
      <w:bookmarkStart w:id="9" w:name="_Toc14760"/>
      <w:bookmarkStart w:id="10" w:name="_Toc16311"/>
      <w:r>
        <w:rPr>
          <w:rFonts w:hint="default" w:ascii="Times New Roman" w:hAnsi="Times New Roman" w:eastAsia="宋体" w:cs="Times New Roman"/>
          <w:color w:val="auto"/>
          <w:lang w:val="en-US" w:eastAsia="zh-CN"/>
        </w:rPr>
        <w:t>三、区域环境质量现状、环境保护目标及评价标准</w:t>
      </w:r>
      <w:bookmarkEnd w:id="8"/>
      <w:bookmarkEnd w:id="9"/>
      <w:bookmarkEnd w:id="10"/>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836"/>
      </w:tblGrid>
      <w:tr w14:paraId="2CE7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0" w:type="pct"/>
            <w:tcBorders>
              <w:tl2br w:val="nil"/>
              <w:tr2bl w:val="nil"/>
            </w:tcBorders>
            <w:noWrap w:val="0"/>
            <w:vAlign w:val="center"/>
          </w:tcPr>
          <w:p w14:paraId="69FEEF6A">
            <w:pPr>
              <w:pStyle w:val="38"/>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区域</w:t>
            </w:r>
          </w:p>
          <w:p w14:paraId="7CE63436">
            <w:pPr>
              <w:pStyle w:val="38"/>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w:t>
            </w:r>
          </w:p>
          <w:p w14:paraId="7CA61E5B">
            <w:pPr>
              <w:pStyle w:val="38"/>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质量</w:t>
            </w:r>
          </w:p>
          <w:p w14:paraId="111273CD">
            <w:pPr>
              <w:pStyle w:val="38"/>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现状</w:t>
            </w:r>
          </w:p>
        </w:tc>
        <w:tc>
          <w:tcPr>
            <w:tcW w:w="4599" w:type="pct"/>
            <w:tcBorders>
              <w:tl2br w:val="nil"/>
              <w:tr2bl w:val="nil"/>
            </w:tcBorders>
            <w:noWrap w:val="0"/>
            <w:vAlign w:val="center"/>
          </w:tcPr>
          <w:p w14:paraId="4D5ED539">
            <w:pPr>
              <w:pStyle w:val="37"/>
              <w:keepNext w:val="0"/>
              <w:keepLines w:val="0"/>
              <w:pageBreakBefore w:val="0"/>
              <w:widowControl w:val="0"/>
              <w:kinsoku/>
              <w:wordWrap/>
              <w:overflowPunct/>
              <w:autoSpaceDE/>
              <w:autoSpaceDN/>
              <w:bidi w:val="0"/>
              <w:textAlignment w:val="auto"/>
              <w:rPr>
                <w:rFonts w:hint="default" w:ascii="Times New Roman" w:hAnsi="Times New Roman" w:cs="Times New Roman"/>
                <w:b/>
                <w:bCs/>
                <w:color w:val="auto"/>
              </w:rPr>
            </w:pPr>
            <w:r>
              <w:rPr>
                <w:rFonts w:hint="eastAsia" w:ascii="Times New Roman" w:hAnsi="Times New Roman" w:cs="Times New Roman"/>
                <w:b/>
                <w:bCs/>
                <w:color w:val="auto"/>
                <w:lang w:val="en-US" w:eastAsia="zh-CN"/>
              </w:rPr>
              <w:t>1、</w:t>
            </w:r>
            <w:r>
              <w:rPr>
                <w:rFonts w:hint="default" w:ascii="Times New Roman" w:hAnsi="Times New Roman" w:cs="Times New Roman"/>
                <w:b/>
                <w:bCs/>
                <w:color w:val="auto"/>
              </w:rPr>
              <w:t>环境空气质量</w:t>
            </w:r>
          </w:p>
          <w:p w14:paraId="47E98E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（1）环境空气质量</w:t>
            </w:r>
            <w:r>
              <w:rPr>
                <w:rFonts w:hint="default" w:ascii="Times New Roman" w:hAnsi="Times New Roman" w:eastAsia="宋体" w:cs="Times New Roman"/>
                <w:color w:val="auto"/>
                <w:sz w:val="24"/>
                <w:szCs w:val="24"/>
                <w:highlight w:val="none"/>
                <w:lang w:val="en-US" w:eastAsia="zh-CN"/>
              </w:rPr>
              <w:t>标准</w:t>
            </w:r>
          </w:p>
          <w:p w14:paraId="507E5A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sz w:val="24"/>
                <w:szCs w:val="24"/>
                <w:lang w:val="en-US" w:eastAsia="zh-CN"/>
              </w:rPr>
              <w:t>本项目在云南易门产业园区大椿树片区，</w:t>
            </w:r>
            <w:r>
              <w:rPr>
                <w:rFonts w:hint="default" w:ascii="Times New Roman" w:hAnsi="Times New Roman" w:eastAsia="宋体" w:cs="Times New Roman"/>
                <w:color w:val="auto"/>
                <w:sz w:val="24"/>
                <w:szCs w:val="24"/>
              </w:rPr>
              <w:t>项目所在</w:t>
            </w:r>
            <w:r>
              <w:rPr>
                <w:rFonts w:hint="default" w:ascii="Times New Roman" w:hAnsi="Times New Roman" w:eastAsia="宋体" w:cs="Times New Roman"/>
                <w:color w:val="auto"/>
                <w:sz w:val="24"/>
                <w:szCs w:val="24"/>
                <w:lang w:val="en-US" w:eastAsia="zh-CN"/>
              </w:rPr>
              <w:t>区域为二类区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000000"/>
                <w:kern w:val="0"/>
                <w:sz w:val="24"/>
                <w:szCs w:val="24"/>
                <w:lang w:val="en-US" w:eastAsia="zh-CN" w:bidi="ar"/>
              </w:rPr>
              <w:t>环境空气质量六项基本因子执行《环境空气质量标准》（GB3095-</w:t>
            </w:r>
            <w:r>
              <w:rPr>
                <w:rFonts w:hint="eastAsia" w:cs="Times New Roman"/>
                <w:color w:val="000000"/>
                <w:kern w:val="0"/>
                <w:sz w:val="24"/>
                <w:szCs w:val="24"/>
                <w:lang w:val="en-US" w:eastAsia="zh-CN" w:bidi="ar"/>
              </w:rPr>
              <w:t>2026</w:t>
            </w:r>
            <w:r>
              <w:rPr>
                <w:rFonts w:hint="default" w:ascii="Times New Roman" w:hAnsi="Times New Roman" w:eastAsia="宋体" w:cs="Times New Roman"/>
                <w:color w:val="000000"/>
                <w:kern w:val="0"/>
                <w:sz w:val="24"/>
                <w:szCs w:val="24"/>
                <w:lang w:val="en-US" w:eastAsia="zh-CN" w:bidi="ar"/>
              </w:rPr>
              <w:t>）二级标准</w:t>
            </w:r>
            <w:r>
              <w:rPr>
                <w:rFonts w:hint="eastAsia" w:cs="Times New Roman"/>
                <w:color w:val="000000"/>
                <w:kern w:val="0"/>
                <w:sz w:val="24"/>
                <w:szCs w:val="24"/>
                <w:lang w:val="en-US" w:eastAsia="zh-CN" w:bidi="ar"/>
              </w:rPr>
              <w:t>限值（2026年3月1日起2030年12月31日执行过渡阶段浓度限值，2031年1月1日起执行基本项目浓度限值）</w:t>
            </w:r>
            <w:r>
              <w:rPr>
                <w:rFonts w:hint="default" w:ascii="Times New Roman" w:hAnsi="Times New Roman" w:eastAsia="宋体" w:cs="Times New Roman"/>
                <w:color w:val="auto"/>
                <w:sz w:val="24"/>
                <w:szCs w:val="24"/>
              </w:rPr>
              <w:t>，标准限值如下表所示。</w:t>
            </w:r>
          </w:p>
          <w:p w14:paraId="1643DA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rPr>
              <w:t>表3-1  区域空气质量现状评价表</w:t>
            </w:r>
            <w:r>
              <w:rPr>
                <w:rFonts w:hint="eastAsia" w:ascii="黑体" w:hAnsi="黑体" w:eastAsia="黑体" w:cs="黑体"/>
                <w:b w:val="0"/>
                <w:bCs w:val="0"/>
                <w:color w:val="auto"/>
                <w:sz w:val="21"/>
                <w:szCs w:val="21"/>
                <w:lang w:val="en-US" w:eastAsia="zh-CN"/>
              </w:rPr>
              <w:t xml:space="preserve">   单位：μg/m³</w:t>
            </w:r>
          </w:p>
          <w:tbl>
            <w:tblPr>
              <w:tblStyle w:val="21"/>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3"/>
              <w:gridCol w:w="1509"/>
              <w:gridCol w:w="917"/>
              <w:gridCol w:w="953"/>
              <w:gridCol w:w="723"/>
              <w:gridCol w:w="723"/>
              <w:gridCol w:w="1610"/>
            </w:tblGrid>
            <w:tr w14:paraId="2B0A9BD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pct"/>
                  <w:vMerge w:val="restart"/>
                  <w:tcBorders>
                    <w:tl2br w:val="nil"/>
                    <w:tr2bl w:val="nil"/>
                  </w:tcBorders>
                  <w:vAlign w:val="center"/>
                </w:tcPr>
                <w:p w14:paraId="6E54239C">
                  <w:pPr>
                    <w:pStyle w:val="45"/>
                    <w:bidi w:val="0"/>
                    <w:rPr>
                      <w:rFonts w:hint="default"/>
                      <w:color w:val="auto"/>
                    </w:rPr>
                  </w:pPr>
                  <w:r>
                    <w:rPr>
                      <w:rFonts w:hint="default"/>
                      <w:color w:val="auto"/>
                    </w:rPr>
                    <w:t>污染物</w:t>
                  </w:r>
                </w:p>
              </w:tc>
              <w:tc>
                <w:tcPr>
                  <w:tcW w:w="990" w:type="pct"/>
                  <w:vMerge w:val="restart"/>
                  <w:tcBorders>
                    <w:tl2br w:val="nil"/>
                    <w:tr2bl w:val="nil"/>
                  </w:tcBorders>
                  <w:vAlign w:val="center"/>
                </w:tcPr>
                <w:p w14:paraId="4AF24BB2">
                  <w:pPr>
                    <w:pStyle w:val="45"/>
                    <w:bidi w:val="0"/>
                    <w:rPr>
                      <w:rFonts w:hint="default" w:eastAsia="宋体"/>
                      <w:color w:val="auto"/>
                      <w:lang w:val="en-US" w:eastAsia="zh-CN"/>
                    </w:rPr>
                  </w:pPr>
                  <w:r>
                    <w:rPr>
                      <w:rFonts w:hint="eastAsia"/>
                      <w:color w:val="auto"/>
                      <w:lang w:val="en-US" w:eastAsia="zh-CN"/>
                    </w:rPr>
                    <w:t>平均时间</w:t>
                  </w:r>
                </w:p>
              </w:tc>
              <w:tc>
                <w:tcPr>
                  <w:tcW w:w="1227" w:type="pct"/>
                  <w:gridSpan w:val="2"/>
                  <w:tcBorders>
                    <w:tl2br w:val="nil"/>
                    <w:tr2bl w:val="nil"/>
                  </w:tcBorders>
                  <w:vAlign w:val="center"/>
                </w:tcPr>
                <w:p w14:paraId="0F3D2451">
                  <w:pPr>
                    <w:pStyle w:val="45"/>
                    <w:bidi w:val="0"/>
                    <w:rPr>
                      <w:rFonts w:hint="default" w:eastAsia="宋体"/>
                      <w:color w:val="auto"/>
                      <w:lang w:val="en-US" w:eastAsia="zh-CN"/>
                    </w:rPr>
                  </w:pPr>
                  <w:r>
                    <w:rPr>
                      <w:rFonts w:hint="eastAsia"/>
                      <w:color w:val="auto"/>
                      <w:lang w:val="en-US" w:eastAsia="zh-CN"/>
                    </w:rPr>
                    <w:t>过渡阶段浓度限值</w:t>
                  </w:r>
                </w:p>
              </w:tc>
              <w:tc>
                <w:tcPr>
                  <w:tcW w:w="949" w:type="pct"/>
                  <w:gridSpan w:val="2"/>
                  <w:tcBorders>
                    <w:tl2br w:val="nil"/>
                    <w:tr2bl w:val="nil"/>
                  </w:tcBorders>
                  <w:vAlign w:val="center"/>
                </w:tcPr>
                <w:p w14:paraId="4603B412">
                  <w:pPr>
                    <w:pStyle w:val="45"/>
                    <w:bidi w:val="0"/>
                    <w:rPr>
                      <w:rFonts w:hint="default" w:eastAsia="宋体"/>
                      <w:color w:val="auto"/>
                      <w:lang w:val="en-US" w:eastAsia="zh-CN"/>
                    </w:rPr>
                  </w:pPr>
                  <w:r>
                    <w:rPr>
                      <w:rFonts w:hint="eastAsia"/>
                      <w:color w:val="auto"/>
                      <w:lang w:val="en-US" w:eastAsia="zh-CN"/>
                    </w:rPr>
                    <w:t>浓度限值</w:t>
                  </w:r>
                </w:p>
              </w:tc>
              <w:tc>
                <w:tcPr>
                  <w:tcW w:w="1056" w:type="pct"/>
                  <w:vMerge w:val="restart"/>
                  <w:tcBorders>
                    <w:tl2br w:val="nil"/>
                    <w:tr2bl w:val="nil"/>
                  </w:tcBorders>
                  <w:vAlign w:val="center"/>
                </w:tcPr>
                <w:p w14:paraId="03F4595C">
                  <w:pPr>
                    <w:pStyle w:val="45"/>
                    <w:bidi w:val="0"/>
                    <w:rPr>
                      <w:rFonts w:hint="default"/>
                      <w:color w:val="auto"/>
                    </w:rPr>
                  </w:pPr>
                  <w:r>
                    <w:rPr>
                      <w:rFonts w:hint="default"/>
                      <w:color w:val="auto"/>
                    </w:rPr>
                    <w:t>备注</w:t>
                  </w:r>
                </w:p>
              </w:tc>
            </w:tr>
            <w:tr w14:paraId="25790B0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6" w:type="pct"/>
                  <w:vMerge w:val="continue"/>
                  <w:tcBorders>
                    <w:tl2br w:val="nil"/>
                    <w:tr2bl w:val="nil"/>
                  </w:tcBorders>
                  <w:vAlign w:val="center"/>
                </w:tcPr>
                <w:p w14:paraId="715B1BE4">
                  <w:pPr>
                    <w:pStyle w:val="45"/>
                    <w:bidi w:val="0"/>
                    <w:rPr>
                      <w:rFonts w:hint="default"/>
                      <w:color w:val="auto"/>
                    </w:rPr>
                  </w:pPr>
                </w:p>
              </w:tc>
              <w:tc>
                <w:tcPr>
                  <w:tcW w:w="990" w:type="pct"/>
                  <w:vMerge w:val="continue"/>
                  <w:tcBorders>
                    <w:tl2br w:val="nil"/>
                    <w:tr2bl w:val="nil"/>
                  </w:tcBorders>
                  <w:vAlign w:val="center"/>
                </w:tcPr>
                <w:p w14:paraId="307EB7C5">
                  <w:pPr>
                    <w:pStyle w:val="45"/>
                    <w:bidi w:val="0"/>
                    <w:rPr>
                      <w:rFonts w:hint="default" w:eastAsia="宋体"/>
                      <w:color w:val="auto"/>
                      <w:lang w:val="en-US" w:eastAsia="zh-CN"/>
                    </w:rPr>
                  </w:pPr>
                </w:p>
              </w:tc>
              <w:tc>
                <w:tcPr>
                  <w:tcW w:w="601" w:type="pct"/>
                  <w:tcBorders>
                    <w:tl2br w:val="nil"/>
                    <w:tr2bl w:val="nil"/>
                  </w:tcBorders>
                  <w:vAlign w:val="center"/>
                </w:tcPr>
                <w:p w14:paraId="62B496DA">
                  <w:pPr>
                    <w:pStyle w:val="45"/>
                    <w:bidi w:val="0"/>
                    <w:rPr>
                      <w:rFonts w:hint="eastAsia" w:eastAsia="宋体"/>
                      <w:color w:val="auto"/>
                      <w:lang w:val="en-US" w:eastAsia="zh-CN"/>
                    </w:rPr>
                  </w:pPr>
                  <w:r>
                    <w:rPr>
                      <w:rFonts w:hint="eastAsia"/>
                      <w:color w:val="auto"/>
                      <w:lang w:val="en-US" w:eastAsia="zh-CN"/>
                    </w:rPr>
                    <w:t>一级</w:t>
                  </w:r>
                </w:p>
              </w:tc>
              <w:tc>
                <w:tcPr>
                  <w:tcW w:w="625" w:type="pct"/>
                  <w:tcBorders>
                    <w:tl2br w:val="nil"/>
                    <w:tr2bl w:val="nil"/>
                  </w:tcBorders>
                  <w:vAlign w:val="center"/>
                </w:tcPr>
                <w:p w14:paraId="71764AA0">
                  <w:pPr>
                    <w:pStyle w:val="45"/>
                    <w:bidi w:val="0"/>
                    <w:ind w:firstLine="0" w:firstLineChars="0"/>
                    <w:rPr>
                      <w:rFonts w:hint="eastAsia"/>
                      <w:color w:val="auto"/>
                      <w:lang w:val="en-US" w:eastAsia="zh-CN"/>
                    </w:rPr>
                  </w:pPr>
                  <w:r>
                    <w:rPr>
                      <w:rFonts w:hint="eastAsia"/>
                      <w:color w:val="auto"/>
                      <w:lang w:val="en-US" w:eastAsia="zh-CN"/>
                    </w:rPr>
                    <w:t>二级</w:t>
                  </w:r>
                </w:p>
              </w:tc>
              <w:tc>
                <w:tcPr>
                  <w:tcW w:w="474" w:type="pct"/>
                  <w:tcBorders>
                    <w:tl2br w:val="nil"/>
                    <w:tr2bl w:val="nil"/>
                  </w:tcBorders>
                  <w:vAlign w:val="center"/>
                </w:tcPr>
                <w:p w14:paraId="085EA2C5">
                  <w:pPr>
                    <w:pStyle w:val="45"/>
                    <w:bidi w:val="0"/>
                    <w:rPr>
                      <w:rFonts w:hint="eastAsia" w:eastAsia="宋体"/>
                      <w:color w:val="auto"/>
                      <w:lang w:val="en-US" w:eastAsia="zh-CN"/>
                    </w:rPr>
                  </w:pPr>
                  <w:r>
                    <w:rPr>
                      <w:rFonts w:hint="eastAsia"/>
                      <w:color w:val="auto"/>
                      <w:lang w:val="en-US" w:eastAsia="zh-CN"/>
                    </w:rPr>
                    <w:t>一级</w:t>
                  </w:r>
                </w:p>
              </w:tc>
              <w:tc>
                <w:tcPr>
                  <w:tcW w:w="474" w:type="pct"/>
                  <w:tcBorders>
                    <w:tl2br w:val="nil"/>
                    <w:tr2bl w:val="nil"/>
                  </w:tcBorders>
                  <w:vAlign w:val="center"/>
                </w:tcPr>
                <w:p w14:paraId="1BE03593">
                  <w:pPr>
                    <w:pStyle w:val="45"/>
                    <w:bidi w:val="0"/>
                    <w:rPr>
                      <w:rFonts w:hint="default"/>
                      <w:color w:val="auto"/>
                      <w:lang w:val="en-US" w:eastAsia="zh-CN"/>
                    </w:rPr>
                  </w:pPr>
                  <w:r>
                    <w:rPr>
                      <w:rFonts w:hint="eastAsia"/>
                      <w:color w:val="auto"/>
                      <w:lang w:val="en-US" w:eastAsia="zh-CN"/>
                    </w:rPr>
                    <w:t>二级</w:t>
                  </w:r>
                </w:p>
              </w:tc>
              <w:tc>
                <w:tcPr>
                  <w:tcW w:w="1056" w:type="pct"/>
                  <w:vMerge w:val="continue"/>
                  <w:tcBorders>
                    <w:tl2br w:val="nil"/>
                    <w:tr2bl w:val="nil"/>
                  </w:tcBorders>
                  <w:vAlign w:val="center"/>
                </w:tcPr>
                <w:p w14:paraId="0119D092">
                  <w:pPr>
                    <w:pStyle w:val="45"/>
                    <w:bidi w:val="0"/>
                    <w:rPr>
                      <w:rFonts w:hint="default"/>
                      <w:color w:val="auto"/>
                    </w:rPr>
                  </w:pPr>
                </w:p>
              </w:tc>
            </w:tr>
            <w:tr w14:paraId="2E39BC1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restart"/>
                  <w:tcBorders>
                    <w:tl2br w:val="nil"/>
                    <w:tr2bl w:val="nil"/>
                  </w:tcBorders>
                  <w:vAlign w:val="center"/>
                </w:tcPr>
                <w:p w14:paraId="66C227C2">
                  <w:pPr>
                    <w:pStyle w:val="45"/>
                    <w:bidi w:val="0"/>
                    <w:rPr>
                      <w:rFonts w:hint="default"/>
                      <w:color w:val="auto"/>
                    </w:rPr>
                  </w:pPr>
                  <w:r>
                    <w:rPr>
                      <w:rFonts w:hint="default"/>
                      <w:color w:val="auto"/>
                    </w:rPr>
                    <w:t>SO</w:t>
                  </w:r>
                  <w:r>
                    <w:rPr>
                      <w:rFonts w:hint="default"/>
                      <w:color w:val="auto"/>
                      <w:vertAlign w:val="subscript"/>
                    </w:rPr>
                    <w:t>2</w:t>
                  </w:r>
                </w:p>
              </w:tc>
              <w:tc>
                <w:tcPr>
                  <w:tcW w:w="990" w:type="pct"/>
                  <w:tcBorders>
                    <w:tl2br w:val="nil"/>
                    <w:tr2bl w:val="nil"/>
                  </w:tcBorders>
                  <w:vAlign w:val="center"/>
                </w:tcPr>
                <w:p w14:paraId="2C361CBF">
                  <w:pPr>
                    <w:pStyle w:val="45"/>
                    <w:bidi w:val="0"/>
                    <w:rPr>
                      <w:rFonts w:hint="eastAsia" w:eastAsia="宋体"/>
                      <w:color w:val="auto"/>
                      <w:lang w:val="en-US" w:eastAsia="zh-CN"/>
                    </w:rPr>
                  </w:pPr>
                  <w:r>
                    <w:rPr>
                      <w:rFonts w:hint="eastAsia"/>
                      <w:color w:val="auto"/>
                      <w:lang w:val="en-US" w:eastAsia="zh-CN"/>
                    </w:rPr>
                    <w:t>年平均</w:t>
                  </w:r>
                </w:p>
              </w:tc>
              <w:tc>
                <w:tcPr>
                  <w:tcW w:w="601" w:type="pct"/>
                  <w:tcBorders>
                    <w:tl2br w:val="nil"/>
                    <w:tr2bl w:val="nil"/>
                  </w:tcBorders>
                  <w:vAlign w:val="center"/>
                </w:tcPr>
                <w:p w14:paraId="758A8D49">
                  <w:pPr>
                    <w:pStyle w:val="45"/>
                    <w:bidi w:val="0"/>
                    <w:rPr>
                      <w:rFonts w:hint="default" w:eastAsia="宋体"/>
                      <w:color w:val="auto"/>
                      <w:lang w:val="en-US" w:eastAsia="zh-CN"/>
                    </w:rPr>
                  </w:pPr>
                  <w:r>
                    <w:rPr>
                      <w:rFonts w:hint="eastAsia"/>
                      <w:color w:val="auto"/>
                      <w:lang w:val="en-US" w:eastAsia="zh-CN"/>
                    </w:rPr>
                    <w:t>20</w:t>
                  </w:r>
                </w:p>
              </w:tc>
              <w:tc>
                <w:tcPr>
                  <w:tcW w:w="625" w:type="pct"/>
                  <w:tcBorders>
                    <w:tl2br w:val="nil"/>
                    <w:tr2bl w:val="nil"/>
                  </w:tcBorders>
                  <w:vAlign w:val="center"/>
                </w:tcPr>
                <w:p w14:paraId="67B5F0A0">
                  <w:pPr>
                    <w:pStyle w:val="45"/>
                    <w:bidi w:val="0"/>
                    <w:ind w:firstLine="0" w:firstLineChars="0"/>
                    <w:rPr>
                      <w:rFonts w:hint="eastAsia"/>
                      <w:color w:val="auto"/>
                      <w:lang w:val="en-US" w:eastAsia="zh-CN"/>
                    </w:rPr>
                  </w:pPr>
                  <w:r>
                    <w:rPr>
                      <w:rFonts w:hint="eastAsia"/>
                      <w:color w:val="auto"/>
                      <w:lang w:val="en-US" w:eastAsia="zh-CN"/>
                    </w:rPr>
                    <w:t>60</w:t>
                  </w:r>
                </w:p>
              </w:tc>
              <w:tc>
                <w:tcPr>
                  <w:tcW w:w="474" w:type="pct"/>
                  <w:tcBorders>
                    <w:tl2br w:val="nil"/>
                    <w:tr2bl w:val="nil"/>
                  </w:tcBorders>
                  <w:vAlign w:val="center"/>
                </w:tcPr>
                <w:p w14:paraId="0352D865">
                  <w:pPr>
                    <w:pStyle w:val="45"/>
                    <w:bidi w:val="0"/>
                    <w:rPr>
                      <w:rFonts w:hint="default" w:eastAsia="宋体"/>
                      <w:color w:val="auto"/>
                      <w:lang w:val="en-US" w:eastAsia="zh-CN"/>
                    </w:rPr>
                  </w:pPr>
                  <w:r>
                    <w:rPr>
                      <w:rFonts w:hint="eastAsia"/>
                      <w:color w:val="auto"/>
                      <w:lang w:val="en-US" w:eastAsia="zh-CN"/>
                    </w:rPr>
                    <w:t>20</w:t>
                  </w:r>
                </w:p>
              </w:tc>
              <w:tc>
                <w:tcPr>
                  <w:tcW w:w="474" w:type="pct"/>
                  <w:tcBorders>
                    <w:tl2br w:val="nil"/>
                    <w:tr2bl w:val="nil"/>
                  </w:tcBorders>
                  <w:vAlign w:val="center"/>
                </w:tcPr>
                <w:p w14:paraId="4E4908E8">
                  <w:pPr>
                    <w:pStyle w:val="45"/>
                    <w:bidi w:val="0"/>
                    <w:ind w:firstLine="0" w:firstLineChars="0"/>
                    <w:rPr>
                      <w:rFonts w:hint="eastAsia"/>
                      <w:color w:val="auto"/>
                      <w:lang w:val="en-US" w:eastAsia="zh-CN"/>
                    </w:rPr>
                  </w:pPr>
                  <w:r>
                    <w:rPr>
                      <w:rFonts w:hint="eastAsia"/>
                      <w:color w:val="auto"/>
                      <w:lang w:val="en-US" w:eastAsia="zh-CN"/>
                    </w:rPr>
                    <w:t>20</w:t>
                  </w:r>
                </w:p>
              </w:tc>
              <w:tc>
                <w:tcPr>
                  <w:tcW w:w="1056" w:type="pct"/>
                  <w:vMerge w:val="restart"/>
                  <w:tcBorders>
                    <w:tl2br w:val="nil"/>
                    <w:tr2bl w:val="nil"/>
                  </w:tcBorders>
                  <w:vAlign w:val="center"/>
                </w:tcPr>
                <w:p w14:paraId="3EC0D374">
                  <w:pPr>
                    <w:pStyle w:val="45"/>
                    <w:bidi w:val="0"/>
                    <w:rPr>
                      <w:rFonts w:hint="default"/>
                      <w:color w:val="auto"/>
                    </w:rPr>
                  </w:pPr>
                  <w:r>
                    <w:rPr>
                      <w:rFonts w:hint="default"/>
                      <w:color w:val="auto"/>
                    </w:rPr>
                    <w:t>《环境空气质量标准》（GB3095-</w:t>
                  </w:r>
                  <w:r>
                    <w:rPr>
                      <w:rFonts w:hint="eastAsia"/>
                      <w:color w:val="auto"/>
                      <w:lang w:val="en-US" w:eastAsia="zh-CN"/>
                    </w:rPr>
                    <w:t>2026</w:t>
                  </w:r>
                  <w:r>
                    <w:rPr>
                      <w:rFonts w:hint="default"/>
                      <w:color w:val="auto"/>
                    </w:rPr>
                    <w:t>）中的二级标准</w:t>
                  </w:r>
                </w:p>
              </w:tc>
            </w:tr>
            <w:tr w14:paraId="352D547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6FC8A9AD">
                  <w:pPr>
                    <w:pStyle w:val="45"/>
                    <w:bidi w:val="0"/>
                  </w:pPr>
                </w:p>
              </w:tc>
              <w:tc>
                <w:tcPr>
                  <w:tcW w:w="990" w:type="pct"/>
                  <w:tcBorders>
                    <w:tl2br w:val="nil"/>
                    <w:tr2bl w:val="nil"/>
                  </w:tcBorders>
                  <w:vAlign w:val="center"/>
                </w:tcPr>
                <w:p w14:paraId="0782E84C">
                  <w:pPr>
                    <w:pStyle w:val="45"/>
                    <w:bidi w:val="0"/>
                    <w:rPr>
                      <w:rFonts w:hint="eastAsia" w:eastAsia="宋体"/>
                      <w:color w:val="auto"/>
                      <w:lang w:val="en-US" w:eastAsia="zh-CN"/>
                    </w:rPr>
                  </w:pPr>
                  <w:r>
                    <w:rPr>
                      <w:rFonts w:hint="eastAsia"/>
                      <w:color w:val="auto"/>
                      <w:lang w:val="en-US" w:eastAsia="zh-CN"/>
                    </w:rPr>
                    <w:t>日平均</w:t>
                  </w:r>
                </w:p>
              </w:tc>
              <w:tc>
                <w:tcPr>
                  <w:tcW w:w="601" w:type="pct"/>
                  <w:tcBorders>
                    <w:tl2br w:val="nil"/>
                    <w:tr2bl w:val="nil"/>
                  </w:tcBorders>
                  <w:vAlign w:val="center"/>
                </w:tcPr>
                <w:p w14:paraId="7EA1A0A3">
                  <w:pPr>
                    <w:pStyle w:val="45"/>
                    <w:bidi w:val="0"/>
                    <w:rPr>
                      <w:rFonts w:hint="default" w:eastAsia="宋体"/>
                      <w:color w:val="auto"/>
                      <w:lang w:val="en-US" w:eastAsia="zh-CN"/>
                    </w:rPr>
                  </w:pPr>
                  <w:r>
                    <w:rPr>
                      <w:rFonts w:hint="eastAsia"/>
                      <w:color w:val="auto"/>
                      <w:lang w:val="en-US" w:eastAsia="zh-CN"/>
                    </w:rPr>
                    <w:t>50</w:t>
                  </w:r>
                </w:p>
              </w:tc>
              <w:tc>
                <w:tcPr>
                  <w:tcW w:w="625" w:type="pct"/>
                  <w:tcBorders>
                    <w:tl2br w:val="nil"/>
                    <w:tr2bl w:val="nil"/>
                  </w:tcBorders>
                  <w:vAlign w:val="center"/>
                </w:tcPr>
                <w:p w14:paraId="7302826C">
                  <w:pPr>
                    <w:pStyle w:val="45"/>
                    <w:bidi w:val="0"/>
                    <w:ind w:firstLine="0" w:firstLineChars="0"/>
                    <w:rPr>
                      <w:rFonts w:hint="eastAsia"/>
                      <w:color w:val="auto"/>
                      <w:lang w:val="en-US" w:eastAsia="zh-CN"/>
                    </w:rPr>
                  </w:pPr>
                  <w:r>
                    <w:rPr>
                      <w:rFonts w:hint="eastAsia"/>
                      <w:color w:val="auto"/>
                      <w:lang w:val="en-US" w:eastAsia="zh-CN"/>
                    </w:rPr>
                    <w:t>150</w:t>
                  </w:r>
                </w:p>
              </w:tc>
              <w:tc>
                <w:tcPr>
                  <w:tcW w:w="474" w:type="pct"/>
                  <w:tcBorders>
                    <w:tl2br w:val="nil"/>
                    <w:tr2bl w:val="nil"/>
                  </w:tcBorders>
                  <w:vAlign w:val="center"/>
                </w:tcPr>
                <w:p w14:paraId="0A1DFD00">
                  <w:pPr>
                    <w:pStyle w:val="45"/>
                    <w:bidi w:val="0"/>
                    <w:rPr>
                      <w:rFonts w:hint="default" w:eastAsia="宋体"/>
                      <w:color w:val="auto"/>
                      <w:lang w:val="en-US" w:eastAsia="zh-CN"/>
                    </w:rPr>
                  </w:pPr>
                  <w:r>
                    <w:rPr>
                      <w:rFonts w:hint="eastAsia"/>
                      <w:color w:val="auto"/>
                      <w:lang w:val="en-US" w:eastAsia="zh-CN"/>
                    </w:rPr>
                    <w:t>50</w:t>
                  </w:r>
                </w:p>
              </w:tc>
              <w:tc>
                <w:tcPr>
                  <w:tcW w:w="474" w:type="pct"/>
                  <w:tcBorders>
                    <w:tl2br w:val="nil"/>
                    <w:tr2bl w:val="nil"/>
                  </w:tcBorders>
                  <w:vAlign w:val="center"/>
                </w:tcPr>
                <w:p w14:paraId="6AC1E257">
                  <w:pPr>
                    <w:pStyle w:val="45"/>
                    <w:bidi w:val="0"/>
                    <w:ind w:firstLine="0" w:firstLineChars="0"/>
                    <w:rPr>
                      <w:rFonts w:hint="eastAsia"/>
                      <w:color w:val="auto"/>
                      <w:lang w:val="en-US" w:eastAsia="zh-CN"/>
                    </w:rPr>
                  </w:pPr>
                  <w:r>
                    <w:rPr>
                      <w:rFonts w:hint="eastAsia"/>
                      <w:color w:val="auto"/>
                      <w:lang w:val="en-US" w:eastAsia="zh-CN"/>
                    </w:rPr>
                    <w:t>50</w:t>
                  </w:r>
                </w:p>
              </w:tc>
              <w:tc>
                <w:tcPr>
                  <w:tcW w:w="1056" w:type="pct"/>
                  <w:vMerge w:val="continue"/>
                  <w:tcBorders>
                    <w:tl2br w:val="nil"/>
                    <w:tr2bl w:val="nil"/>
                  </w:tcBorders>
                  <w:vAlign w:val="center"/>
                </w:tcPr>
                <w:p w14:paraId="2BCF150E">
                  <w:pPr>
                    <w:pStyle w:val="45"/>
                    <w:bidi w:val="0"/>
                    <w:rPr>
                      <w:rFonts w:hint="default"/>
                      <w:color w:val="auto"/>
                    </w:rPr>
                  </w:pPr>
                </w:p>
              </w:tc>
            </w:tr>
            <w:tr w14:paraId="6807F7E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60313538">
                  <w:pPr>
                    <w:pStyle w:val="45"/>
                    <w:bidi w:val="0"/>
                    <w:rPr>
                      <w:rFonts w:hint="default"/>
                      <w:color w:val="auto"/>
                    </w:rPr>
                  </w:pPr>
                </w:p>
              </w:tc>
              <w:tc>
                <w:tcPr>
                  <w:tcW w:w="990" w:type="pct"/>
                  <w:tcBorders>
                    <w:tl2br w:val="nil"/>
                    <w:tr2bl w:val="nil"/>
                  </w:tcBorders>
                  <w:vAlign w:val="center"/>
                </w:tcPr>
                <w:p w14:paraId="1C15D23F">
                  <w:pPr>
                    <w:pStyle w:val="45"/>
                    <w:bidi w:val="0"/>
                    <w:rPr>
                      <w:rFonts w:hint="default" w:eastAsia="宋体"/>
                      <w:color w:val="auto"/>
                      <w:lang w:val="en-US" w:eastAsia="zh-CN"/>
                    </w:rPr>
                  </w:pPr>
                  <w:r>
                    <w:rPr>
                      <w:rFonts w:hint="eastAsia"/>
                      <w:color w:val="auto"/>
                      <w:lang w:val="en-US" w:eastAsia="zh-CN"/>
                    </w:rPr>
                    <w:t>1小时平均</w:t>
                  </w:r>
                </w:p>
              </w:tc>
              <w:tc>
                <w:tcPr>
                  <w:tcW w:w="601" w:type="pct"/>
                  <w:tcBorders>
                    <w:tl2br w:val="nil"/>
                    <w:tr2bl w:val="nil"/>
                  </w:tcBorders>
                  <w:vAlign w:val="center"/>
                </w:tcPr>
                <w:p w14:paraId="0ADC6A10">
                  <w:pPr>
                    <w:pStyle w:val="45"/>
                    <w:bidi w:val="0"/>
                    <w:rPr>
                      <w:rFonts w:hint="default" w:eastAsia="宋体"/>
                      <w:color w:val="auto"/>
                      <w:lang w:val="en-US" w:eastAsia="zh-CN"/>
                    </w:rPr>
                  </w:pPr>
                  <w:r>
                    <w:rPr>
                      <w:rFonts w:hint="eastAsia"/>
                      <w:color w:val="auto"/>
                      <w:lang w:val="en-US" w:eastAsia="zh-CN"/>
                    </w:rPr>
                    <w:t>150</w:t>
                  </w:r>
                </w:p>
              </w:tc>
              <w:tc>
                <w:tcPr>
                  <w:tcW w:w="625" w:type="pct"/>
                  <w:tcBorders>
                    <w:tl2br w:val="nil"/>
                    <w:tr2bl w:val="nil"/>
                  </w:tcBorders>
                  <w:vAlign w:val="center"/>
                </w:tcPr>
                <w:p w14:paraId="3D975E5E">
                  <w:pPr>
                    <w:pStyle w:val="45"/>
                    <w:bidi w:val="0"/>
                    <w:ind w:firstLine="0" w:firstLineChars="0"/>
                    <w:rPr>
                      <w:rFonts w:hint="eastAsia"/>
                      <w:color w:val="auto"/>
                      <w:lang w:val="en-US" w:eastAsia="zh-CN"/>
                    </w:rPr>
                  </w:pPr>
                  <w:r>
                    <w:rPr>
                      <w:rFonts w:hint="eastAsia"/>
                      <w:color w:val="auto"/>
                      <w:lang w:val="en-US" w:eastAsia="zh-CN"/>
                    </w:rPr>
                    <w:t>500</w:t>
                  </w:r>
                </w:p>
              </w:tc>
              <w:tc>
                <w:tcPr>
                  <w:tcW w:w="474" w:type="pct"/>
                  <w:tcBorders>
                    <w:tl2br w:val="nil"/>
                    <w:tr2bl w:val="nil"/>
                  </w:tcBorders>
                  <w:vAlign w:val="center"/>
                </w:tcPr>
                <w:p w14:paraId="3718F809">
                  <w:pPr>
                    <w:pStyle w:val="45"/>
                    <w:bidi w:val="0"/>
                    <w:rPr>
                      <w:rFonts w:hint="default" w:eastAsia="宋体"/>
                      <w:color w:val="auto"/>
                      <w:lang w:val="en-US" w:eastAsia="zh-CN"/>
                    </w:rPr>
                  </w:pPr>
                  <w:r>
                    <w:rPr>
                      <w:rFonts w:hint="eastAsia"/>
                      <w:color w:val="auto"/>
                      <w:lang w:val="en-US" w:eastAsia="zh-CN"/>
                    </w:rPr>
                    <w:t>150</w:t>
                  </w:r>
                </w:p>
              </w:tc>
              <w:tc>
                <w:tcPr>
                  <w:tcW w:w="474" w:type="pct"/>
                  <w:tcBorders>
                    <w:tl2br w:val="nil"/>
                    <w:tr2bl w:val="nil"/>
                  </w:tcBorders>
                  <w:vAlign w:val="center"/>
                </w:tcPr>
                <w:p w14:paraId="085B43BA">
                  <w:pPr>
                    <w:pStyle w:val="45"/>
                    <w:bidi w:val="0"/>
                    <w:ind w:firstLine="0" w:firstLineChars="0"/>
                    <w:rPr>
                      <w:rFonts w:hint="eastAsia"/>
                      <w:color w:val="auto"/>
                      <w:lang w:val="en-US" w:eastAsia="zh-CN"/>
                    </w:rPr>
                  </w:pPr>
                  <w:r>
                    <w:rPr>
                      <w:rFonts w:hint="eastAsia"/>
                      <w:color w:val="auto"/>
                      <w:lang w:val="en-US" w:eastAsia="zh-CN"/>
                    </w:rPr>
                    <w:t>150</w:t>
                  </w:r>
                </w:p>
              </w:tc>
              <w:tc>
                <w:tcPr>
                  <w:tcW w:w="1056" w:type="pct"/>
                  <w:vMerge w:val="continue"/>
                  <w:tcBorders>
                    <w:tl2br w:val="nil"/>
                    <w:tr2bl w:val="nil"/>
                  </w:tcBorders>
                  <w:vAlign w:val="center"/>
                </w:tcPr>
                <w:p w14:paraId="3A9A72B9">
                  <w:pPr>
                    <w:pStyle w:val="45"/>
                    <w:bidi w:val="0"/>
                    <w:rPr>
                      <w:rFonts w:hint="default"/>
                      <w:color w:val="auto"/>
                    </w:rPr>
                  </w:pPr>
                </w:p>
              </w:tc>
            </w:tr>
            <w:tr w14:paraId="35A42B4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restart"/>
                  <w:tcBorders>
                    <w:tl2br w:val="nil"/>
                    <w:tr2bl w:val="nil"/>
                  </w:tcBorders>
                  <w:vAlign w:val="center"/>
                </w:tcPr>
                <w:p w14:paraId="3EA195F8">
                  <w:pPr>
                    <w:pStyle w:val="45"/>
                    <w:bidi w:val="0"/>
                    <w:rPr>
                      <w:rFonts w:hint="default"/>
                      <w:color w:val="auto"/>
                    </w:rPr>
                  </w:pPr>
                  <w:r>
                    <w:rPr>
                      <w:rFonts w:hint="default"/>
                      <w:color w:val="auto"/>
                    </w:rPr>
                    <w:t>NO</w:t>
                  </w:r>
                  <w:r>
                    <w:rPr>
                      <w:rFonts w:hint="default"/>
                      <w:color w:val="auto"/>
                      <w:vertAlign w:val="subscript"/>
                    </w:rPr>
                    <w:t>2</w:t>
                  </w:r>
                </w:p>
              </w:tc>
              <w:tc>
                <w:tcPr>
                  <w:tcW w:w="990" w:type="pct"/>
                  <w:tcBorders>
                    <w:tl2br w:val="nil"/>
                    <w:tr2bl w:val="nil"/>
                  </w:tcBorders>
                  <w:vAlign w:val="center"/>
                </w:tcPr>
                <w:p w14:paraId="4EF84289">
                  <w:pPr>
                    <w:pStyle w:val="45"/>
                    <w:bidi w:val="0"/>
                    <w:ind w:firstLine="0" w:firstLineChars="0"/>
                    <w:rPr>
                      <w:rFonts w:hint="default"/>
                      <w:color w:val="auto"/>
                    </w:rPr>
                  </w:pPr>
                  <w:r>
                    <w:rPr>
                      <w:rFonts w:hint="eastAsia"/>
                      <w:color w:val="auto"/>
                      <w:lang w:val="en-US" w:eastAsia="zh-CN"/>
                    </w:rPr>
                    <w:t>年平均</w:t>
                  </w:r>
                </w:p>
              </w:tc>
              <w:tc>
                <w:tcPr>
                  <w:tcW w:w="601" w:type="pct"/>
                  <w:tcBorders>
                    <w:tl2br w:val="nil"/>
                    <w:tr2bl w:val="nil"/>
                  </w:tcBorders>
                  <w:vAlign w:val="center"/>
                </w:tcPr>
                <w:p w14:paraId="2AABE6CF">
                  <w:pPr>
                    <w:pStyle w:val="45"/>
                    <w:bidi w:val="0"/>
                    <w:rPr>
                      <w:rFonts w:hint="default" w:eastAsia="宋体"/>
                      <w:color w:val="auto"/>
                      <w:lang w:val="en-US" w:eastAsia="zh-CN"/>
                    </w:rPr>
                  </w:pPr>
                  <w:r>
                    <w:rPr>
                      <w:rFonts w:hint="eastAsia"/>
                      <w:color w:val="auto"/>
                      <w:lang w:val="en-US" w:eastAsia="zh-CN"/>
                    </w:rPr>
                    <w:t>40</w:t>
                  </w:r>
                </w:p>
              </w:tc>
              <w:tc>
                <w:tcPr>
                  <w:tcW w:w="625" w:type="pct"/>
                  <w:tcBorders>
                    <w:tl2br w:val="nil"/>
                    <w:tr2bl w:val="nil"/>
                  </w:tcBorders>
                  <w:vAlign w:val="center"/>
                </w:tcPr>
                <w:p w14:paraId="0CE774F4">
                  <w:pPr>
                    <w:pStyle w:val="45"/>
                    <w:bidi w:val="0"/>
                    <w:ind w:firstLine="0" w:firstLineChars="0"/>
                    <w:rPr>
                      <w:rFonts w:hint="eastAsia"/>
                      <w:color w:val="auto"/>
                      <w:lang w:val="en-US" w:eastAsia="zh-CN"/>
                    </w:rPr>
                  </w:pPr>
                  <w:r>
                    <w:rPr>
                      <w:rFonts w:hint="eastAsia"/>
                      <w:color w:val="auto"/>
                      <w:lang w:val="en-US" w:eastAsia="zh-CN"/>
                    </w:rPr>
                    <w:t>40</w:t>
                  </w:r>
                </w:p>
              </w:tc>
              <w:tc>
                <w:tcPr>
                  <w:tcW w:w="474" w:type="pct"/>
                  <w:tcBorders>
                    <w:tl2br w:val="nil"/>
                    <w:tr2bl w:val="nil"/>
                  </w:tcBorders>
                  <w:vAlign w:val="center"/>
                </w:tcPr>
                <w:p w14:paraId="3BFBE56D">
                  <w:pPr>
                    <w:pStyle w:val="45"/>
                    <w:bidi w:val="0"/>
                    <w:rPr>
                      <w:rFonts w:hint="default" w:eastAsia="宋体"/>
                      <w:color w:val="auto"/>
                      <w:lang w:val="en-US" w:eastAsia="zh-CN"/>
                    </w:rPr>
                  </w:pPr>
                  <w:r>
                    <w:rPr>
                      <w:rFonts w:hint="eastAsia"/>
                      <w:color w:val="auto"/>
                      <w:lang w:val="en-US" w:eastAsia="zh-CN"/>
                    </w:rPr>
                    <w:t>30</w:t>
                  </w:r>
                </w:p>
              </w:tc>
              <w:tc>
                <w:tcPr>
                  <w:tcW w:w="474" w:type="pct"/>
                  <w:tcBorders>
                    <w:tl2br w:val="nil"/>
                    <w:tr2bl w:val="nil"/>
                  </w:tcBorders>
                  <w:vAlign w:val="center"/>
                </w:tcPr>
                <w:p w14:paraId="120B8C96">
                  <w:pPr>
                    <w:pStyle w:val="45"/>
                    <w:bidi w:val="0"/>
                    <w:ind w:firstLine="0" w:firstLineChars="0"/>
                    <w:rPr>
                      <w:rFonts w:hint="eastAsia"/>
                      <w:color w:val="auto"/>
                      <w:lang w:val="en-US" w:eastAsia="zh-CN"/>
                    </w:rPr>
                  </w:pPr>
                  <w:r>
                    <w:rPr>
                      <w:rFonts w:hint="eastAsia"/>
                      <w:color w:val="auto"/>
                      <w:lang w:val="en-US" w:eastAsia="zh-CN"/>
                    </w:rPr>
                    <w:t>30</w:t>
                  </w:r>
                </w:p>
              </w:tc>
              <w:tc>
                <w:tcPr>
                  <w:tcW w:w="1056" w:type="pct"/>
                  <w:vMerge w:val="continue"/>
                  <w:tcBorders>
                    <w:tl2br w:val="nil"/>
                    <w:tr2bl w:val="nil"/>
                  </w:tcBorders>
                  <w:vAlign w:val="center"/>
                </w:tcPr>
                <w:p w14:paraId="13432E58">
                  <w:pPr>
                    <w:pStyle w:val="45"/>
                    <w:bidi w:val="0"/>
                    <w:rPr>
                      <w:rFonts w:hint="default"/>
                      <w:color w:val="auto"/>
                    </w:rPr>
                  </w:pPr>
                </w:p>
              </w:tc>
            </w:tr>
            <w:tr w14:paraId="3F7A020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32530945">
                  <w:pPr>
                    <w:pStyle w:val="45"/>
                    <w:bidi w:val="0"/>
                  </w:pPr>
                </w:p>
              </w:tc>
              <w:tc>
                <w:tcPr>
                  <w:tcW w:w="990" w:type="pct"/>
                  <w:tcBorders>
                    <w:tl2br w:val="nil"/>
                    <w:tr2bl w:val="nil"/>
                  </w:tcBorders>
                  <w:vAlign w:val="center"/>
                </w:tcPr>
                <w:p w14:paraId="50FD5DF8">
                  <w:pPr>
                    <w:pStyle w:val="45"/>
                    <w:bidi w:val="0"/>
                    <w:ind w:firstLine="0" w:firstLineChars="0"/>
                    <w:rPr>
                      <w:rFonts w:hint="default"/>
                      <w:color w:val="auto"/>
                    </w:rPr>
                  </w:pPr>
                  <w:r>
                    <w:rPr>
                      <w:rFonts w:hint="eastAsia"/>
                      <w:color w:val="auto"/>
                      <w:lang w:val="en-US" w:eastAsia="zh-CN"/>
                    </w:rPr>
                    <w:t>日平均</w:t>
                  </w:r>
                </w:p>
              </w:tc>
              <w:tc>
                <w:tcPr>
                  <w:tcW w:w="601" w:type="pct"/>
                  <w:tcBorders>
                    <w:tl2br w:val="nil"/>
                    <w:tr2bl w:val="nil"/>
                  </w:tcBorders>
                  <w:vAlign w:val="center"/>
                </w:tcPr>
                <w:p w14:paraId="297CD8B3">
                  <w:pPr>
                    <w:pStyle w:val="45"/>
                    <w:bidi w:val="0"/>
                    <w:rPr>
                      <w:rFonts w:hint="default" w:eastAsia="宋体"/>
                      <w:color w:val="auto"/>
                      <w:lang w:val="en-US" w:eastAsia="zh-CN"/>
                    </w:rPr>
                  </w:pPr>
                  <w:r>
                    <w:rPr>
                      <w:rFonts w:hint="eastAsia"/>
                      <w:color w:val="auto"/>
                      <w:lang w:val="en-US" w:eastAsia="zh-CN"/>
                    </w:rPr>
                    <w:t>80</w:t>
                  </w:r>
                </w:p>
              </w:tc>
              <w:tc>
                <w:tcPr>
                  <w:tcW w:w="625" w:type="pct"/>
                  <w:tcBorders>
                    <w:tl2br w:val="nil"/>
                    <w:tr2bl w:val="nil"/>
                  </w:tcBorders>
                  <w:vAlign w:val="center"/>
                </w:tcPr>
                <w:p w14:paraId="78935A18">
                  <w:pPr>
                    <w:pStyle w:val="45"/>
                    <w:bidi w:val="0"/>
                    <w:ind w:firstLine="0" w:firstLineChars="0"/>
                    <w:rPr>
                      <w:rFonts w:hint="eastAsia"/>
                      <w:color w:val="auto"/>
                      <w:lang w:val="en-US" w:eastAsia="zh-CN"/>
                    </w:rPr>
                  </w:pPr>
                  <w:r>
                    <w:rPr>
                      <w:rFonts w:hint="eastAsia"/>
                      <w:color w:val="auto"/>
                      <w:lang w:val="en-US" w:eastAsia="zh-CN"/>
                    </w:rPr>
                    <w:t>80</w:t>
                  </w:r>
                </w:p>
              </w:tc>
              <w:tc>
                <w:tcPr>
                  <w:tcW w:w="474" w:type="pct"/>
                  <w:tcBorders>
                    <w:tl2br w:val="nil"/>
                    <w:tr2bl w:val="nil"/>
                  </w:tcBorders>
                  <w:vAlign w:val="center"/>
                </w:tcPr>
                <w:p w14:paraId="16E92FD2">
                  <w:pPr>
                    <w:pStyle w:val="45"/>
                    <w:bidi w:val="0"/>
                    <w:rPr>
                      <w:rFonts w:hint="default" w:eastAsia="宋体"/>
                      <w:color w:val="auto"/>
                      <w:lang w:val="en-US" w:eastAsia="zh-CN"/>
                    </w:rPr>
                  </w:pPr>
                  <w:r>
                    <w:rPr>
                      <w:rFonts w:hint="eastAsia"/>
                      <w:color w:val="auto"/>
                      <w:lang w:val="en-US" w:eastAsia="zh-CN"/>
                    </w:rPr>
                    <w:t>50</w:t>
                  </w:r>
                </w:p>
              </w:tc>
              <w:tc>
                <w:tcPr>
                  <w:tcW w:w="474" w:type="pct"/>
                  <w:tcBorders>
                    <w:tl2br w:val="nil"/>
                    <w:tr2bl w:val="nil"/>
                  </w:tcBorders>
                  <w:vAlign w:val="center"/>
                </w:tcPr>
                <w:p w14:paraId="65B6E4C2">
                  <w:pPr>
                    <w:pStyle w:val="45"/>
                    <w:bidi w:val="0"/>
                    <w:ind w:firstLine="0" w:firstLineChars="0"/>
                    <w:rPr>
                      <w:rFonts w:hint="eastAsia"/>
                      <w:color w:val="auto"/>
                      <w:lang w:val="en-US" w:eastAsia="zh-CN"/>
                    </w:rPr>
                  </w:pPr>
                  <w:r>
                    <w:rPr>
                      <w:rFonts w:hint="eastAsia"/>
                      <w:color w:val="auto"/>
                      <w:lang w:val="en-US" w:eastAsia="zh-CN"/>
                    </w:rPr>
                    <w:t>50</w:t>
                  </w:r>
                </w:p>
              </w:tc>
              <w:tc>
                <w:tcPr>
                  <w:tcW w:w="1056" w:type="pct"/>
                  <w:vMerge w:val="continue"/>
                  <w:tcBorders>
                    <w:tl2br w:val="nil"/>
                    <w:tr2bl w:val="nil"/>
                  </w:tcBorders>
                  <w:vAlign w:val="center"/>
                </w:tcPr>
                <w:p w14:paraId="79AF7BC3">
                  <w:pPr>
                    <w:pStyle w:val="45"/>
                    <w:bidi w:val="0"/>
                    <w:rPr>
                      <w:rFonts w:hint="default"/>
                      <w:color w:val="auto"/>
                    </w:rPr>
                  </w:pPr>
                </w:p>
              </w:tc>
            </w:tr>
            <w:tr w14:paraId="7A31B16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6FBEFE75">
                  <w:pPr>
                    <w:pStyle w:val="45"/>
                    <w:bidi w:val="0"/>
                    <w:rPr>
                      <w:rFonts w:hint="default"/>
                      <w:color w:val="auto"/>
                    </w:rPr>
                  </w:pPr>
                </w:p>
              </w:tc>
              <w:tc>
                <w:tcPr>
                  <w:tcW w:w="990" w:type="pct"/>
                  <w:tcBorders>
                    <w:tl2br w:val="nil"/>
                    <w:tr2bl w:val="nil"/>
                  </w:tcBorders>
                  <w:vAlign w:val="center"/>
                </w:tcPr>
                <w:p w14:paraId="16815B3E">
                  <w:pPr>
                    <w:pStyle w:val="45"/>
                    <w:bidi w:val="0"/>
                    <w:ind w:firstLine="0" w:firstLineChars="0"/>
                    <w:rPr>
                      <w:rFonts w:hint="default"/>
                      <w:color w:val="auto"/>
                    </w:rPr>
                  </w:pPr>
                  <w:r>
                    <w:rPr>
                      <w:rFonts w:hint="eastAsia"/>
                      <w:color w:val="auto"/>
                      <w:lang w:val="en-US" w:eastAsia="zh-CN"/>
                    </w:rPr>
                    <w:t>1小时平均</w:t>
                  </w:r>
                </w:p>
              </w:tc>
              <w:tc>
                <w:tcPr>
                  <w:tcW w:w="601" w:type="pct"/>
                  <w:tcBorders>
                    <w:tl2br w:val="nil"/>
                    <w:tr2bl w:val="nil"/>
                  </w:tcBorders>
                  <w:vAlign w:val="center"/>
                </w:tcPr>
                <w:p w14:paraId="7BF0164C">
                  <w:pPr>
                    <w:pStyle w:val="45"/>
                    <w:bidi w:val="0"/>
                    <w:rPr>
                      <w:rFonts w:hint="default" w:eastAsia="宋体"/>
                      <w:color w:val="auto"/>
                      <w:lang w:val="en-US" w:eastAsia="zh-CN"/>
                    </w:rPr>
                  </w:pPr>
                  <w:r>
                    <w:rPr>
                      <w:rFonts w:hint="eastAsia"/>
                      <w:color w:val="auto"/>
                      <w:lang w:val="en-US" w:eastAsia="zh-CN"/>
                    </w:rPr>
                    <w:t>200</w:t>
                  </w:r>
                </w:p>
              </w:tc>
              <w:tc>
                <w:tcPr>
                  <w:tcW w:w="625" w:type="pct"/>
                  <w:tcBorders>
                    <w:tl2br w:val="nil"/>
                    <w:tr2bl w:val="nil"/>
                  </w:tcBorders>
                  <w:vAlign w:val="center"/>
                </w:tcPr>
                <w:p w14:paraId="76B90A22">
                  <w:pPr>
                    <w:pStyle w:val="45"/>
                    <w:bidi w:val="0"/>
                    <w:ind w:firstLine="0" w:firstLineChars="0"/>
                    <w:rPr>
                      <w:rFonts w:hint="eastAsia"/>
                      <w:color w:val="auto"/>
                      <w:lang w:val="en-US" w:eastAsia="zh-CN"/>
                    </w:rPr>
                  </w:pPr>
                  <w:r>
                    <w:rPr>
                      <w:rFonts w:hint="eastAsia"/>
                      <w:color w:val="auto"/>
                      <w:lang w:val="en-US" w:eastAsia="zh-CN"/>
                    </w:rPr>
                    <w:t>200</w:t>
                  </w:r>
                </w:p>
              </w:tc>
              <w:tc>
                <w:tcPr>
                  <w:tcW w:w="474" w:type="pct"/>
                  <w:tcBorders>
                    <w:tl2br w:val="nil"/>
                    <w:tr2bl w:val="nil"/>
                  </w:tcBorders>
                  <w:vAlign w:val="center"/>
                </w:tcPr>
                <w:p w14:paraId="7E74C9F2">
                  <w:pPr>
                    <w:pStyle w:val="45"/>
                    <w:bidi w:val="0"/>
                    <w:rPr>
                      <w:rFonts w:hint="default" w:eastAsia="宋体"/>
                      <w:color w:val="auto"/>
                      <w:lang w:val="en-US" w:eastAsia="zh-CN"/>
                    </w:rPr>
                  </w:pPr>
                  <w:r>
                    <w:rPr>
                      <w:rFonts w:hint="eastAsia"/>
                      <w:color w:val="auto"/>
                      <w:lang w:val="en-US" w:eastAsia="zh-CN"/>
                    </w:rPr>
                    <w:t>200</w:t>
                  </w:r>
                </w:p>
              </w:tc>
              <w:tc>
                <w:tcPr>
                  <w:tcW w:w="474" w:type="pct"/>
                  <w:tcBorders>
                    <w:tl2br w:val="nil"/>
                    <w:tr2bl w:val="nil"/>
                  </w:tcBorders>
                  <w:vAlign w:val="center"/>
                </w:tcPr>
                <w:p w14:paraId="1B9D0458">
                  <w:pPr>
                    <w:pStyle w:val="45"/>
                    <w:bidi w:val="0"/>
                    <w:ind w:firstLine="0" w:firstLineChars="0"/>
                    <w:rPr>
                      <w:rFonts w:hint="eastAsia"/>
                      <w:color w:val="auto"/>
                      <w:lang w:val="en-US" w:eastAsia="zh-CN"/>
                    </w:rPr>
                  </w:pPr>
                  <w:r>
                    <w:rPr>
                      <w:rFonts w:hint="eastAsia"/>
                      <w:color w:val="auto"/>
                      <w:lang w:val="en-US" w:eastAsia="zh-CN"/>
                    </w:rPr>
                    <w:t>200</w:t>
                  </w:r>
                </w:p>
              </w:tc>
              <w:tc>
                <w:tcPr>
                  <w:tcW w:w="1056" w:type="pct"/>
                  <w:vMerge w:val="continue"/>
                  <w:tcBorders>
                    <w:tl2br w:val="nil"/>
                    <w:tr2bl w:val="nil"/>
                  </w:tcBorders>
                  <w:vAlign w:val="center"/>
                </w:tcPr>
                <w:p w14:paraId="307EAF4B">
                  <w:pPr>
                    <w:pStyle w:val="45"/>
                    <w:bidi w:val="0"/>
                    <w:rPr>
                      <w:rFonts w:hint="default"/>
                      <w:color w:val="auto"/>
                    </w:rPr>
                  </w:pPr>
                </w:p>
              </w:tc>
            </w:tr>
            <w:tr w14:paraId="360F32C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776" w:type="pct"/>
                  <w:vMerge w:val="restart"/>
                  <w:tcBorders>
                    <w:tl2br w:val="nil"/>
                    <w:tr2bl w:val="nil"/>
                  </w:tcBorders>
                  <w:vAlign w:val="center"/>
                </w:tcPr>
                <w:p w14:paraId="4EEA12B7">
                  <w:pPr>
                    <w:pStyle w:val="45"/>
                    <w:bidi w:val="0"/>
                    <w:rPr>
                      <w:rFonts w:hint="default"/>
                      <w:color w:val="auto"/>
                    </w:rPr>
                  </w:pPr>
                  <w:r>
                    <w:rPr>
                      <w:rFonts w:hint="eastAsia"/>
                      <w:color w:val="auto"/>
                      <w:lang w:val="en-US" w:eastAsia="zh-CN"/>
                    </w:rPr>
                    <w:t>NOx</w:t>
                  </w:r>
                </w:p>
              </w:tc>
              <w:tc>
                <w:tcPr>
                  <w:tcW w:w="990" w:type="pct"/>
                  <w:tcBorders>
                    <w:tl2br w:val="nil"/>
                    <w:tr2bl w:val="nil"/>
                  </w:tcBorders>
                  <w:vAlign w:val="center"/>
                </w:tcPr>
                <w:p w14:paraId="4322B1A7">
                  <w:pPr>
                    <w:pStyle w:val="45"/>
                    <w:bidi w:val="0"/>
                    <w:ind w:firstLine="0" w:firstLineChars="0"/>
                    <w:rPr>
                      <w:rFonts w:hint="eastAsia"/>
                      <w:color w:val="auto"/>
                      <w:lang w:val="en-US" w:eastAsia="zh-CN"/>
                    </w:rPr>
                  </w:pPr>
                  <w:r>
                    <w:rPr>
                      <w:rFonts w:hint="eastAsia"/>
                      <w:color w:val="auto"/>
                      <w:lang w:val="en-US" w:eastAsia="zh-CN"/>
                    </w:rPr>
                    <w:t>年平均</w:t>
                  </w:r>
                </w:p>
              </w:tc>
              <w:tc>
                <w:tcPr>
                  <w:tcW w:w="601" w:type="pct"/>
                  <w:tcBorders>
                    <w:tl2br w:val="nil"/>
                    <w:tr2bl w:val="nil"/>
                  </w:tcBorders>
                  <w:vAlign w:val="center"/>
                </w:tcPr>
                <w:p w14:paraId="4396741F">
                  <w:pPr>
                    <w:pStyle w:val="45"/>
                    <w:bidi w:val="0"/>
                    <w:rPr>
                      <w:rFonts w:hint="default"/>
                      <w:color w:val="auto"/>
                      <w:lang w:val="en-US" w:eastAsia="zh-CN"/>
                    </w:rPr>
                  </w:pPr>
                  <w:r>
                    <w:rPr>
                      <w:rFonts w:hint="eastAsia"/>
                      <w:color w:val="auto"/>
                      <w:lang w:val="en-US" w:eastAsia="zh-CN"/>
                    </w:rPr>
                    <w:t>50</w:t>
                  </w:r>
                </w:p>
              </w:tc>
              <w:tc>
                <w:tcPr>
                  <w:tcW w:w="625" w:type="pct"/>
                  <w:tcBorders>
                    <w:tl2br w:val="nil"/>
                    <w:tr2bl w:val="nil"/>
                  </w:tcBorders>
                  <w:vAlign w:val="center"/>
                </w:tcPr>
                <w:p w14:paraId="7F3B1A6E">
                  <w:pPr>
                    <w:pStyle w:val="45"/>
                    <w:bidi w:val="0"/>
                    <w:ind w:firstLine="0" w:firstLineChars="0"/>
                    <w:rPr>
                      <w:rFonts w:hint="eastAsia"/>
                      <w:color w:val="auto"/>
                      <w:lang w:val="en-US" w:eastAsia="zh-CN"/>
                    </w:rPr>
                  </w:pPr>
                  <w:r>
                    <w:rPr>
                      <w:rFonts w:hint="eastAsia"/>
                      <w:color w:val="auto"/>
                      <w:lang w:val="en-US" w:eastAsia="zh-CN"/>
                    </w:rPr>
                    <w:t>50</w:t>
                  </w:r>
                </w:p>
              </w:tc>
              <w:tc>
                <w:tcPr>
                  <w:tcW w:w="474" w:type="pct"/>
                  <w:tcBorders>
                    <w:tl2br w:val="nil"/>
                    <w:tr2bl w:val="nil"/>
                  </w:tcBorders>
                  <w:vAlign w:val="center"/>
                </w:tcPr>
                <w:p w14:paraId="43D8D7AC">
                  <w:pPr>
                    <w:pStyle w:val="45"/>
                    <w:bidi w:val="0"/>
                    <w:rPr>
                      <w:rFonts w:hint="default"/>
                      <w:color w:val="auto"/>
                      <w:lang w:val="en-US" w:eastAsia="zh-CN"/>
                    </w:rPr>
                  </w:pPr>
                  <w:r>
                    <w:rPr>
                      <w:rFonts w:hint="eastAsia"/>
                      <w:color w:val="auto"/>
                      <w:lang w:val="en-US" w:eastAsia="zh-CN"/>
                    </w:rPr>
                    <w:t>40</w:t>
                  </w:r>
                </w:p>
              </w:tc>
              <w:tc>
                <w:tcPr>
                  <w:tcW w:w="474" w:type="pct"/>
                  <w:tcBorders>
                    <w:tl2br w:val="nil"/>
                    <w:tr2bl w:val="nil"/>
                  </w:tcBorders>
                  <w:vAlign w:val="center"/>
                </w:tcPr>
                <w:p w14:paraId="01AE1C22">
                  <w:pPr>
                    <w:pStyle w:val="45"/>
                    <w:bidi w:val="0"/>
                    <w:ind w:firstLine="0" w:firstLineChars="0"/>
                    <w:rPr>
                      <w:rFonts w:hint="default"/>
                      <w:color w:val="auto"/>
                      <w:lang w:val="en-US" w:eastAsia="zh-CN"/>
                    </w:rPr>
                  </w:pPr>
                  <w:r>
                    <w:rPr>
                      <w:rFonts w:hint="eastAsia"/>
                      <w:color w:val="auto"/>
                      <w:lang w:val="en-US" w:eastAsia="zh-CN"/>
                    </w:rPr>
                    <w:t>40</w:t>
                  </w:r>
                </w:p>
              </w:tc>
              <w:tc>
                <w:tcPr>
                  <w:tcW w:w="1056" w:type="pct"/>
                  <w:vMerge w:val="continue"/>
                  <w:tcBorders>
                    <w:tl2br w:val="nil"/>
                    <w:tr2bl w:val="nil"/>
                  </w:tcBorders>
                  <w:vAlign w:val="center"/>
                </w:tcPr>
                <w:p w14:paraId="07169696">
                  <w:pPr>
                    <w:pStyle w:val="45"/>
                    <w:bidi w:val="0"/>
                    <w:rPr>
                      <w:rFonts w:hint="default"/>
                      <w:color w:val="auto"/>
                    </w:rPr>
                  </w:pPr>
                </w:p>
              </w:tc>
            </w:tr>
            <w:tr w14:paraId="45DCC1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5E8A887C">
                  <w:pPr>
                    <w:pStyle w:val="45"/>
                    <w:bidi w:val="0"/>
                    <w:rPr>
                      <w:rFonts w:hint="default"/>
                      <w:color w:val="auto"/>
                    </w:rPr>
                  </w:pPr>
                </w:p>
              </w:tc>
              <w:tc>
                <w:tcPr>
                  <w:tcW w:w="990" w:type="pct"/>
                  <w:tcBorders>
                    <w:tl2br w:val="nil"/>
                    <w:tr2bl w:val="nil"/>
                  </w:tcBorders>
                  <w:vAlign w:val="center"/>
                </w:tcPr>
                <w:p w14:paraId="5E11A242">
                  <w:pPr>
                    <w:pStyle w:val="45"/>
                    <w:bidi w:val="0"/>
                    <w:ind w:firstLine="0" w:firstLineChars="0"/>
                    <w:rPr>
                      <w:rFonts w:hint="eastAsia"/>
                      <w:color w:val="auto"/>
                      <w:lang w:val="en-US" w:eastAsia="zh-CN"/>
                    </w:rPr>
                  </w:pPr>
                  <w:r>
                    <w:rPr>
                      <w:rFonts w:hint="eastAsia"/>
                      <w:color w:val="auto"/>
                      <w:lang w:val="en-US" w:eastAsia="zh-CN"/>
                    </w:rPr>
                    <w:t>日平均</w:t>
                  </w:r>
                </w:p>
              </w:tc>
              <w:tc>
                <w:tcPr>
                  <w:tcW w:w="601" w:type="pct"/>
                  <w:tcBorders>
                    <w:tl2br w:val="nil"/>
                    <w:tr2bl w:val="nil"/>
                  </w:tcBorders>
                  <w:vAlign w:val="center"/>
                </w:tcPr>
                <w:p w14:paraId="45775977">
                  <w:pPr>
                    <w:pStyle w:val="45"/>
                    <w:bidi w:val="0"/>
                    <w:rPr>
                      <w:rFonts w:hint="default"/>
                      <w:color w:val="auto"/>
                      <w:lang w:val="en-US" w:eastAsia="zh-CN"/>
                    </w:rPr>
                  </w:pPr>
                  <w:r>
                    <w:rPr>
                      <w:rFonts w:hint="eastAsia"/>
                      <w:color w:val="auto"/>
                      <w:lang w:val="en-US" w:eastAsia="zh-CN"/>
                    </w:rPr>
                    <w:t>100</w:t>
                  </w:r>
                </w:p>
              </w:tc>
              <w:tc>
                <w:tcPr>
                  <w:tcW w:w="625" w:type="pct"/>
                  <w:tcBorders>
                    <w:tl2br w:val="nil"/>
                    <w:tr2bl w:val="nil"/>
                  </w:tcBorders>
                  <w:vAlign w:val="center"/>
                </w:tcPr>
                <w:p w14:paraId="41DE0A36">
                  <w:pPr>
                    <w:pStyle w:val="45"/>
                    <w:bidi w:val="0"/>
                    <w:ind w:firstLine="0" w:firstLineChars="0"/>
                    <w:rPr>
                      <w:rFonts w:hint="eastAsia"/>
                      <w:color w:val="auto"/>
                      <w:lang w:val="en-US" w:eastAsia="zh-CN"/>
                    </w:rPr>
                  </w:pPr>
                  <w:r>
                    <w:rPr>
                      <w:rFonts w:hint="eastAsia"/>
                      <w:color w:val="auto"/>
                      <w:lang w:val="en-US" w:eastAsia="zh-CN"/>
                    </w:rPr>
                    <w:t>100</w:t>
                  </w:r>
                </w:p>
              </w:tc>
              <w:tc>
                <w:tcPr>
                  <w:tcW w:w="474" w:type="pct"/>
                  <w:tcBorders>
                    <w:tl2br w:val="nil"/>
                    <w:tr2bl w:val="nil"/>
                  </w:tcBorders>
                  <w:vAlign w:val="center"/>
                </w:tcPr>
                <w:p w14:paraId="4CEFFAAB">
                  <w:pPr>
                    <w:pStyle w:val="45"/>
                    <w:bidi w:val="0"/>
                    <w:rPr>
                      <w:rFonts w:hint="default"/>
                      <w:color w:val="auto"/>
                      <w:lang w:val="en-US" w:eastAsia="zh-CN"/>
                    </w:rPr>
                  </w:pPr>
                  <w:r>
                    <w:rPr>
                      <w:rFonts w:hint="eastAsia"/>
                      <w:color w:val="auto"/>
                      <w:lang w:val="en-US" w:eastAsia="zh-CN"/>
                    </w:rPr>
                    <w:t>70</w:t>
                  </w:r>
                </w:p>
              </w:tc>
              <w:tc>
                <w:tcPr>
                  <w:tcW w:w="474" w:type="pct"/>
                  <w:tcBorders>
                    <w:tl2br w:val="nil"/>
                    <w:tr2bl w:val="nil"/>
                  </w:tcBorders>
                  <w:vAlign w:val="center"/>
                </w:tcPr>
                <w:p w14:paraId="360B9118">
                  <w:pPr>
                    <w:pStyle w:val="45"/>
                    <w:bidi w:val="0"/>
                    <w:ind w:firstLine="0" w:firstLineChars="0"/>
                    <w:rPr>
                      <w:rFonts w:hint="default"/>
                      <w:color w:val="auto"/>
                      <w:lang w:val="en-US" w:eastAsia="zh-CN"/>
                    </w:rPr>
                  </w:pPr>
                  <w:r>
                    <w:rPr>
                      <w:rFonts w:hint="eastAsia"/>
                      <w:color w:val="auto"/>
                      <w:lang w:val="en-US" w:eastAsia="zh-CN"/>
                    </w:rPr>
                    <w:t>70</w:t>
                  </w:r>
                </w:p>
              </w:tc>
              <w:tc>
                <w:tcPr>
                  <w:tcW w:w="1056" w:type="pct"/>
                  <w:vMerge w:val="continue"/>
                  <w:tcBorders>
                    <w:tl2br w:val="nil"/>
                    <w:tr2bl w:val="nil"/>
                  </w:tcBorders>
                  <w:vAlign w:val="center"/>
                </w:tcPr>
                <w:p w14:paraId="0FBE633F">
                  <w:pPr>
                    <w:pStyle w:val="45"/>
                    <w:bidi w:val="0"/>
                    <w:rPr>
                      <w:rFonts w:hint="default"/>
                      <w:color w:val="auto"/>
                    </w:rPr>
                  </w:pPr>
                </w:p>
              </w:tc>
            </w:tr>
            <w:tr w14:paraId="3E5C882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16B2B173">
                  <w:pPr>
                    <w:pStyle w:val="45"/>
                    <w:bidi w:val="0"/>
                    <w:rPr>
                      <w:rFonts w:hint="default"/>
                      <w:color w:val="auto"/>
                    </w:rPr>
                  </w:pPr>
                </w:p>
              </w:tc>
              <w:tc>
                <w:tcPr>
                  <w:tcW w:w="990" w:type="pct"/>
                  <w:tcBorders>
                    <w:tl2br w:val="nil"/>
                    <w:tr2bl w:val="nil"/>
                  </w:tcBorders>
                  <w:vAlign w:val="center"/>
                </w:tcPr>
                <w:p w14:paraId="335B56E4">
                  <w:pPr>
                    <w:pStyle w:val="45"/>
                    <w:bidi w:val="0"/>
                    <w:ind w:firstLine="0" w:firstLineChars="0"/>
                    <w:rPr>
                      <w:rFonts w:hint="eastAsia"/>
                      <w:color w:val="auto"/>
                      <w:lang w:val="en-US" w:eastAsia="zh-CN"/>
                    </w:rPr>
                  </w:pPr>
                  <w:r>
                    <w:rPr>
                      <w:rFonts w:hint="eastAsia"/>
                      <w:color w:val="auto"/>
                      <w:lang w:val="en-US" w:eastAsia="zh-CN"/>
                    </w:rPr>
                    <w:t>1小时平均</w:t>
                  </w:r>
                </w:p>
              </w:tc>
              <w:tc>
                <w:tcPr>
                  <w:tcW w:w="601" w:type="pct"/>
                  <w:tcBorders>
                    <w:tl2br w:val="nil"/>
                    <w:tr2bl w:val="nil"/>
                  </w:tcBorders>
                  <w:vAlign w:val="center"/>
                </w:tcPr>
                <w:p w14:paraId="6EAA53EC">
                  <w:pPr>
                    <w:pStyle w:val="45"/>
                    <w:bidi w:val="0"/>
                    <w:rPr>
                      <w:rFonts w:hint="default"/>
                      <w:color w:val="auto"/>
                      <w:lang w:val="en-US" w:eastAsia="zh-CN"/>
                    </w:rPr>
                  </w:pPr>
                  <w:r>
                    <w:rPr>
                      <w:rFonts w:hint="eastAsia"/>
                      <w:color w:val="auto"/>
                      <w:lang w:val="en-US" w:eastAsia="zh-CN"/>
                    </w:rPr>
                    <w:t>250</w:t>
                  </w:r>
                </w:p>
              </w:tc>
              <w:tc>
                <w:tcPr>
                  <w:tcW w:w="625" w:type="pct"/>
                  <w:tcBorders>
                    <w:tl2br w:val="nil"/>
                    <w:tr2bl w:val="nil"/>
                  </w:tcBorders>
                  <w:vAlign w:val="center"/>
                </w:tcPr>
                <w:p w14:paraId="2971A764">
                  <w:pPr>
                    <w:pStyle w:val="45"/>
                    <w:bidi w:val="0"/>
                    <w:ind w:firstLine="0" w:firstLineChars="0"/>
                    <w:rPr>
                      <w:rFonts w:hint="eastAsia"/>
                      <w:color w:val="auto"/>
                      <w:lang w:val="en-US" w:eastAsia="zh-CN"/>
                    </w:rPr>
                  </w:pPr>
                  <w:r>
                    <w:rPr>
                      <w:rFonts w:hint="eastAsia"/>
                      <w:color w:val="auto"/>
                      <w:lang w:val="en-US" w:eastAsia="zh-CN"/>
                    </w:rPr>
                    <w:t>250</w:t>
                  </w:r>
                </w:p>
              </w:tc>
              <w:tc>
                <w:tcPr>
                  <w:tcW w:w="474" w:type="pct"/>
                  <w:tcBorders>
                    <w:tl2br w:val="nil"/>
                    <w:tr2bl w:val="nil"/>
                  </w:tcBorders>
                  <w:vAlign w:val="center"/>
                </w:tcPr>
                <w:p w14:paraId="6E54D1A2">
                  <w:pPr>
                    <w:pStyle w:val="45"/>
                    <w:bidi w:val="0"/>
                    <w:rPr>
                      <w:rFonts w:hint="default"/>
                      <w:color w:val="auto"/>
                      <w:lang w:val="en-US" w:eastAsia="zh-CN"/>
                    </w:rPr>
                  </w:pPr>
                  <w:r>
                    <w:rPr>
                      <w:rFonts w:hint="eastAsia"/>
                      <w:color w:val="auto"/>
                      <w:lang w:val="en-US" w:eastAsia="zh-CN"/>
                    </w:rPr>
                    <w:t>250</w:t>
                  </w:r>
                </w:p>
              </w:tc>
              <w:tc>
                <w:tcPr>
                  <w:tcW w:w="474" w:type="pct"/>
                  <w:tcBorders>
                    <w:tl2br w:val="nil"/>
                    <w:tr2bl w:val="nil"/>
                  </w:tcBorders>
                  <w:vAlign w:val="center"/>
                </w:tcPr>
                <w:p w14:paraId="645BAB69">
                  <w:pPr>
                    <w:pStyle w:val="45"/>
                    <w:bidi w:val="0"/>
                    <w:ind w:firstLine="0" w:firstLineChars="0"/>
                    <w:rPr>
                      <w:rFonts w:hint="default"/>
                      <w:color w:val="auto"/>
                      <w:lang w:val="en-US" w:eastAsia="zh-CN"/>
                    </w:rPr>
                  </w:pPr>
                  <w:r>
                    <w:rPr>
                      <w:rFonts w:hint="eastAsia"/>
                      <w:color w:val="auto"/>
                      <w:lang w:val="en-US" w:eastAsia="zh-CN"/>
                    </w:rPr>
                    <w:t>250</w:t>
                  </w:r>
                </w:p>
              </w:tc>
              <w:tc>
                <w:tcPr>
                  <w:tcW w:w="1056" w:type="pct"/>
                  <w:vMerge w:val="continue"/>
                  <w:tcBorders>
                    <w:tl2br w:val="nil"/>
                    <w:tr2bl w:val="nil"/>
                  </w:tcBorders>
                  <w:vAlign w:val="center"/>
                </w:tcPr>
                <w:p w14:paraId="5189BDFF">
                  <w:pPr>
                    <w:pStyle w:val="45"/>
                    <w:bidi w:val="0"/>
                    <w:rPr>
                      <w:rFonts w:hint="default"/>
                      <w:color w:val="auto"/>
                    </w:rPr>
                  </w:pPr>
                </w:p>
              </w:tc>
            </w:tr>
            <w:tr w14:paraId="78A4814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restart"/>
                  <w:tcBorders>
                    <w:tl2br w:val="nil"/>
                    <w:tr2bl w:val="nil"/>
                  </w:tcBorders>
                  <w:vAlign w:val="center"/>
                </w:tcPr>
                <w:p w14:paraId="03048C28">
                  <w:pPr>
                    <w:pStyle w:val="45"/>
                    <w:bidi w:val="0"/>
                    <w:rPr>
                      <w:rFonts w:hint="default" w:eastAsia="宋体"/>
                      <w:color w:val="auto"/>
                      <w:lang w:val="en-US" w:eastAsia="zh-CN"/>
                    </w:rPr>
                  </w:pPr>
                  <w:r>
                    <w:rPr>
                      <w:rFonts w:hint="eastAsia"/>
                      <w:color w:val="auto"/>
                      <w:lang w:val="en-US" w:eastAsia="zh-CN"/>
                    </w:rPr>
                    <w:t>TSP</w:t>
                  </w:r>
                </w:p>
              </w:tc>
              <w:tc>
                <w:tcPr>
                  <w:tcW w:w="990" w:type="pct"/>
                  <w:tcBorders>
                    <w:tl2br w:val="nil"/>
                    <w:tr2bl w:val="nil"/>
                  </w:tcBorders>
                  <w:vAlign w:val="center"/>
                </w:tcPr>
                <w:p w14:paraId="08634089">
                  <w:pPr>
                    <w:pStyle w:val="45"/>
                    <w:bidi w:val="0"/>
                    <w:ind w:firstLine="0" w:firstLineChars="0"/>
                    <w:rPr>
                      <w:rFonts w:hint="eastAsia"/>
                      <w:color w:val="auto"/>
                      <w:lang w:val="en-US" w:eastAsia="zh-CN"/>
                    </w:rPr>
                  </w:pPr>
                  <w:r>
                    <w:rPr>
                      <w:rFonts w:hint="eastAsia"/>
                      <w:color w:val="auto"/>
                      <w:lang w:val="en-US" w:eastAsia="zh-CN"/>
                    </w:rPr>
                    <w:t>年平均</w:t>
                  </w:r>
                </w:p>
              </w:tc>
              <w:tc>
                <w:tcPr>
                  <w:tcW w:w="601" w:type="pct"/>
                  <w:tcBorders>
                    <w:tl2br w:val="nil"/>
                    <w:tr2bl w:val="nil"/>
                  </w:tcBorders>
                  <w:vAlign w:val="center"/>
                </w:tcPr>
                <w:p w14:paraId="78CF6B8A">
                  <w:pPr>
                    <w:pStyle w:val="45"/>
                    <w:bidi w:val="0"/>
                    <w:rPr>
                      <w:rFonts w:hint="default"/>
                      <w:color w:val="auto"/>
                      <w:lang w:val="en-US" w:eastAsia="zh-CN"/>
                    </w:rPr>
                  </w:pPr>
                  <w:r>
                    <w:rPr>
                      <w:rFonts w:hint="eastAsia"/>
                      <w:color w:val="auto"/>
                      <w:lang w:val="en-US" w:eastAsia="zh-CN"/>
                    </w:rPr>
                    <w:t>80</w:t>
                  </w:r>
                </w:p>
              </w:tc>
              <w:tc>
                <w:tcPr>
                  <w:tcW w:w="625" w:type="pct"/>
                  <w:tcBorders>
                    <w:tl2br w:val="nil"/>
                    <w:tr2bl w:val="nil"/>
                  </w:tcBorders>
                  <w:vAlign w:val="center"/>
                </w:tcPr>
                <w:p w14:paraId="41D8B43A">
                  <w:pPr>
                    <w:pStyle w:val="45"/>
                    <w:bidi w:val="0"/>
                    <w:ind w:firstLine="0" w:firstLineChars="0"/>
                    <w:rPr>
                      <w:rFonts w:hint="default"/>
                      <w:color w:val="auto"/>
                      <w:lang w:val="en-US" w:eastAsia="zh-CN"/>
                    </w:rPr>
                  </w:pPr>
                  <w:r>
                    <w:rPr>
                      <w:rFonts w:hint="eastAsia"/>
                      <w:color w:val="auto"/>
                      <w:lang w:val="en-US" w:eastAsia="zh-CN"/>
                    </w:rPr>
                    <w:t>200</w:t>
                  </w:r>
                </w:p>
              </w:tc>
              <w:tc>
                <w:tcPr>
                  <w:tcW w:w="474" w:type="pct"/>
                  <w:tcBorders>
                    <w:tl2br w:val="nil"/>
                    <w:tr2bl w:val="nil"/>
                  </w:tcBorders>
                  <w:vAlign w:val="center"/>
                </w:tcPr>
                <w:p w14:paraId="19B13BB3">
                  <w:pPr>
                    <w:pStyle w:val="45"/>
                    <w:bidi w:val="0"/>
                    <w:rPr>
                      <w:rFonts w:hint="default"/>
                      <w:color w:val="auto"/>
                      <w:lang w:val="en-US" w:eastAsia="zh-CN"/>
                    </w:rPr>
                  </w:pPr>
                  <w:r>
                    <w:rPr>
                      <w:rFonts w:hint="eastAsia"/>
                      <w:color w:val="auto"/>
                      <w:lang w:val="en-US" w:eastAsia="zh-CN"/>
                    </w:rPr>
                    <w:t>80</w:t>
                  </w:r>
                </w:p>
              </w:tc>
              <w:tc>
                <w:tcPr>
                  <w:tcW w:w="474" w:type="pct"/>
                  <w:tcBorders>
                    <w:tl2br w:val="nil"/>
                    <w:tr2bl w:val="nil"/>
                  </w:tcBorders>
                  <w:vAlign w:val="center"/>
                </w:tcPr>
                <w:p w14:paraId="17606C24">
                  <w:pPr>
                    <w:pStyle w:val="45"/>
                    <w:bidi w:val="0"/>
                    <w:ind w:firstLine="0" w:firstLineChars="0"/>
                    <w:rPr>
                      <w:rFonts w:hint="default"/>
                      <w:color w:val="auto"/>
                      <w:lang w:val="en-US" w:eastAsia="zh-CN"/>
                    </w:rPr>
                  </w:pPr>
                  <w:r>
                    <w:rPr>
                      <w:rFonts w:hint="eastAsia"/>
                      <w:color w:val="auto"/>
                      <w:lang w:val="en-US" w:eastAsia="zh-CN"/>
                    </w:rPr>
                    <w:t>200</w:t>
                  </w:r>
                </w:p>
              </w:tc>
              <w:tc>
                <w:tcPr>
                  <w:tcW w:w="1056" w:type="pct"/>
                  <w:vMerge w:val="continue"/>
                  <w:tcBorders>
                    <w:tl2br w:val="nil"/>
                    <w:tr2bl w:val="nil"/>
                  </w:tcBorders>
                  <w:vAlign w:val="center"/>
                </w:tcPr>
                <w:p w14:paraId="59658131">
                  <w:pPr>
                    <w:pStyle w:val="45"/>
                    <w:bidi w:val="0"/>
                    <w:rPr>
                      <w:rFonts w:hint="default"/>
                      <w:color w:val="auto"/>
                    </w:rPr>
                  </w:pPr>
                </w:p>
              </w:tc>
            </w:tr>
            <w:tr w14:paraId="39E46C6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76" w:type="pct"/>
                  <w:vMerge w:val="continue"/>
                  <w:tcBorders>
                    <w:tl2br w:val="nil"/>
                    <w:tr2bl w:val="nil"/>
                  </w:tcBorders>
                  <w:vAlign w:val="center"/>
                </w:tcPr>
                <w:p w14:paraId="4E4E8B55">
                  <w:pPr>
                    <w:pStyle w:val="45"/>
                    <w:bidi w:val="0"/>
                    <w:rPr>
                      <w:rFonts w:hint="default"/>
                      <w:color w:val="auto"/>
                    </w:rPr>
                  </w:pPr>
                </w:p>
              </w:tc>
              <w:tc>
                <w:tcPr>
                  <w:tcW w:w="990" w:type="pct"/>
                  <w:tcBorders>
                    <w:tl2br w:val="nil"/>
                    <w:tr2bl w:val="nil"/>
                  </w:tcBorders>
                  <w:vAlign w:val="center"/>
                </w:tcPr>
                <w:p w14:paraId="67D17E57">
                  <w:pPr>
                    <w:pStyle w:val="45"/>
                    <w:bidi w:val="0"/>
                    <w:ind w:firstLine="0" w:firstLineChars="0"/>
                    <w:rPr>
                      <w:rFonts w:hint="eastAsia"/>
                      <w:color w:val="auto"/>
                      <w:lang w:val="en-US" w:eastAsia="zh-CN"/>
                    </w:rPr>
                  </w:pPr>
                  <w:r>
                    <w:rPr>
                      <w:rFonts w:hint="eastAsia"/>
                      <w:color w:val="auto"/>
                      <w:lang w:val="en-US" w:eastAsia="zh-CN"/>
                    </w:rPr>
                    <w:t>日平均</w:t>
                  </w:r>
                </w:p>
              </w:tc>
              <w:tc>
                <w:tcPr>
                  <w:tcW w:w="601" w:type="pct"/>
                  <w:tcBorders>
                    <w:tl2br w:val="nil"/>
                    <w:tr2bl w:val="nil"/>
                  </w:tcBorders>
                  <w:vAlign w:val="center"/>
                </w:tcPr>
                <w:p w14:paraId="7C0694CD">
                  <w:pPr>
                    <w:pStyle w:val="45"/>
                    <w:bidi w:val="0"/>
                    <w:rPr>
                      <w:rFonts w:hint="default"/>
                      <w:color w:val="auto"/>
                      <w:lang w:val="en-US" w:eastAsia="zh-CN"/>
                    </w:rPr>
                  </w:pPr>
                  <w:r>
                    <w:rPr>
                      <w:rFonts w:hint="eastAsia"/>
                      <w:color w:val="auto"/>
                      <w:lang w:val="en-US" w:eastAsia="zh-CN"/>
                    </w:rPr>
                    <w:t>120</w:t>
                  </w:r>
                </w:p>
              </w:tc>
              <w:tc>
                <w:tcPr>
                  <w:tcW w:w="625" w:type="pct"/>
                  <w:tcBorders>
                    <w:tl2br w:val="nil"/>
                    <w:tr2bl w:val="nil"/>
                  </w:tcBorders>
                  <w:vAlign w:val="center"/>
                </w:tcPr>
                <w:p w14:paraId="69931834">
                  <w:pPr>
                    <w:pStyle w:val="45"/>
                    <w:bidi w:val="0"/>
                    <w:ind w:firstLine="0" w:firstLineChars="0"/>
                    <w:rPr>
                      <w:rFonts w:hint="default"/>
                      <w:color w:val="auto"/>
                      <w:lang w:val="en-US" w:eastAsia="zh-CN"/>
                    </w:rPr>
                  </w:pPr>
                  <w:r>
                    <w:rPr>
                      <w:rFonts w:hint="eastAsia"/>
                      <w:color w:val="auto"/>
                      <w:lang w:val="en-US" w:eastAsia="zh-CN"/>
                    </w:rPr>
                    <w:t>300</w:t>
                  </w:r>
                </w:p>
              </w:tc>
              <w:tc>
                <w:tcPr>
                  <w:tcW w:w="474" w:type="pct"/>
                  <w:tcBorders>
                    <w:tl2br w:val="nil"/>
                    <w:tr2bl w:val="nil"/>
                  </w:tcBorders>
                  <w:vAlign w:val="center"/>
                </w:tcPr>
                <w:p w14:paraId="72AA65F9">
                  <w:pPr>
                    <w:pStyle w:val="45"/>
                    <w:bidi w:val="0"/>
                    <w:rPr>
                      <w:rFonts w:hint="default"/>
                      <w:color w:val="auto"/>
                      <w:lang w:val="en-US" w:eastAsia="zh-CN"/>
                    </w:rPr>
                  </w:pPr>
                  <w:r>
                    <w:rPr>
                      <w:rFonts w:hint="eastAsia"/>
                      <w:color w:val="auto"/>
                      <w:lang w:val="en-US" w:eastAsia="zh-CN"/>
                    </w:rPr>
                    <w:t>120</w:t>
                  </w:r>
                </w:p>
              </w:tc>
              <w:tc>
                <w:tcPr>
                  <w:tcW w:w="474" w:type="pct"/>
                  <w:tcBorders>
                    <w:tl2br w:val="nil"/>
                    <w:tr2bl w:val="nil"/>
                  </w:tcBorders>
                  <w:vAlign w:val="center"/>
                </w:tcPr>
                <w:p w14:paraId="77B1D990">
                  <w:pPr>
                    <w:pStyle w:val="45"/>
                    <w:bidi w:val="0"/>
                    <w:ind w:firstLine="0" w:firstLineChars="0"/>
                    <w:rPr>
                      <w:rFonts w:hint="default"/>
                      <w:color w:val="auto"/>
                      <w:lang w:val="en-US" w:eastAsia="zh-CN"/>
                    </w:rPr>
                  </w:pPr>
                  <w:r>
                    <w:rPr>
                      <w:rFonts w:hint="eastAsia"/>
                      <w:color w:val="auto"/>
                      <w:lang w:val="en-US" w:eastAsia="zh-CN"/>
                    </w:rPr>
                    <w:t>300</w:t>
                  </w:r>
                </w:p>
              </w:tc>
              <w:tc>
                <w:tcPr>
                  <w:tcW w:w="1056" w:type="pct"/>
                  <w:vMerge w:val="continue"/>
                  <w:tcBorders>
                    <w:tl2br w:val="nil"/>
                    <w:tr2bl w:val="nil"/>
                  </w:tcBorders>
                  <w:vAlign w:val="center"/>
                </w:tcPr>
                <w:p w14:paraId="2A00C9F1">
                  <w:pPr>
                    <w:pStyle w:val="45"/>
                    <w:bidi w:val="0"/>
                    <w:rPr>
                      <w:rFonts w:hint="default"/>
                      <w:color w:val="auto"/>
                    </w:rPr>
                  </w:pPr>
                </w:p>
              </w:tc>
            </w:tr>
            <w:tr w14:paraId="109139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restart"/>
                  <w:tcBorders>
                    <w:tl2br w:val="nil"/>
                    <w:tr2bl w:val="nil"/>
                  </w:tcBorders>
                  <w:vAlign w:val="center"/>
                </w:tcPr>
                <w:p w14:paraId="49523531">
                  <w:pPr>
                    <w:pStyle w:val="45"/>
                    <w:bidi w:val="0"/>
                    <w:rPr>
                      <w:rFonts w:hint="default"/>
                      <w:color w:val="auto"/>
                    </w:rPr>
                  </w:pPr>
                  <w:r>
                    <w:rPr>
                      <w:rFonts w:hint="default"/>
                      <w:color w:val="auto"/>
                    </w:rPr>
                    <w:t>PM</w:t>
                  </w:r>
                  <w:r>
                    <w:rPr>
                      <w:rFonts w:hint="default"/>
                      <w:color w:val="auto"/>
                      <w:vertAlign w:val="subscript"/>
                    </w:rPr>
                    <w:t>10</w:t>
                  </w:r>
                </w:p>
              </w:tc>
              <w:tc>
                <w:tcPr>
                  <w:tcW w:w="990" w:type="pct"/>
                  <w:tcBorders>
                    <w:tl2br w:val="nil"/>
                    <w:tr2bl w:val="nil"/>
                  </w:tcBorders>
                  <w:vAlign w:val="center"/>
                </w:tcPr>
                <w:p w14:paraId="12C64972">
                  <w:pPr>
                    <w:pStyle w:val="45"/>
                    <w:bidi w:val="0"/>
                    <w:ind w:firstLine="0" w:firstLineChars="0"/>
                    <w:rPr>
                      <w:rFonts w:hint="default"/>
                      <w:color w:val="auto"/>
                    </w:rPr>
                  </w:pPr>
                  <w:r>
                    <w:rPr>
                      <w:rFonts w:hint="eastAsia"/>
                      <w:color w:val="auto"/>
                      <w:lang w:val="en-US" w:eastAsia="zh-CN"/>
                    </w:rPr>
                    <w:t>年平均</w:t>
                  </w:r>
                </w:p>
              </w:tc>
              <w:tc>
                <w:tcPr>
                  <w:tcW w:w="601" w:type="pct"/>
                  <w:tcBorders>
                    <w:tl2br w:val="nil"/>
                    <w:tr2bl w:val="nil"/>
                  </w:tcBorders>
                  <w:vAlign w:val="center"/>
                </w:tcPr>
                <w:p w14:paraId="5CE32C4D">
                  <w:pPr>
                    <w:pStyle w:val="45"/>
                    <w:bidi w:val="0"/>
                    <w:rPr>
                      <w:rFonts w:hint="default" w:eastAsia="宋体"/>
                      <w:color w:val="auto"/>
                      <w:lang w:val="en-US" w:eastAsia="zh-CN"/>
                    </w:rPr>
                  </w:pPr>
                  <w:r>
                    <w:rPr>
                      <w:rFonts w:hint="eastAsia"/>
                      <w:color w:val="auto"/>
                      <w:lang w:val="en-US" w:eastAsia="zh-CN"/>
                    </w:rPr>
                    <w:t>40</w:t>
                  </w:r>
                </w:p>
              </w:tc>
              <w:tc>
                <w:tcPr>
                  <w:tcW w:w="625" w:type="pct"/>
                  <w:tcBorders>
                    <w:tl2br w:val="nil"/>
                    <w:tr2bl w:val="nil"/>
                  </w:tcBorders>
                  <w:vAlign w:val="center"/>
                </w:tcPr>
                <w:p w14:paraId="0A6891E5">
                  <w:pPr>
                    <w:pStyle w:val="45"/>
                    <w:bidi w:val="0"/>
                    <w:ind w:firstLine="0" w:firstLineChars="0"/>
                    <w:rPr>
                      <w:rFonts w:hint="eastAsia"/>
                      <w:color w:val="auto"/>
                      <w:lang w:val="en-US" w:eastAsia="zh-CN"/>
                    </w:rPr>
                  </w:pPr>
                  <w:r>
                    <w:rPr>
                      <w:rFonts w:hint="eastAsia"/>
                      <w:color w:val="auto"/>
                      <w:lang w:val="en-US" w:eastAsia="zh-CN"/>
                    </w:rPr>
                    <w:t>60</w:t>
                  </w:r>
                </w:p>
              </w:tc>
              <w:tc>
                <w:tcPr>
                  <w:tcW w:w="474" w:type="pct"/>
                  <w:tcBorders>
                    <w:tl2br w:val="nil"/>
                    <w:tr2bl w:val="nil"/>
                  </w:tcBorders>
                  <w:vAlign w:val="center"/>
                </w:tcPr>
                <w:p w14:paraId="5A7E473D">
                  <w:pPr>
                    <w:pStyle w:val="45"/>
                    <w:bidi w:val="0"/>
                    <w:rPr>
                      <w:rFonts w:hint="default" w:eastAsia="宋体"/>
                      <w:color w:val="auto"/>
                      <w:lang w:val="en-US" w:eastAsia="zh-CN"/>
                    </w:rPr>
                  </w:pPr>
                  <w:r>
                    <w:rPr>
                      <w:rFonts w:hint="eastAsia"/>
                      <w:color w:val="auto"/>
                      <w:lang w:val="en-US" w:eastAsia="zh-CN"/>
                    </w:rPr>
                    <w:t>20</w:t>
                  </w:r>
                </w:p>
              </w:tc>
              <w:tc>
                <w:tcPr>
                  <w:tcW w:w="474" w:type="pct"/>
                  <w:tcBorders>
                    <w:tl2br w:val="nil"/>
                    <w:tr2bl w:val="nil"/>
                  </w:tcBorders>
                  <w:vAlign w:val="center"/>
                </w:tcPr>
                <w:p w14:paraId="1B51EC2E">
                  <w:pPr>
                    <w:pStyle w:val="45"/>
                    <w:bidi w:val="0"/>
                    <w:ind w:firstLine="0" w:firstLineChars="0"/>
                    <w:rPr>
                      <w:rFonts w:hint="eastAsia"/>
                      <w:color w:val="auto"/>
                      <w:lang w:val="en-US" w:eastAsia="zh-CN"/>
                    </w:rPr>
                  </w:pPr>
                  <w:r>
                    <w:rPr>
                      <w:rFonts w:hint="eastAsia"/>
                      <w:color w:val="auto"/>
                      <w:lang w:val="en-US" w:eastAsia="zh-CN"/>
                    </w:rPr>
                    <w:t>50</w:t>
                  </w:r>
                </w:p>
              </w:tc>
              <w:tc>
                <w:tcPr>
                  <w:tcW w:w="1056" w:type="pct"/>
                  <w:vMerge w:val="continue"/>
                  <w:tcBorders>
                    <w:tl2br w:val="nil"/>
                    <w:tr2bl w:val="nil"/>
                  </w:tcBorders>
                  <w:vAlign w:val="center"/>
                </w:tcPr>
                <w:p w14:paraId="3CEAE41A">
                  <w:pPr>
                    <w:pStyle w:val="45"/>
                    <w:bidi w:val="0"/>
                    <w:rPr>
                      <w:rFonts w:hint="default"/>
                      <w:color w:val="auto"/>
                    </w:rPr>
                  </w:pPr>
                </w:p>
              </w:tc>
            </w:tr>
            <w:tr w14:paraId="1DECC63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continue"/>
                  <w:tcBorders>
                    <w:tl2br w:val="nil"/>
                    <w:tr2bl w:val="nil"/>
                  </w:tcBorders>
                  <w:vAlign w:val="center"/>
                </w:tcPr>
                <w:p w14:paraId="2647821F">
                  <w:pPr>
                    <w:pStyle w:val="45"/>
                    <w:bidi w:val="0"/>
                  </w:pPr>
                </w:p>
              </w:tc>
              <w:tc>
                <w:tcPr>
                  <w:tcW w:w="990" w:type="pct"/>
                  <w:tcBorders>
                    <w:tl2br w:val="nil"/>
                    <w:tr2bl w:val="nil"/>
                  </w:tcBorders>
                  <w:vAlign w:val="center"/>
                </w:tcPr>
                <w:p w14:paraId="6ABC070F">
                  <w:pPr>
                    <w:pStyle w:val="45"/>
                    <w:bidi w:val="0"/>
                    <w:ind w:firstLine="0" w:firstLineChars="0"/>
                    <w:rPr>
                      <w:rFonts w:hint="default"/>
                      <w:color w:val="auto"/>
                    </w:rPr>
                  </w:pPr>
                  <w:r>
                    <w:rPr>
                      <w:rFonts w:hint="eastAsia"/>
                      <w:color w:val="auto"/>
                      <w:lang w:val="en-US" w:eastAsia="zh-CN"/>
                    </w:rPr>
                    <w:t>日平均</w:t>
                  </w:r>
                </w:p>
              </w:tc>
              <w:tc>
                <w:tcPr>
                  <w:tcW w:w="601" w:type="pct"/>
                  <w:tcBorders>
                    <w:tl2br w:val="nil"/>
                    <w:tr2bl w:val="nil"/>
                  </w:tcBorders>
                  <w:vAlign w:val="center"/>
                </w:tcPr>
                <w:p w14:paraId="6FDBD2E6">
                  <w:pPr>
                    <w:pStyle w:val="45"/>
                    <w:bidi w:val="0"/>
                    <w:rPr>
                      <w:rFonts w:hint="default" w:eastAsia="宋体"/>
                      <w:color w:val="auto"/>
                      <w:lang w:val="en-US" w:eastAsia="zh-CN"/>
                    </w:rPr>
                  </w:pPr>
                  <w:r>
                    <w:rPr>
                      <w:rFonts w:hint="eastAsia"/>
                      <w:color w:val="auto"/>
                      <w:lang w:val="en-US" w:eastAsia="zh-CN"/>
                    </w:rPr>
                    <w:t>50</w:t>
                  </w:r>
                </w:p>
              </w:tc>
              <w:tc>
                <w:tcPr>
                  <w:tcW w:w="625" w:type="pct"/>
                  <w:tcBorders>
                    <w:tl2br w:val="nil"/>
                    <w:tr2bl w:val="nil"/>
                  </w:tcBorders>
                  <w:vAlign w:val="center"/>
                </w:tcPr>
                <w:p w14:paraId="60AA3B66">
                  <w:pPr>
                    <w:pStyle w:val="45"/>
                    <w:bidi w:val="0"/>
                    <w:ind w:firstLine="0" w:firstLineChars="0"/>
                    <w:rPr>
                      <w:rFonts w:hint="eastAsia"/>
                      <w:color w:val="auto"/>
                      <w:lang w:val="en-US" w:eastAsia="zh-CN"/>
                    </w:rPr>
                  </w:pPr>
                  <w:r>
                    <w:rPr>
                      <w:rFonts w:hint="eastAsia"/>
                      <w:color w:val="auto"/>
                      <w:lang w:val="en-US" w:eastAsia="zh-CN"/>
                    </w:rPr>
                    <w:t>120</w:t>
                  </w:r>
                </w:p>
              </w:tc>
              <w:tc>
                <w:tcPr>
                  <w:tcW w:w="474" w:type="pct"/>
                  <w:tcBorders>
                    <w:tl2br w:val="nil"/>
                    <w:tr2bl w:val="nil"/>
                  </w:tcBorders>
                  <w:vAlign w:val="center"/>
                </w:tcPr>
                <w:p w14:paraId="15D16A85">
                  <w:pPr>
                    <w:pStyle w:val="45"/>
                    <w:bidi w:val="0"/>
                    <w:rPr>
                      <w:rFonts w:hint="default" w:eastAsia="宋体"/>
                      <w:color w:val="auto"/>
                      <w:lang w:val="en-US" w:eastAsia="zh-CN"/>
                    </w:rPr>
                  </w:pPr>
                  <w:r>
                    <w:rPr>
                      <w:rFonts w:hint="eastAsia"/>
                      <w:color w:val="auto"/>
                      <w:lang w:val="en-US" w:eastAsia="zh-CN"/>
                    </w:rPr>
                    <w:t>50</w:t>
                  </w:r>
                </w:p>
              </w:tc>
              <w:tc>
                <w:tcPr>
                  <w:tcW w:w="474" w:type="pct"/>
                  <w:tcBorders>
                    <w:tl2br w:val="nil"/>
                    <w:tr2bl w:val="nil"/>
                  </w:tcBorders>
                  <w:vAlign w:val="center"/>
                </w:tcPr>
                <w:p w14:paraId="7C75B0C6">
                  <w:pPr>
                    <w:pStyle w:val="45"/>
                    <w:bidi w:val="0"/>
                    <w:ind w:firstLine="0" w:firstLineChars="0"/>
                    <w:rPr>
                      <w:rFonts w:hint="eastAsia"/>
                      <w:color w:val="auto"/>
                      <w:lang w:val="en-US" w:eastAsia="zh-CN"/>
                    </w:rPr>
                  </w:pPr>
                  <w:r>
                    <w:rPr>
                      <w:rFonts w:hint="eastAsia"/>
                      <w:color w:val="auto"/>
                      <w:lang w:val="en-US" w:eastAsia="zh-CN"/>
                    </w:rPr>
                    <w:t>100</w:t>
                  </w:r>
                </w:p>
              </w:tc>
              <w:tc>
                <w:tcPr>
                  <w:tcW w:w="1056" w:type="pct"/>
                  <w:vMerge w:val="continue"/>
                  <w:tcBorders>
                    <w:tl2br w:val="nil"/>
                    <w:tr2bl w:val="nil"/>
                  </w:tcBorders>
                  <w:vAlign w:val="center"/>
                </w:tcPr>
                <w:p w14:paraId="729F1EC4">
                  <w:pPr>
                    <w:pStyle w:val="45"/>
                    <w:bidi w:val="0"/>
                    <w:rPr>
                      <w:rFonts w:hint="default"/>
                      <w:color w:val="auto"/>
                    </w:rPr>
                  </w:pPr>
                </w:p>
              </w:tc>
            </w:tr>
            <w:tr w14:paraId="693D277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restart"/>
                  <w:tcBorders>
                    <w:tl2br w:val="nil"/>
                    <w:tr2bl w:val="nil"/>
                  </w:tcBorders>
                  <w:vAlign w:val="center"/>
                </w:tcPr>
                <w:p w14:paraId="7FBCBC2D">
                  <w:pPr>
                    <w:pStyle w:val="45"/>
                    <w:bidi w:val="0"/>
                    <w:rPr>
                      <w:rFonts w:hint="default"/>
                      <w:color w:val="auto"/>
                    </w:rPr>
                  </w:pPr>
                  <w:r>
                    <w:rPr>
                      <w:rFonts w:hint="default"/>
                      <w:color w:val="auto"/>
                    </w:rPr>
                    <w:t>PM</w:t>
                  </w:r>
                  <w:r>
                    <w:rPr>
                      <w:rFonts w:hint="default"/>
                      <w:color w:val="auto"/>
                      <w:vertAlign w:val="subscript"/>
                    </w:rPr>
                    <w:t>2.5</w:t>
                  </w:r>
                </w:p>
              </w:tc>
              <w:tc>
                <w:tcPr>
                  <w:tcW w:w="990" w:type="pct"/>
                  <w:tcBorders>
                    <w:tl2br w:val="nil"/>
                    <w:tr2bl w:val="nil"/>
                  </w:tcBorders>
                  <w:vAlign w:val="center"/>
                </w:tcPr>
                <w:p w14:paraId="4C05A5DD">
                  <w:pPr>
                    <w:pStyle w:val="45"/>
                    <w:bidi w:val="0"/>
                    <w:ind w:firstLine="0" w:firstLineChars="0"/>
                    <w:rPr>
                      <w:rFonts w:hint="default"/>
                      <w:color w:val="auto"/>
                    </w:rPr>
                  </w:pPr>
                  <w:r>
                    <w:rPr>
                      <w:rFonts w:hint="eastAsia"/>
                      <w:color w:val="auto"/>
                      <w:lang w:val="en-US" w:eastAsia="zh-CN"/>
                    </w:rPr>
                    <w:t>年平均</w:t>
                  </w:r>
                </w:p>
              </w:tc>
              <w:tc>
                <w:tcPr>
                  <w:tcW w:w="601" w:type="pct"/>
                  <w:tcBorders>
                    <w:tl2br w:val="nil"/>
                    <w:tr2bl w:val="nil"/>
                  </w:tcBorders>
                  <w:vAlign w:val="center"/>
                </w:tcPr>
                <w:p w14:paraId="758A0FA3">
                  <w:pPr>
                    <w:pStyle w:val="45"/>
                    <w:bidi w:val="0"/>
                    <w:rPr>
                      <w:rFonts w:hint="default" w:eastAsia="宋体"/>
                      <w:color w:val="auto"/>
                      <w:lang w:val="en-US" w:eastAsia="zh-CN"/>
                    </w:rPr>
                  </w:pPr>
                  <w:r>
                    <w:rPr>
                      <w:rFonts w:hint="eastAsia"/>
                      <w:color w:val="auto"/>
                      <w:lang w:val="en-US" w:eastAsia="zh-CN"/>
                    </w:rPr>
                    <w:t>15</w:t>
                  </w:r>
                </w:p>
              </w:tc>
              <w:tc>
                <w:tcPr>
                  <w:tcW w:w="625" w:type="pct"/>
                  <w:tcBorders>
                    <w:tl2br w:val="nil"/>
                    <w:tr2bl w:val="nil"/>
                  </w:tcBorders>
                  <w:vAlign w:val="center"/>
                </w:tcPr>
                <w:p w14:paraId="5006EC95">
                  <w:pPr>
                    <w:pStyle w:val="45"/>
                    <w:bidi w:val="0"/>
                    <w:ind w:firstLine="0" w:firstLineChars="0"/>
                    <w:rPr>
                      <w:rFonts w:hint="eastAsia"/>
                      <w:color w:val="auto"/>
                      <w:lang w:val="en-US" w:eastAsia="zh-CN"/>
                    </w:rPr>
                  </w:pPr>
                  <w:r>
                    <w:rPr>
                      <w:rFonts w:hint="eastAsia"/>
                      <w:color w:val="auto"/>
                      <w:lang w:val="en-US" w:eastAsia="zh-CN"/>
                    </w:rPr>
                    <w:t>30</w:t>
                  </w:r>
                </w:p>
              </w:tc>
              <w:tc>
                <w:tcPr>
                  <w:tcW w:w="474" w:type="pct"/>
                  <w:tcBorders>
                    <w:tl2br w:val="nil"/>
                    <w:tr2bl w:val="nil"/>
                  </w:tcBorders>
                  <w:vAlign w:val="center"/>
                </w:tcPr>
                <w:p w14:paraId="1381832B">
                  <w:pPr>
                    <w:pStyle w:val="45"/>
                    <w:bidi w:val="0"/>
                    <w:rPr>
                      <w:rFonts w:hint="default" w:eastAsia="宋体"/>
                      <w:color w:val="auto"/>
                      <w:lang w:val="en-US" w:eastAsia="zh-CN"/>
                    </w:rPr>
                  </w:pPr>
                  <w:r>
                    <w:rPr>
                      <w:rFonts w:hint="eastAsia"/>
                      <w:color w:val="auto"/>
                      <w:lang w:val="en-US" w:eastAsia="zh-CN"/>
                    </w:rPr>
                    <w:t>10</w:t>
                  </w:r>
                </w:p>
              </w:tc>
              <w:tc>
                <w:tcPr>
                  <w:tcW w:w="474" w:type="pct"/>
                  <w:tcBorders>
                    <w:tl2br w:val="nil"/>
                    <w:tr2bl w:val="nil"/>
                  </w:tcBorders>
                  <w:vAlign w:val="center"/>
                </w:tcPr>
                <w:p w14:paraId="3B3891BE">
                  <w:pPr>
                    <w:pStyle w:val="45"/>
                    <w:bidi w:val="0"/>
                    <w:ind w:firstLine="0" w:firstLineChars="0"/>
                    <w:rPr>
                      <w:rFonts w:hint="eastAsia"/>
                      <w:color w:val="auto"/>
                      <w:lang w:val="en-US" w:eastAsia="zh-CN"/>
                    </w:rPr>
                  </w:pPr>
                  <w:r>
                    <w:rPr>
                      <w:rFonts w:hint="eastAsia"/>
                      <w:color w:val="auto"/>
                      <w:lang w:val="en-US" w:eastAsia="zh-CN"/>
                    </w:rPr>
                    <w:t>25</w:t>
                  </w:r>
                </w:p>
              </w:tc>
              <w:tc>
                <w:tcPr>
                  <w:tcW w:w="1056" w:type="pct"/>
                  <w:vMerge w:val="continue"/>
                  <w:tcBorders>
                    <w:tl2br w:val="nil"/>
                    <w:tr2bl w:val="nil"/>
                  </w:tcBorders>
                  <w:vAlign w:val="center"/>
                </w:tcPr>
                <w:p w14:paraId="46BCD3B2">
                  <w:pPr>
                    <w:pStyle w:val="45"/>
                    <w:bidi w:val="0"/>
                    <w:rPr>
                      <w:rFonts w:hint="default"/>
                      <w:color w:val="auto"/>
                    </w:rPr>
                  </w:pPr>
                </w:p>
              </w:tc>
            </w:tr>
            <w:tr w14:paraId="0A1C1E5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continue"/>
                  <w:tcBorders>
                    <w:tl2br w:val="nil"/>
                    <w:tr2bl w:val="nil"/>
                  </w:tcBorders>
                  <w:vAlign w:val="center"/>
                </w:tcPr>
                <w:p w14:paraId="7745519E">
                  <w:pPr>
                    <w:pStyle w:val="45"/>
                    <w:bidi w:val="0"/>
                  </w:pPr>
                </w:p>
              </w:tc>
              <w:tc>
                <w:tcPr>
                  <w:tcW w:w="990" w:type="pct"/>
                  <w:tcBorders>
                    <w:tl2br w:val="nil"/>
                    <w:tr2bl w:val="nil"/>
                  </w:tcBorders>
                  <w:vAlign w:val="center"/>
                </w:tcPr>
                <w:p w14:paraId="1FD11B3B">
                  <w:pPr>
                    <w:pStyle w:val="45"/>
                    <w:bidi w:val="0"/>
                    <w:ind w:firstLine="0" w:firstLineChars="0"/>
                    <w:rPr>
                      <w:rFonts w:hint="default"/>
                      <w:color w:val="auto"/>
                    </w:rPr>
                  </w:pPr>
                  <w:r>
                    <w:rPr>
                      <w:rFonts w:hint="eastAsia"/>
                      <w:color w:val="auto"/>
                      <w:lang w:val="en-US" w:eastAsia="zh-CN"/>
                    </w:rPr>
                    <w:t>日平均</w:t>
                  </w:r>
                </w:p>
              </w:tc>
              <w:tc>
                <w:tcPr>
                  <w:tcW w:w="601" w:type="pct"/>
                  <w:tcBorders>
                    <w:tl2br w:val="nil"/>
                    <w:tr2bl w:val="nil"/>
                  </w:tcBorders>
                  <w:vAlign w:val="center"/>
                </w:tcPr>
                <w:p w14:paraId="08949C02">
                  <w:pPr>
                    <w:pStyle w:val="45"/>
                    <w:bidi w:val="0"/>
                    <w:rPr>
                      <w:rFonts w:hint="default" w:eastAsia="宋体"/>
                      <w:color w:val="auto"/>
                      <w:lang w:val="en-US" w:eastAsia="zh-CN"/>
                    </w:rPr>
                  </w:pPr>
                  <w:r>
                    <w:rPr>
                      <w:rFonts w:hint="eastAsia"/>
                      <w:color w:val="auto"/>
                      <w:lang w:val="en-US" w:eastAsia="zh-CN"/>
                    </w:rPr>
                    <w:t>35</w:t>
                  </w:r>
                </w:p>
              </w:tc>
              <w:tc>
                <w:tcPr>
                  <w:tcW w:w="625" w:type="pct"/>
                  <w:tcBorders>
                    <w:tl2br w:val="nil"/>
                    <w:tr2bl w:val="nil"/>
                  </w:tcBorders>
                  <w:vAlign w:val="center"/>
                </w:tcPr>
                <w:p w14:paraId="4EB349B5">
                  <w:pPr>
                    <w:pStyle w:val="45"/>
                    <w:bidi w:val="0"/>
                    <w:ind w:firstLine="0" w:firstLineChars="0"/>
                    <w:rPr>
                      <w:rFonts w:hint="eastAsia"/>
                      <w:color w:val="auto"/>
                      <w:lang w:val="en-US" w:eastAsia="zh-CN"/>
                    </w:rPr>
                  </w:pPr>
                  <w:r>
                    <w:rPr>
                      <w:rFonts w:hint="eastAsia"/>
                      <w:color w:val="auto"/>
                      <w:lang w:val="en-US" w:eastAsia="zh-CN"/>
                    </w:rPr>
                    <w:t>60</w:t>
                  </w:r>
                </w:p>
              </w:tc>
              <w:tc>
                <w:tcPr>
                  <w:tcW w:w="474" w:type="pct"/>
                  <w:tcBorders>
                    <w:tl2br w:val="nil"/>
                    <w:tr2bl w:val="nil"/>
                  </w:tcBorders>
                  <w:vAlign w:val="center"/>
                </w:tcPr>
                <w:p w14:paraId="6FF1A85B">
                  <w:pPr>
                    <w:pStyle w:val="45"/>
                    <w:bidi w:val="0"/>
                    <w:rPr>
                      <w:rFonts w:hint="default" w:eastAsia="宋体"/>
                      <w:color w:val="auto"/>
                      <w:lang w:val="en-US" w:eastAsia="zh-CN"/>
                    </w:rPr>
                  </w:pPr>
                  <w:r>
                    <w:rPr>
                      <w:rFonts w:hint="eastAsia"/>
                      <w:color w:val="auto"/>
                      <w:lang w:val="en-US" w:eastAsia="zh-CN"/>
                    </w:rPr>
                    <w:t>25</w:t>
                  </w:r>
                </w:p>
              </w:tc>
              <w:tc>
                <w:tcPr>
                  <w:tcW w:w="474" w:type="pct"/>
                  <w:tcBorders>
                    <w:tl2br w:val="nil"/>
                    <w:tr2bl w:val="nil"/>
                  </w:tcBorders>
                  <w:vAlign w:val="center"/>
                </w:tcPr>
                <w:p w14:paraId="7E670109">
                  <w:pPr>
                    <w:pStyle w:val="45"/>
                    <w:bidi w:val="0"/>
                    <w:ind w:firstLine="0" w:firstLineChars="0"/>
                    <w:rPr>
                      <w:rFonts w:hint="eastAsia"/>
                      <w:color w:val="auto"/>
                      <w:lang w:val="en-US" w:eastAsia="zh-CN"/>
                    </w:rPr>
                  </w:pPr>
                  <w:r>
                    <w:rPr>
                      <w:rFonts w:hint="eastAsia"/>
                      <w:color w:val="auto"/>
                      <w:lang w:val="en-US" w:eastAsia="zh-CN"/>
                    </w:rPr>
                    <w:t>50</w:t>
                  </w:r>
                </w:p>
              </w:tc>
              <w:tc>
                <w:tcPr>
                  <w:tcW w:w="1056" w:type="pct"/>
                  <w:vMerge w:val="continue"/>
                  <w:tcBorders>
                    <w:tl2br w:val="nil"/>
                    <w:tr2bl w:val="nil"/>
                  </w:tcBorders>
                  <w:vAlign w:val="center"/>
                </w:tcPr>
                <w:p w14:paraId="2EC9E132">
                  <w:pPr>
                    <w:pStyle w:val="45"/>
                    <w:bidi w:val="0"/>
                    <w:rPr>
                      <w:rFonts w:hint="default"/>
                      <w:color w:val="auto"/>
                    </w:rPr>
                  </w:pPr>
                </w:p>
              </w:tc>
            </w:tr>
            <w:tr w14:paraId="7066942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restart"/>
                  <w:tcBorders>
                    <w:tl2br w:val="nil"/>
                    <w:tr2bl w:val="nil"/>
                  </w:tcBorders>
                  <w:vAlign w:val="center"/>
                </w:tcPr>
                <w:p w14:paraId="49E2B1FC">
                  <w:pPr>
                    <w:keepNext w:val="0"/>
                    <w:keepLines w:val="0"/>
                    <w:widowControl/>
                    <w:suppressLineNumbers w:val="0"/>
                    <w:jc w:val="center"/>
                    <w:rPr>
                      <w:rFonts w:hint="eastAsia" w:eastAsia="宋体"/>
                      <w:color w:val="auto"/>
                      <w:lang w:eastAsia="zh-CN"/>
                    </w:rPr>
                  </w:pPr>
                  <w:r>
                    <w:rPr>
                      <w:rFonts w:hint="default"/>
                      <w:color w:val="auto"/>
                    </w:rPr>
                    <w:t>CO</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单位</w:t>
                  </w:r>
                  <w:r>
                    <w:rPr>
                      <w:rFonts w:hint="eastAsia" w:ascii="Times New Roman" w:hAnsi="Times New Roman" w:cs="Times New Roman"/>
                      <w:color w:val="auto"/>
                      <w:lang w:val="en-US" w:eastAsia="zh-CN"/>
                    </w:rPr>
                    <w:t>：</w:t>
                  </w:r>
                  <w:r>
                    <w:rPr>
                      <w:rFonts w:hint="default" w:ascii="Times New Roman" w:hAnsi="Times New Roman" w:eastAsia="黑体" w:cs="Times New Roman"/>
                      <w:b w:val="0"/>
                      <w:bCs w:val="0"/>
                      <w:color w:val="000000"/>
                      <w:kern w:val="0"/>
                      <w:sz w:val="21"/>
                      <w:szCs w:val="21"/>
                      <w:lang w:val="en-US" w:eastAsia="zh-CN" w:bidi="ar"/>
                    </w:rPr>
                    <w:t>mg/m</w:t>
                  </w:r>
                  <w:r>
                    <w:rPr>
                      <w:rFonts w:hint="default" w:ascii="Times New Roman" w:hAnsi="Times New Roman" w:eastAsia="黑体" w:cs="Times New Roman"/>
                      <w:b w:val="0"/>
                      <w:bCs w:val="0"/>
                      <w:color w:val="000000"/>
                      <w:kern w:val="0"/>
                      <w:sz w:val="21"/>
                      <w:szCs w:val="21"/>
                      <w:vertAlign w:val="superscript"/>
                      <w:lang w:val="en-US" w:eastAsia="zh-CN" w:bidi="ar"/>
                    </w:rPr>
                    <w:t>3</w:t>
                  </w:r>
                  <w:r>
                    <w:rPr>
                      <w:rFonts w:hint="default" w:ascii="Times New Roman" w:hAnsi="Times New Roman" w:cs="Times New Roman"/>
                      <w:color w:val="auto"/>
                      <w:lang w:eastAsia="zh-CN"/>
                    </w:rPr>
                    <w:t>）</w:t>
                  </w:r>
                </w:p>
              </w:tc>
              <w:tc>
                <w:tcPr>
                  <w:tcW w:w="990" w:type="pct"/>
                  <w:tcBorders>
                    <w:tl2br w:val="nil"/>
                    <w:tr2bl w:val="nil"/>
                  </w:tcBorders>
                  <w:vAlign w:val="center"/>
                </w:tcPr>
                <w:p w14:paraId="4E520988">
                  <w:pPr>
                    <w:pStyle w:val="45"/>
                    <w:bidi w:val="0"/>
                    <w:ind w:firstLine="0" w:firstLineChars="0"/>
                    <w:rPr>
                      <w:rFonts w:hint="default"/>
                      <w:color w:val="auto"/>
                      <w:lang w:val="en-US" w:eastAsia="zh-CN"/>
                    </w:rPr>
                  </w:pPr>
                  <w:r>
                    <w:rPr>
                      <w:rFonts w:hint="eastAsia"/>
                      <w:color w:val="auto"/>
                      <w:lang w:val="en-US" w:eastAsia="zh-CN"/>
                    </w:rPr>
                    <w:t>日平均</w:t>
                  </w:r>
                </w:p>
              </w:tc>
              <w:tc>
                <w:tcPr>
                  <w:tcW w:w="601" w:type="pct"/>
                  <w:tcBorders>
                    <w:tl2br w:val="nil"/>
                    <w:tr2bl w:val="nil"/>
                  </w:tcBorders>
                  <w:vAlign w:val="center"/>
                </w:tcPr>
                <w:p w14:paraId="6F22C904">
                  <w:pPr>
                    <w:pStyle w:val="45"/>
                    <w:bidi w:val="0"/>
                    <w:rPr>
                      <w:rFonts w:hint="default" w:eastAsia="宋体"/>
                      <w:color w:val="auto"/>
                      <w:lang w:val="en-US" w:eastAsia="zh-CN"/>
                    </w:rPr>
                  </w:pPr>
                  <w:r>
                    <w:rPr>
                      <w:rFonts w:hint="eastAsia"/>
                      <w:color w:val="auto"/>
                      <w:lang w:val="en-US" w:eastAsia="zh-CN"/>
                    </w:rPr>
                    <w:t>4</w:t>
                  </w:r>
                </w:p>
              </w:tc>
              <w:tc>
                <w:tcPr>
                  <w:tcW w:w="625" w:type="pct"/>
                  <w:tcBorders>
                    <w:tl2br w:val="nil"/>
                    <w:tr2bl w:val="nil"/>
                  </w:tcBorders>
                  <w:vAlign w:val="center"/>
                </w:tcPr>
                <w:p w14:paraId="571250EB">
                  <w:pPr>
                    <w:pStyle w:val="45"/>
                    <w:bidi w:val="0"/>
                    <w:ind w:firstLine="0" w:firstLineChars="0"/>
                    <w:rPr>
                      <w:rFonts w:hint="eastAsia"/>
                      <w:color w:val="auto"/>
                      <w:lang w:val="en-US" w:eastAsia="zh-CN"/>
                    </w:rPr>
                  </w:pPr>
                  <w:r>
                    <w:rPr>
                      <w:rFonts w:hint="eastAsia"/>
                      <w:color w:val="auto"/>
                      <w:lang w:val="en-US" w:eastAsia="zh-CN"/>
                    </w:rPr>
                    <w:t>4</w:t>
                  </w:r>
                </w:p>
              </w:tc>
              <w:tc>
                <w:tcPr>
                  <w:tcW w:w="474" w:type="pct"/>
                  <w:tcBorders>
                    <w:tl2br w:val="nil"/>
                    <w:tr2bl w:val="nil"/>
                  </w:tcBorders>
                  <w:vAlign w:val="center"/>
                </w:tcPr>
                <w:p w14:paraId="460C737E">
                  <w:pPr>
                    <w:pStyle w:val="45"/>
                    <w:bidi w:val="0"/>
                    <w:rPr>
                      <w:rFonts w:hint="eastAsia" w:eastAsia="宋体"/>
                      <w:color w:val="auto"/>
                      <w:lang w:val="en-US" w:eastAsia="zh-CN"/>
                    </w:rPr>
                  </w:pPr>
                  <w:r>
                    <w:rPr>
                      <w:rFonts w:hint="eastAsia"/>
                      <w:color w:val="auto"/>
                      <w:lang w:val="en-US" w:eastAsia="zh-CN"/>
                    </w:rPr>
                    <w:t>4</w:t>
                  </w:r>
                </w:p>
              </w:tc>
              <w:tc>
                <w:tcPr>
                  <w:tcW w:w="474" w:type="pct"/>
                  <w:tcBorders>
                    <w:tl2br w:val="nil"/>
                    <w:tr2bl w:val="nil"/>
                  </w:tcBorders>
                  <w:vAlign w:val="center"/>
                </w:tcPr>
                <w:p w14:paraId="2545A5B2">
                  <w:pPr>
                    <w:pStyle w:val="45"/>
                    <w:bidi w:val="0"/>
                    <w:ind w:firstLine="0" w:firstLineChars="0"/>
                    <w:rPr>
                      <w:rFonts w:hint="eastAsia"/>
                      <w:color w:val="auto"/>
                      <w:lang w:val="en-US" w:eastAsia="zh-CN"/>
                    </w:rPr>
                  </w:pPr>
                  <w:r>
                    <w:rPr>
                      <w:rFonts w:hint="eastAsia"/>
                      <w:color w:val="auto"/>
                      <w:lang w:val="en-US" w:eastAsia="zh-CN"/>
                    </w:rPr>
                    <w:t>4</w:t>
                  </w:r>
                </w:p>
              </w:tc>
              <w:tc>
                <w:tcPr>
                  <w:tcW w:w="1056" w:type="pct"/>
                  <w:vMerge w:val="continue"/>
                  <w:tcBorders>
                    <w:tl2br w:val="nil"/>
                    <w:tr2bl w:val="nil"/>
                  </w:tcBorders>
                  <w:vAlign w:val="center"/>
                </w:tcPr>
                <w:p w14:paraId="6AAF00B0">
                  <w:pPr>
                    <w:pStyle w:val="45"/>
                    <w:bidi w:val="0"/>
                    <w:rPr>
                      <w:rFonts w:hint="default"/>
                      <w:color w:val="auto"/>
                    </w:rPr>
                  </w:pPr>
                </w:p>
              </w:tc>
            </w:tr>
            <w:tr w14:paraId="766A970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continue"/>
                  <w:tcBorders>
                    <w:tl2br w:val="nil"/>
                    <w:tr2bl w:val="nil"/>
                  </w:tcBorders>
                  <w:vAlign w:val="center"/>
                </w:tcPr>
                <w:p w14:paraId="4DD9639D">
                  <w:pPr>
                    <w:pStyle w:val="45"/>
                    <w:bidi w:val="0"/>
                  </w:pPr>
                </w:p>
              </w:tc>
              <w:tc>
                <w:tcPr>
                  <w:tcW w:w="990" w:type="pct"/>
                  <w:tcBorders>
                    <w:tl2br w:val="nil"/>
                    <w:tr2bl w:val="nil"/>
                  </w:tcBorders>
                  <w:vAlign w:val="center"/>
                </w:tcPr>
                <w:p w14:paraId="0BB5C07D">
                  <w:pPr>
                    <w:pStyle w:val="45"/>
                    <w:bidi w:val="0"/>
                    <w:ind w:firstLine="0" w:firstLineChars="0"/>
                    <w:rPr>
                      <w:rFonts w:hint="default"/>
                      <w:color w:val="auto"/>
                      <w:lang w:val="en-US" w:eastAsia="zh-CN"/>
                    </w:rPr>
                  </w:pPr>
                  <w:r>
                    <w:rPr>
                      <w:rFonts w:hint="eastAsia"/>
                      <w:color w:val="auto"/>
                      <w:lang w:val="en-US" w:eastAsia="zh-CN"/>
                    </w:rPr>
                    <w:t>1小时平均</w:t>
                  </w:r>
                </w:p>
              </w:tc>
              <w:tc>
                <w:tcPr>
                  <w:tcW w:w="601" w:type="pct"/>
                  <w:tcBorders>
                    <w:tl2br w:val="nil"/>
                    <w:tr2bl w:val="nil"/>
                  </w:tcBorders>
                  <w:vAlign w:val="center"/>
                </w:tcPr>
                <w:p w14:paraId="35BBC44B">
                  <w:pPr>
                    <w:pStyle w:val="45"/>
                    <w:bidi w:val="0"/>
                    <w:rPr>
                      <w:rFonts w:hint="default"/>
                      <w:color w:val="auto"/>
                      <w:lang w:val="en-US" w:eastAsia="zh-CN"/>
                    </w:rPr>
                  </w:pPr>
                  <w:r>
                    <w:rPr>
                      <w:rFonts w:hint="eastAsia"/>
                      <w:color w:val="auto"/>
                      <w:lang w:val="en-US" w:eastAsia="zh-CN"/>
                    </w:rPr>
                    <w:t>10</w:t>
                  </w:r>
                </w:p>
              </w:tc>
              <w:tc>
                <w:tcPr>
                  <w:tcW w:w="625" w:type="pct"/>
                  <w:tcBorders>
                    <w:tl2br w:val="nil"/>
                    <w:tr2bl w:val="nil"/>
                  </w:tcBorders>
                  <w:vAlign w:val="center"/>
                </w:tcPr>
                <w:p w14:paraId="4896217E">
                  <w:pPr>
                    <w:pStyle w:val="45"/>
                    <w:bidi w:val="0"/>
                    <w:ind w:firstLine="0" w:firstLineChars="0"/>
                    <w:rPr>
                      <w:rFonts w:hint="eastAsia"/>
                      <w:color w:val="auto"/>
                      <w:lang w:val="en-US" w:eastAsia="zh-CN"/>
                    </w:rPr>
                  </w:pPr>
                  <w:r>
                    <w:rPr>
                      <w:rFonts w:hint="eastAsia"/>
                      <w:color w:val="auto"/>
                      <w:lang w:val="en-US" w:eastAsia="zh-CN"/>
                    </w:rPr>
                    <w:t>10</w:t>
                  </w:r>
                </w:p>
              </w:tc>
              <w:tc>
                <w:tcPr>
                  <w:tcW w:w="474" w:type="pct"/>
                  <w:tcBorders>
                    <w:tl2br w:val="nil"/>
                    <w:tr2bl w:val="nil"/>
                  </w:tcBorders>
                  <w:vAlign w:val="center"/>
                </w:tcPr>
                <w:p w14:paraId="054F195A">
                  <w:pPr>
                    <w:pStyle w:val="45"/>
                    <w:bidi w:val="0"/>
                    <w:rPr>
                      <w:rFonts w:hint="default"/>
                      <w:color w:val="auto"/>
                      <w:lang w:val="en-US" w:eastAsia="zh-CN"/>
                    </w:rPr>
                  </w:pPr>
                  <w:r>
                    <w:rPr>
                      <w:rFonts w:hint="eastAsia"/>
                      <w:color w:val="auto"/>
                      <w:lang w:val="en-US" w:eastAsia="zh-CN"/>
                    </w:rPr>
                    <w:t>10</w:t>
                  </w:r>
                </w:p>
              </w:tc>
              <w:tc>
                <w:tcPr>
                  <w:tcW w:w="474" w:type="pct"/>
                  <w:tcBorders>
                    <w:tl2br w:val="nil"/>
                    <w:tr2bl w:val="nil"/>
                  </w:tcBorders>
                  <w:vAlign w:val="center"/>
                </w:tcPr>
                <w:p w14:paraId="4ECD5974">
                  <w:pPr>
                    <w:pStyle w:val="45"/>
                    <w:bidi w:val="0"/>
                    <w:ind w:firstLine="0" w:firstLineChars="0"/>
                    <w:rPr>
                      <w:rFonts w:hint="eastAsia"/>
                      <w:color w:val="auto"/>
                      <w:lang w:val="en-US" w:eastAsia="zh-CN"/>
                    </w:rPr>
                  </w:pPr>
                  <w:r>
                    <w:rPr>
                      <w:rFonts w:hint="eastAsia"/>
                      <w:color w:val="auto"/>
                      <w:lang w:val="en-US" w:eastAsia="zh-CN"/>
                    </w:rPr>
                    <w:t>10</w:t>
                  </w:r>
                </w:p>
              </w:tc>
              <w:tc>
                <w:tcPr>
                  <w:tcW w:w="1056" w:type="pct"/>
                  <w:vMerge w:val="continue"/>
                  <w:tcBorders>
                    <w:tl2br w:val="nil"/>
                    <w:tr2bl w:val="nil"/>
                  </w:tcBorders>
                  <w:vAlign w:val="center"/>
                </w:tcPr>
                <w:p w14:paraId="087E7BDF">
                  <w:pPr>
                    <w:pStyle w:val="45"/>
                    <w:bidi w:val="0"/>
                    <w:rPr>
                      <w:rFonts w:hint="default"/>
                      <w:color w:val="auto"/>
                      <w:lang w:val="en-US" w:eastAsia="zh-CN"/>
                    </w:rPr>
                  </w:pPr>
                </w:p>
              </w:tc>
            </w:tr>
            <w:tr w14:paraId="4EA3BE1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restart"/>
                  <w:tcBorders>
                    <w:tl2br w:val="nil"/>
                    <w:tr2bl w:val="nil"/>
                  </w:tcBorders>
                  <w:vAlign w:val="center"/>
                </w:tcPr>
                <w:p w14:paraId="35C9B34E">
                  <w:pPr>
                    <w:pStyle w:val="45"/>
                    <w:bidi w:val="0"/>
                    <w:rPr>
                      <w:rFonts w:hint="default"/>
                      <w:color w:val="auto"/>
                    </w:rPr>
                  </w:pPr>
                  <w:r>
                    <w:rPr>
                      <w:rFonts w:hint="default"/>
                      <w:color w:val="auto"/>
                    </w:rPr>
                    <w:t>O</w:t>
                  </w:r>
                  <w:r>
                    <w:rPr>
                      <w:rFonts w:hint="default"/>
                      <w:color w:val="auto"/>
                      <w:vertAlign w:val="subscript"/>
                    </w:rPr>
                    <w:t>3</w:t>
                  </w:r>
                </w:p>
              </w:tc>
              <w:tc>
                <w:tcPr>
                  <w:tcW w:w="990" w:type="pct"/>
                  <w:tcBorders>
                    <w:tl2br w:val="nil"/>
                    <w:tr2bl w:val="nil"/>
                  </w:tcBorders>
                  <w:vAlign w:val="center"/>
                </w:tcPr>
                <w:p w14:paraId="4A47056F">
                  <w:pPr>
                    <w:pStyle w:val="45"/>
                    <w:bidi w:val="0"/>
                    <w:rPr>
                      <w:rFonts w:hint="default" w:eastAsia="宋体"/>
                      <w:color w:val="auto"/>
                      <w:lang w:val="en-US" w:eastAsia="zh-CN"/>
                    </w:rPr>
                  </w:pPr>
                  <w:r>
                    <w:rPr>
                      <w:rFonts w:hint="eastAsia"/>
                      <w:color w:val="auto"/>
                      <w:lang w:val="en-US" w:eastAsia="zh-CN"/>
                    </w:rPr>
                    <w:t>日最大8小时平均</w:t>
                  </w:r>
                </w:p>
              </w:tc>
              <w:tc>
                <w:tcPr>
                  <w:tcW w:w="601" w:type="pct"/>
                  <w:tcBorders>
                    <w:tl2br w:val="nil"/>
                    <w:tr2bl w:val="nil"/>
                  </w:tcBorders>
                  <w:vAlign w:val="center"/>
                </w:tcPr>
                <w:p w14:paraId="09B77C4D">
                  <w:pPr>
                    <w:pStyle w:val="45"/>
                    <w:bidi w:val="0"/>
                    <w:rPr>
                      <w:rFonts w:hint="default" w:eastAsia="宋体"/>
                      <w:color w:val="auto"/>
                      <w:lang w:val="en-US" w:eastAsia="zh-CN"/>
                    </w:rPr>
                  </w:pPr>
                  <w:r>
                    <w:rPr>
                      <w:rFonts w:hint="eastAsia"/>
                      <w:color w:val="auto"/>
                      <w:lang w:val="en-US" w:eastAsia="zh-CN"/>
                    </w:rPr>
                    <w:t>100</w:t>
                  </w:r>
                </w:p>
              </w:tc>
              <w:tc>
                <w:tcPr>
                  <w:tcW w:w="625" w:type="pct"/>
                  <w:tcBorders>
                    <w:tl2br w:val="nil"/>
                    <w:tr2bl w:val="nil"/>
                  </w:tcBorders>
                  <w:vAlign w:val="center"/>
                </w:tcPr>
                <w:p w14:paraId="63896A27">
                  <w:pPr>
                    <w:pStyle w:val="45"/>
                    <w:bidi w:val="0"/>
                    <w:ind w:firstLine="0" w:firstLineChars="0"/>
                    <w:rPr>
                      <w:rFonts w:hint="eastAsia"/>
                      <w:color w:val="auto"/>
                      <w:lang w:val="en-US" w:eastAsia="zh-CN"/>
                    </w:rPr>
                  </w:pPr>
                  <w:r>
                    <w:rPr>
                      <w:rFonts w:hint="eastAsia"/>
                      <w:color w:val="auto"/>
                      <w:lang w:val="en-US" w:eastAsia="zh-CN"/>
                    </w:rPr>
                    <w:t>160</w:t>
                  </w:r>
                </w:p>
              </w:tc>
              <w:tc>
                <w:tcPr>
                  <w:tcW w:w="474" w:type="pct"/>
                  <w:tcBorders>
                    <w:tl2br w:val="nil"/>
                    <w:tr2bl w:val="nil"/>
                  </w:tcBorders>
                  <w:vAlign w:val="center"/>
                </w:tcPr>
                <w:p w14:paraId="329F2B66">
                  <w:pPr>
                    <w:pStyle w:val="45"/>
                    <w:bidi w:val="0"/>
                    <w:rPr>
                      <w:rFonts w:hint="default" w:eastAsia="宋体"/>
                      <w:color w:val="auto"/>
                      <w:lang w:val="en-US" w:eastAsia="zh-CN"/>
                    </w:rPr>
                  </w:pPr>
                  <w:r>
                    <w:rPr>
                      <w:rFonts w:hint="eastAsia"/>
                      <w:color w:val="auto"/>
                      <w:lang w:val="en-US" w:eastAsia="zh-CN"/>
                    </w:rPr>
                    <w:t>100</w:t>
                  </w:r>
                </w:p>
              </w:tc>
              <w:tc>
                <w:tcPr>
                  <w:tcW w:w="474" w:type="pct"/>
                  <w:tcBorders>
                    <w:tl2br w:val="nil"/>
                    <w:tr2bl w:val="nil"/>
                  </w:tcBorders>
                  <w:vAlign w:val="center"/>
                </w:tcPr>
                <w:p w14:paraId="5347C5AA">
                  <w:pPr>
                    <w:pStyle w:val="45"/>
                    <w:bidi w:val="0"/>
                    <w:ind w:firstLine="0" w:firstLineChars="0"/>
                    <w:rPr>
                      <w:rFonts w:hint="eastAsia"/>
                      <w:color w:val="auto"/>
                      <w:lang w:val="en-US" w:eastAsia="zh-CN"/>
                    </w:rPr>
                  </w:pPr>
                  <w:r>
                    <w:rPr>
                      <w:rFonts w:hint="eastAsia"/>
                      <w:color w:val="auto"/>
                      <w:lang w:val="en-US" w:eastAsia="zh-CN"/>
                    </w:rPr>
                    <w:t>160</w:t>
                  </w:r>
                </w:p>
              </w:tc>
              <w:tc>
                <w:tcPr>
                  <w:tcW w:w="1056" w:type="pct"/>
                  <w:vMerge w:val="continue"/>
                  <w:tcBorders>
                    <w:tl2br w:val="nil"/>
                    <w:tr2bl w:val="nil"/>
                  </w:tcBorders>
                  <w:vAlign w:val="center"/>
                </w:tcPr>
                <w:p w14:paraId="34745CD4">
                  <w:pPr>
                    <w:pStyle w:val="45"/>
                    <w:bidi w:val="0"/>
                    <w:rPr>
                      <w:rFonts w:hint="default"/>
                      <w:color w:val="auto"/>
                    </w:rPr>
                  </w:pPr>
                </w:p>
              </w:tc>
            </w:tr>
            <w:tr w14:paraId="3E1458D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776" w:type="pct"/>
                  <w:vMerge w:val="continue"/>
                  <w:tcBorders>
                    <w:tl2br w:val="nil"/>
                    <w:tr2bl w:val="nil"/>
                  </w:tcBorders>
                  <w:vAlign w:val="center"/>
                </w:tcPr>
                <w:p w14:paraId="654ABA6E">
                  <w:pPr>
                    <w:pStyle w:val="45"/>
                    <w:bidi w:val="0"/>
                  </w:pPr>
                </w:p>
              </w:tc>
              <w:tc>
                <w:tcPr>
                  <w:tcW w:w="990" w:type="pct"/>
                  <w:tcBorders>
                    <w:tl2br w:val="nil"/>
                    <w:tr2bl w:val="nil"/>
                  </w:tcBorders>
                  <w:vAlign w:val="center"/>
                </w:tcPr>
                <w:p w14:paraId="7FEE840D">
                  <w:pPr>
                    <w:pStyle w:val="45"/>
                    <w:bidi w:val="0"/>
                    <w:rPr>
                      <w:rFonts w:hint="default" w:eastAsia="宋体"/>
                      <w:color w:val="auto"/>
                      <w:lang w:val="en-US" w:eastAsia="zh-CN"/>
                    </w:rPr>
                  </w:pPr>
                  <w:r>
                    <w:rPr>
                      <w:rFonts w:hint="eastAsia"/>
                      <w:color w:val="auto"/>
                      <w:lang w:val="en-US" w:eastAsia="zh-CN"/>
                    </w:rPr>
                    <w:t>1小时平均</w:t>
                  </w:r>
                </w:p>
              </w:tc>
              <w:tc>
                <w:tcPr>
                  <w:tcW w:w="601" w:type="pct"/>
                  <w:tcBorders>
                    <w:tl2br w:val="nil"/>
                    <w:tr2bl w:val="nil"/>
                  </w:tcBorders>
                  <w:vAlign w:val="center"/>
                </w:tcPr>
                <w:p w14:paraId="78973988">
                  <w:pPr>
                    <w:pStyle w:val="45"/>
                    <w:bidi w:val="0"/>
                    <w:rPr>
                      <w:rFonts w:hint="default" w:eastAsia="宋体"/>
                      <w:color w:val="auto"/>
                      <w:lang w:val="en-US" w:eastAsia="zh-CN"/>
                    </w:rPr>
                  </w:pPr>
                  <w:r>
                    <w:rPr>
                      <w:rFonts w:hint="eastAsia"/>
                      <w:color w:val="auto"/>
                      <w:lang w:val="en-US" w:eastAsia="zh-CN"/>
                    </w:rPr>
                    <w:t>160</w:t>
                  </w:r>
                </w:p>
              </w:tc>
              <w:tc>
                <w:tcPr>
                  <w:tcW w:w="625" w:type="pct"/>
                  <w:tcBorders>
                    <w:tl2br w:val="nil"/>
                    <w:tr2bl w:val="nil"/>
                  </w:tcBorders>
                  <w:vAlign w:val="center"/>
                </w:tcPr>
                <w:p w14:paraId="4F45C4EA">
                  <w:pPr>
                    <w:pStyle w:val="45"/>
                    <w:bidi w:val="0"/>
                    <w:ind w:firstLine="0" w:firstLineChars="0"/>
                    <w:rPr>
                      <w:rFonts w:hint="eastAsia"/>
                      <w:color w:val="auto"/>
                      <w:lang w:val="en-US" w:eastAsia="zh-CN"/>
                    </w:rPr>
                  </w:pPr>
                  <w:r>
                    <w:rPr>
                      <w:rFonts w:hint="eastAsia"/>
                      <w:color w:val="auto"/>
                      <w:lang w:val="en-US" w:eastAsia="zh-CN"/>
                    </w:rPr>
                    <w:t>200</w:t>
                  </w:r>
                </w:p>
              </w:tc>
              <w:tc>
                <w:tcPr>
                  <w:tcW w:w="474" w:type="pct"/>
                  <w:tcBorders>
                    <w:tl2br w:val="nil"/>
                    <w:tr2bl w:val="nil"/>
                  </w:tcBorders>
                  <w:vAlign w:val="center"/>
                </w:tcPr>
                <w:p w14:paraId="3FC9FAA8">
                  <w:pPr>
                    <w:pStyle w:val="45"/>
                    <w:bidi w:val="0"/>
                    <w:rPr>
                      <w:rFonts w:hint="default" w:eastAsia="宋体"/>
                      <w:color w:val="auto"/>
                      <w:lang w:val="en-US" w:eastAsia="zh-CN"/>
                    </w:rPr>
                  </w:pPr>
                  <w:r>
                    <w:rPr>
                      <w:rFonts w:hint="eastAsia"/>
                      <w:color w:val="auto"/>
                      <w:lang w:val="en-US" w:eastAsia="zh-CN"/>
                    </w:rPr>
                    <w:t>160</w:t>
                  </w:r>
                </w:p>
              </w:tc>
              <w:tc>
                <w:tcPr>
                  <w:tcW w:w="474" w:type="pct"/>
                  <w:tcBorders>
                    <w:tl2br w:val="nil"/>
                    <w:tr2bl w:val="nil"/>
                  </w:tcBorders>
                  <w:vAlign w:val="center"/>
                </w:tcPr>
                <w:p w14:paraId="752B1EB8">
                  <w:pPr>
                    <w:pStyle w:val="45"/>
                    <w:bidi w:val="0"/>
                    <w:ind w:firstLine="0" w:firstLineChars="0"/>
                    <w:rPr>
                      <w:rFonts w:hint="eastAsia"/>
                      <w:color w:val="auto"/>
                      <w:lang w:val="en-US" w:eastAsia="zh-CN"/>
                    </w:rPr>
                  </w:pPr>
                  <w:r>
                    <w:rPr>
                      <w:rFonts w:hint="eastAsia"/>
                      <w:color w:val="auto"/>
                      <w:lang w:val="en-US" w:eastAsia="zh-CN"/>
                    </w:rPr>
                    <w:t>200</w:t>
                  </w:r>
                </w:p>
              </w:tc>
              <w:tc>
                <w:tcPr>
                  <w:tcW w:w="1056" w:type="pct"/>
                  <w:vMerge w:val="continue"/>
                  <w:tcBorders>
                    <w:tl2br w:val="nil"/>
                    <w:tr2bl w:val="nil"/>
                  </w:tcBorders>
                  <w:vAlign w:val="center"/>
                </w:tcPr>
                <w:p w14:paraId="6352AFEC">
                  <w:pPr>
                    <w:pStyle w:val="45"/>
                    <w:bidi w:val="0"/>
                    <w:rPr>
                      <w:rFonts w:hint="default"/>
                      <w:color w:val="auto"/>
                    </w:rPr>
                  </w:pPr>
                </w:p>
              </w:tc>
            </w:tr>
          </w:tbl>
          <w:p w14:paraId="390A1D22">
            <w:pPr>
              <w:pStyle w:val="31"/>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所在区域达标区判定</w:t>
            </w:r>
          </w:p>
          <w:p w14:paraId="6350BB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highlight w:val="none"/>
                <w:lang w:val="en-US" w:eastAsia="zh-CN"/>
              </w:rPr>
            </w:pPr>
            <w:r>
              <w:rPr>
                <w:rFonts w:hint="default" w:ascii="Times New Roman" w:hAnsi="Times New Roman" w:eastAsia="宋体" w:cs="Times New Roman"/>
                <w:sz w:val="24"/>
                <w:szCs w:val="24"/>
                <w:lang w:eastAsia="zh-CN"/>
              </w:rPr>
              <w:t>本项目位于</w:t>
            </w:r>
            <w:r>
              <w:rPr>
                <w:rFonts w:hint="eastAsia" w:ascii="Times New Roman" w:hAnsi="Times New Roman" w:eastAsia="宋体" w:cs="Times New Roman"/>
                <w:sz w:val="24"/>
                <w:szCs w:val="24"/>
                <w:lang w:val="en-US" w:eastAsia="zh-CN"/>
              </w:rPr>
              <w:t>云南易门产业园区大椿树片区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rPr>
              <w:t>2024年玉溪市生态环境状况公报</w:t>
            </w:r>
            <w:r>
              <w:rPr>
                <w:rFonts w:hint="default" w:ascii="Times New Roman" w:hAnsi="Times New Roman" w:eastAsia="宋体" w:cs="Times New Roman"/>
                <w:sz w:val="24"/>
                <w:szCs w:val="24"/>
                <w:lang w:val="en-US" w:eastAsia="zh-CN"/>
              </w:rPr>
              <w:t>》，2024年，中心城区环境空气质量一级240天，二级124天，超标2天。与去年同期相比，一级天数增加29天，二级天数减少18天，超标天数减少了10天。其中，细颗粒物（PM2.5）平均浓度为19.6μg/m²，中心城区环境空气质量优良天数比率为99.5%，较上年同期上升2.8个百分点；江川区、澄江市、通海县、华宁县、易门县、峨山县、新平县、元江县空气质量优良天数比率分别为99.4%、100%、99.4%、99.7%、99.7%、99.4%、99.7%、99.4%。</w:t>
            </w:r>
          </w:p>
          <w:p w14:paraId="185126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综上所述，2024年，易门县环境空气质量达标，项目所在区域属于环境空气质量现状达标区。</w:t>
            </w:r>
          </w:p>
          <w:p w14:paraId="46E66A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特征污染物环境质量现状</w:t>
            </w:r>
          </w:p>
          <w:p w14:paraId="69A1FD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pacing w:val="-2"/>
                <w:sz w:val="24"/>
                <w:szCs w:val="24"/>
              </w:rPr>
            </w:pPr>
            <w:r>
              <w:rPr>
                <w:rFonts w:hint="default" w:ascii="Times New Roman" w:hAnsi="Times New Roman" w:cs="Times New Roman"/>
                <w:color w:val="auto"/>
                <w:sz w:val="24"/>
                <w:highlight w:val="none"/>
              </w:rPr>
              <w:t>本项目特征污染物主要为</w:t>
            </w:r>
            <w:r>
              <w:rPr>
                <w:rFonts w:hint="default" w:ascii="Times New Roman" w:hAnsi="Times New Roman" w:eastAsia="宋体" w:cs="Times New Roman"/>
                <w:color w:val="auto"/>
                <w:sz w:val="24"/>
                <w:szCs w:val="24"/>
                <w:highlight w:val="none"/>
                <w:lang w:val="en-US" w:eastAsia="zh-CN"/>
              </w:rPr>
              <w:t>颗粒物</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rPr>
              <w:t>为了解项目区特征污染物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的环境质量</w:t>
            </w:r>
            <w:r>
              <w:rPr>
                <w:rFonts w:hint="default" w:ascii="Times New Roman" w:hAnsi="Times New Roman" w:eastAsia="宋体" w:cs="Times New Roman"/>
                <w:color w:val="auto"/>
                <w:spacing w:val="-2"/>
                <w:sz w:val="24"/>
                <w:szCs w:val="24"/>
              </w:rPr>
              <w:t>现状，建设单位委托云南浩辰环保科技有限公司于202</w:t>
            </w:r>
            <w:r>
              <w:rPr>
                <w:rFonts w:hint="eastAsia" w:eastAsia="宋体" w:cs="Times New Roman"/>
                <w:color w:val="auto"/>
                <w:spacing w:val="-2"/>
                <w:sz w:val="24"/>
                <w:szCs w:val="24"/>
                <w:lang w:val="en-US" w:eastAsia="zh-CN"/>
              </w:rPr>
              <w:t>6</w:t>
            </w:r>
            <w:r>
              <w:rPr>
                <w:rFonts w:hint="default" w:ascii="Times New Roman" w:hAnsi="Times New Roman" w:eastAsia="宋体" w:cs="Times New Roman"/>
                <w:color w:val="auto"/>
                <w:spacing w:val="-2"/>
                <w:sz w:val="24"/>
                <w:szCs w:val="24"/>
              </w:rPr>
              <w:t>年</w:t>
            </w:r>
            <w:r>
              <w:rPr>
                <w:rFonts w:hint="eastAsia" w:eastAsia="宋体" w:cs="Times New Roman"/>
                <w:color w:val="auto"/>
                <w:spacing w:val="-2"/>
                <w:sz w:val="24"/>
                <w:szCs w:val="24"/>
                <w:lang w:val="en-US" w:eastAsia="zh-CN"/>
              </w:rPr>
              <w:t>3</w:t>
            </w:r>
            <w:r>
              <w:rPr>
                <w:rFonts w:hint="default" w:ascii="Times New Roman" w:hAnsi="Times New Roman" w:eastAsia="宋体" w:cs="Times New Roman"/>
                <w:color w:val="auto"/>
                <w:spacing w:val="-2"/>
                <w:sz w:val="24"/>
                <w:szCs w:val="24"/>
              </w:rPr>
              <w:t>月</w:t>
            </w:r>
            <w:r>
              <w:rPr>
                <w:rFonts w:hint="eastAsia" w:cs="Times New Roman"/>
                <w:color w:val="auto"/>
                <w:spacing w:val="-2"/>
                <w:sz w:val="24"/>
                <w:szCs w:val="24"/>
                <w:lang w:val="en-US" w:eastAsia="zh-CN"/>
              </w:rPr>
              <w:t>28</w:t>
            </w:r>
            <w:r>
              <w:rPr>
                <w:rFonts w:hint="default" w:ascii="Times New Roman" w:hAnsi="Times New Roman" w:eastAsia="宋体" w:cs="Times New Roman"/>
                <w:color w:val="auto"/>
                <w:spacing w:val="-2"/>
                <w:sz w:val="24"/>
                <w:szCs w:val="24"/>
                <w:lang w:val="en-US" w:eastAsia="zh-CN"/>
              </w:rPr>
              <w:t>日</w:t>
            </w:r>
            <w:r>
              <w:rPr>
                <w:rFonts w:hint="default" w:ascii="Times New Roman" w:hAnsi="Times New Roman" w:eastAsia="宋体" w:cs="Times New Roman"/>
                <w:color w:val="auto"/>
                <w:spacing w:val="-2"/>
                <w:sz w:val="24"/>
                <w:szCs w:val="24"/>
              </w:rPr>
              <w:t>~</w:t>
            </w:r>
            <w:r>
              <w:rPr>
                <w:rFonts w:hint="eastAsia" w:eastAsia="宋体" w:cs="Times New Roman"/>
                <w:color w:val="auto"/>
                <w:spacing w:val="-2"/>
                <w:sz w:val="24"/>
                <w:szCs w:val="24"/>
                <w:lang w:val="en-US" w:eastAsia="zh-CN"/>
              </w:rPr>
              <w:t>3</w:t>
            </w:r>
            <w:r>
              <w:rPr>
                <w:rFonts w:hint="default" w:ascii="Times New Roman" w:hAnsi="Times New Roman" w:eastAsia="宋体" w:cs="Times New Roman"/>
                <w:color w:val="auto"/>
                <w:spacing w:val="-2"/>
                <w:sz w:val="24"/>
                <w:szCs w:val="24"/>
              </w:rPr>
              <w:t>月</w:t>
            </w:r>
            <w:r>
              <w:rPr>
                <w:rFonts w:hint="eastAsia" w:cs="Times New Roman"/>
                <w:color w:val="auto"/>
                <w:spacing w:val="-2"/>
                <w:sz w:val="24"/>
                <w:szCs w:val="24"/>
                <w:lang w:val="en-US" w:eastAsia="zh-CN"/>
              </w:rPr>
              <w:t>31</w:t>
            </w:r>
            <w:r>
              <w:rPr>
                <w:rFonts w:hint="default" w:ascii="Times New Roman" w:hAnsi="Times New Roman" w:eastAsia="宋体" w:cs="Times New Roman"/>
                <w:color w:val="auto"/>
                <w:spacing w:val="-2"/>
                <w:sz w:val="24"/>
                <w:szCs w:val="24"/>
              </w:rPr>
              <w:t>日</w:t>
            </w:r>
            <w:r>
              <w:rPr>
                <w:rFonts w:hint="eastAsia" w:ascii="Times New Roman" w:hAnsi="Times New Roman" w:eastAsia="宋体" w:cs="Times New Roman"/>
                <w:color w:val="auto"/>
                <w:spacing w:val="-2"/>
                <w:sz w:val="24"/>
                <w:szCs w:val="24"/>
                <w:lang w:val="en-US" w:eastAsia="zh-CN"/>
              </w:rPr>
              <w:t>对本项目</w:t>
            </w:r>
            <w:r>
              <w:rPr>
                <w:rFonts w:hint="default" w:ascii="Times New Roman" w:hAnsi="Times New Roman" w:eastAsia="宋体" w:cs="Times New Roman"/>
                <w:color w:val="auto"/>
                <w:spacing w:val="-2"/>
                <w:sz w:val="24"/>
                <w:szCs w:val="24"/>
              </w:rPr>
              <w:t>特征污染物</w:t>
            </w:r>
            <w:r>
              <w:rPr>
                <w:rFonts w:hint="eastAsia" w:ascii="Times New Roman" w:hAnsi="Times New Roman" w:eastAsia="宋体" w:cs="Times New Roman"/>
                <w:color w:val="auto"/>
                <w:spacing w:val="-2"/>
                <w:sz w:val="24"/>
                <w:szCs w:val="24"/>
                <w:lang w:eastAsia="zh-CN"/>
              </w:rPr>
              <w:t>（</w:t>
            </w:r>
            <w:r>
              <w:rPr>
                <w:rFonts w:hint="eastAsia" w:ascii="Times New Roman" w:hAnsi="Times New Roman" w:eastAsia="宋体" w:cs="Times New Roman"/>
                <w:color w:val="auto"/>
                <w:spacing w:val="-2"/>
                <w:sz w:val="24"/>
                <w:szCs w:val="24"/>
                <w:lang w:val="en-US" w:eastAsia="zh-CN"/>
              </w:rPr>
              <w:t>颗粒物</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进行了监测。监测具体情况如下：</w:t>
            </w:r>
          </w:p>
          <w:p w14:paraId="59C0C393">
            <w:pPr>
              <w:pStyle w:val="25"/>
              <w:jc w:val="both"/>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监测项目：</w:t>
            </w:r>
            <w:r>
              <w:rPr>
                <w:rFonts w:hint="default" w:ascii="Times New Roman" w:hAnsi="Times New Roman" w:eastAsia="宋体" w:cs="Times New Roman"/>
                <w:color w:val="auto"/>
                <w:sz w:val="24"/>
                <w:szCs w:val="24"/>
              </w:rPr>
              <w:t>TSP</w:t>
            </w:r>
            <w:r>
              <w:rPr>
                <w:rFonts w:hint="eastAsia" w:cs="Times New Roman"/>
                <w:color w:val="auto"/>
                <w:sz w:val="24"/>
                <w:szCs w:val="24"/>
                <w:lang w:eastAsia="zh-CN"/>
              </w:rPr>
              <w:t>；</w:t>
            </w:r>
          </w:p>
          <w:p w14:paraId="6C750D54">
            <w:pPr>
              <w:spacing w:line="360" w:lineRule="auto"/>
              <w:ind w:firstLine="472" w:firstLineChars="200"/>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监</w:t>
            </w:r>
            <w:r>
              <w:rPr>
                <w:rFonts w:hint="default" w:ascii="Times New Roman" w:hAnsi="Times New Roman" w:eastAsia="宋体" w:cs="Times New Roman"/>
                <w:color w:val="auto"/>
                <w:spacing w:val="-2"/>
                <w:sz w:val="24"/>
                <w:szCs w:val="24"/>
              </w:rPr>
              <w:t>测点位：</w:t>
            </w:r>
            <w:r>
              <w:rPr>
                <w:rFonts w:hint="eastAsia" w:ascii="Times New Roman" w:hAnsi="Times New Roman"/>
                <w:color w:val="auto"/>
                <w:sz w:val="24"/>
                <w:lang w:val="en-US" w:eastAsia="zh-CN"/>
              </w:rPr>
              <w:t>厂址</w:t>
            </w:r>
            <w:r>
              <w:rPr>
                <w:rFonts w:hint="eastAsia" w:ascii="Times New Roman" w:hAnsi="Times New Roman" w:eastAsia="宋体" w:cs="Times New Roman"/>
                <w:b w:val="0"/>
                <w:bCs w:val="0"/>
                <w:color w:val="auto"/>
                <w:sz w:val="24"/>
                <w:szCs w:val="24"/>
                <w:lang w:val="en-US" w:eastAsia="zh-CN"/>
              </w:rPr>
              <w:t>下风向厂界外10m处设1个监控点</w:t>
            </w:r>
            <w:r>
              <w:rPr>
                <w:rFonts w:hint="default" w:ascii="Times New Roman" w:hAnsi="Times New Roman" w:eastAsia="宋体" w:cs="Times New Roman"/>
                <w:color w:val="auto"/>
                <w:spacing w:val="-2"/>
                <w:sz w:val="24"/>
                <w:szCs w:val="24"/>
              </w:rPr>
              <w:t>；</w:t>
            </w:r>
          </w:p>
          <w:p w14:paraId="36F62347">
            <w:pPr>
              <w:spacing w:line="360" w:lineRule="auto"/>
              <w:ind w:firstLine="472" w:firstLineChars="200"/>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监</w:t>
            </w:r>
            <w:r>
              <w:rPr>
                <w:rFonts w:hint="default" w:ascii="Times New Roman" w:hAnsi="Times New Roman" w:eastAsia="宋体" w:cs="Times New Roman"/>
                <w:color w:val="auto"/>
                <w:spacing w:val="-2"/>
                <w:sz w:val="24"/>
                <w:szCs w:val="24"/>
              </w:rPr>
              <w:t>测频率：</w:t>
            </w:r>
            <w:r>
              <w:rPr>
                <w:rFonts w:hint="eastAsia"/>
                <w:color w:val="auto"/>
                <w:spacing w:val="-2"/>
                <w:sz w:val="24"/>
              </w:rPr>
              <w:t>连续采样3天，</w:t>
            </w:r>
            <w:r>
              <w:rPr>
                <w:color w:val="auto"/>
                <w:sz w:val="24"/>
              </w:rPr>
              <w:t>为24小时日均值</w:t>
            </w:r>
            <w:r>
              <w:rPr>
                <w:rFonts w:hint="default" w:ascii="Times New Roman" w:hAnsi="Times New Roman" w:eastAsia="宋体" w:cs="Times New Roman"/>
                <w:color w:val="auto"/>
                <w:spacing w:val="-2"/>
                <w:sz w:val="24"/>
                <w:szCs w:val="24"/>
              </w:rPr>
              <w:t>；</w:t>
            </w:r>
          </w:p>
          <w:p w14:paraId="3E55CE53">
            <w:pPr>
              <w:spacing w:line="360" w:lineRule="auto"/>
              <w:ind w:firstLine="472" w:firstLineChars="200"/>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采样时间：202</w:t>
            </w:r>
            <w:r>
              <w:rPr>
                <w:rFonts w:hint="eastAsia" w:cs="Times New Roman"/>
                <w:color w:val="auto"/>
                <w:spacing w:val="-2"/>
                <w:sz w:val="24"/>
                <w:szCs w:val="24"/>
                <w:lang w:val="en-US" w:eastAsia="zh-CN"/>
              </w:rPr>
              <w:t>6</w:t>
            </w:r>
            <w:r>
              <w:rPr>
                <w:rFonts w:hint="eastAsia" w:ascii="Times New Roman" w:hAnsi="Times New Roman" w:eastAsia="宋体" w:cs="Times New Roman"/>
                <w:color w:val="auto"/>
                <w:spacing w:val="-2"/>
                <w:sz w:val="24"/>
                <w:szCs w:val="24"/>
                <w:lang w:val="en-US" w:eastAsia="zh-CN"/>
              </w:rPr>
              <w:t>年</w:t>
            </w:r>
            <w:r>
              <w:rPr>
                <w:rFonts w:hint="eastAsia" w:cs="Times New Roman"/>
                <w:color w:val="auto"/>
                <w:spacing w:val="-2"/>
                <w:sz w:val="24"/>
                <w:szCs w:val="24"/>
                <w:lang w:val="en-US" w:eastAsia="zh-CN"/>
              </w:rPr>
              <w:t>3</w:t>
            </w:r>
            <w:r>
              <w:rPr>
                <w:rFonts w:hint="eastAsia" w:ascii="Times New Roman" w:hAnsi="Times New Roman" w:eastAsia="宋体" w:cs="Times New Roman"/>
                <w:color w:val="auto"/>
                <w:spacing w:val="-2"/>
                <w:sz w:val="24"/>
                <w:szCs w:val="24"/>
                <w:lang w:val="en-US" w:eastAsia="zh-CN"/>
              </w:rPr>
              <w:t>月</w:t>
            </w:r>
            <w:r>
              <w:rPr>
                <w:rFonts w:hint="eastAsia" w:cs="Times New Roman"/>
                <w:color w:val="auto"/>
                <w:spacing w:val="-2"/>
                <w:sz w:val="24"/>
                <w:szCs w:val="24"/>
                <w:lang w:val="en-US" w:eastAsia="zh-CN"/>
              </w:rPr>
              <w:t>28</w:t>
            </w:r>
            <w:r>
              <w:rPr>
                <w:rFonts w:hint="eastAsia" w:ascii="Times New Roman" w:hAnsi="Times New Roman" w:eastAsia="宋体" w:cs="Times New Roman"/>
                <w:color w:val="auto"/>
                <w:spacing w:val="-2"/>
                <w:sz w:val="24"/>
                <w:szCs w:val="24"/>
                <w:lang w:val="en-US" w:eastAsia="zh-CN"/>
              </w:rPr>
              <w:t>日至</w:t>
            </w:r>
            <w:r>
              <w:rPr>
                <w:rFonts w:hint="eastAsia" w:cs="Times New Roman"/>
                <w:color w:val="auto"/>
                <w:spacing w:val="-2"/>
                <w:sz w:val="24"/>
                <w:szCs w:val="24"/>
                <w:lang w:val="en-US" w:eastAsia="zh-CN"/>
              </w:rPr>
              <w:t>2026</w:t>
            </w:r>
            <w:r>
              <w:rPr>
                <w:rFonts w:hint="eastAsia" w:ascii="Times New Roman" w:hAnsi="Times New Roman" w:eastAsia="宋体" w:cs="Times New Roman"/>
                <w:color w:val="auto"/>
                <w:spacing w:val="-2"/>
                <w:sz w:val="24"/>
                <w:szCs w:val="24"/>
                <w:lang w:val="en-US" w:eastAsia="zh-CN"/>
              </w:rPr>
              <w:t>年</w:t>
            </w:r>
            <w:r>
              <w:rPr>
                <w:rFonts w:hint="eastAsia" w:cs="Times New Roman"/>
                <w:color w:val="auto"/>
                <w:spacing w:val="-2"/>
                <w:sz w:val="24"/>
                <w:szCs w:val="24"/>
                <w:lang w:val="en-US" w:eastAsia="zh-CN"/>
              </w:rPr>
              <w:t>3</w:t>
            </w:r>
            <w:r>
              <w:rPr>
                <w:rFonts w:hint="eastAsia" w:ascii="Times New Roman" w:hAnsi="Times New Roman" w:eastAsia="宋体" w:cs="Times New Roman"/>
                <w:color w:val="auto"/>
                <w:spacing w:val="-2"/>
                <w:sz w:val="24"/>
                <w:szCs w:val="24"/>
                <w:lang w:val="en-US" w:eastAsia="zh-CN"/>
              </w:rPr>
              <w:t>月</w:t>
            </w:r>
            <w:r>
              <w:rPr>
                <w:rFonts w:hint="eastAsia" w:cs="Times New Roman"/>
                <w:color w:val="auto"/>
                <w:spacing w:val="-2"/>
                <w:sz w:val="24"/>
                <w:szCs w:val="24"/>
                <w:lang w:val="en-US" w:eastAsia="zh-CN"/>
              </w:rPr>
              <w:t>31</w:t>
            </w:r>
            <w:r>
              <w:rPr>
                <w:rFonts w:hint="eastAsia" w:ascii="Times New Roman" w:hAnsi="Times New Roman" w:eastAsia="宋体" w:cs="Times New Roman"/>
                <w:color w:val="auto"/>
                <w:spacing w:val="-2"/>
                <w:sz w:val="24"/>
                <w:szCs w:val="24"/>
                <w:lang w:val="en-US" w:eastAsia="zh-CN"/>
              </w:rPr>
              <w:t>日</w:t>
            </w:r>
            <w:r>
              <w:rPr>
                <w:rFonts w:hint="default" w:ascii="Times New Roman" w:hAnsi="Times New Roman" w:eastAsia="宋体" w:cs="Times New Roman"/>
                <w:color w:val="auto"/>
                <w:spacing w:val="-2"/>
                <w:sz w:val="24"/>
                <w:szCs w:val="24"/>
              </w:rPr>
              <w:t>；</w:t>
            </w:r>
          </w:p>
          <w:p w14:paraId="40571E34">
            <w:pPr>
              <w:spacing w:line="360" w:lineRule="auto"/>
              <w:ind w:firstLine="472" w:firstLineChars="200"/>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监</w:t>
            </w:r>
            <w:r>
              <w:rPr>
                <w:rFonts w:hint="default" w:ascii="Times New Roman" w:hAnsi="Times New Roman" w:eastAsia="宋体" w:cs="Times New Roman"/>
                <w:color w:val="auto"/>
                <w:spacing w:val="-2"/>
                <w:sz w:val="24"/>
                <w:szCs w:val="24"/>
              </w:rPr>
              <w:t>测</w:t>
            </w:r>
            <w:r>
              <w:rPr>
                <w:rFonts w:hint="eastAsia" w:cs="Times New Roman"/>
                <w:color w:val="auto"/>
                <w:spacing w:val="-2"/>
                <w:sz w:val="24"/>
                <w:szCs w:val="24"/>
                <w:lang w:val="en-US" w:eastAsia="zh-CN"/>
              </w:rPr>
              <w:t>单位</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bCs/>
                <w:color w:val="auto"/>
                <w:sz w:val="24"/>
                <w:szCs w:val="24"/>
              </w:rPr>
              <w:t>云南浩辰环保科技有限公司</w:t>
            </w:r>
            <w:r>
              <w:rPr>
                <w:rFonts w:hint="default" w:ascii="Times New Roman" w:hAnsi="Times New Roman" w:eastAsia="宋体" w:cs="Times New Roman"/>
                <w:color w:val="auto"/>
                <w:spacing w:val="-2"/>
                <w:sz w:val="24"/>
                <w:szCs w:val="24"/>
              </w:rPr>
              <w:t>；</w:t>
            </w:r>
          </w:p>
          <w:p w14:paraId="381E227F">
            <w:pPr>
              <w:keepNext w:val="0"/>
              <w:keepLines w:val="0"/>
              <w:pageBreakBefore w:val="0"/>
              <w:widowControl w:val="0"/>
              <w:kinsoku/>
              <w:wordWrap/>
              <w:overflowPunct/>
              <w:topLinePunct w:val="0"/>
              <w:bidi w:val="0"/>
              <w:spacing w:line="360" w:lineRule="auto"/>
              <w:ind w:firstLine="472" w:firstLineChars="200"/>
              <w:textAlignment w:val="auto"/>
              <w:rPr>
                <w:rFonts w:hint="eastAsia"/>
                <w:color w:val="auto"/>
                <w:spacing w:val="-2"/>
                <w:sz w:val="24"/>
              </w:rPr>
            </w:pPr>
            <w:r>
              <w:rPr>
                <w:rFonts w:hint="eastAsia"/>
                <w:color w:val="auto"/>
                <w:spacing w:val="-2"/>
                <w:sz w:val="24"/>
                <w:lang w:val="en-US" w:eastAsia="zh-CN"/>
              </w:rPr>
              <w:t>废气</w:t>
            </w:r>
            <w:r>
              <w:rPr>
                <w:rFonts w:hint="eastAsia"/>
                <w:color w:val="auto"/>
                <w:spacing w:val="-2"/>
                <w:sz w:val="24"/>
              </w:rPr>
              <w:t>现状检测结果如下表所示：</w:t>
            </w:r>
          </w:p>
          <w:p w14:paraId="60B5E5BD">
            <w:pPr>
              <w:pStyle w:val="38"/>
              <w:keepNext w:val="0"/>
              <w:keepLines w:val="0"/>
              <w:pageBreakBefore w:val="0"/>
              <w:widowControl w:val="0"/>
              <w:kinsoku/>
              <w:wordWrap/>
              <w:overflowPunct/>
              <w:topLinePunct w:val="0"/>
              <w:autoSpaceDE/>
              <w:autoSpaceDN/>
              <w:bidi w:val="0"/>
              <w:spacing w:line="360" w:lineRule="auto"/>
              <w:textAlignment w:val="auto"/>
              <w:rPr>
                <w:rFonts w:hint="default" w:ascii="黑体" w:hAnsi="黑体" w:eastAsia="黑体" w:cs="黑体"/>
                <w:color w:val="auto"/>
                <w:sz w:val="21"/>
                <w:szCs w:val="21"/>
                <w:vertAlign w:val="superscript"/>
                <w:lang w:val="en-US" w:eastAsia="zh-CN"/>
              </w:rPr>
            </w:pPr>
            <w:r>
              <w:rPr>
                <w:rFonts w:hint="eastAsia" w:ascii="黑体" w:hAnsi="黑体" w:eastAsia="黑体" w:cs="黑体"/>
                <w:color w:val="auto"/>
                <w:sz w:val="21"/>
                <w:szCs w:val="21"/>
              </w:rPr>
              <w:t>表3-</w:t>
            </w:r>
            <w:r>
              <w:rPr>
                <w:rFonts w:hint="eastAsia" w:ascii="黑体" w:hAnsi="黑体" w:cs="黑体"/>
                <w:color w:val="auto"/>
                <w:sz w:val="21"/>
                <w:szCs w:val="21"/>
                <w:lang w:val="en-US" w:eastAsia="zh-CN"/>
              </w:rPr>
              <w:t>2</w:t>
            </w:r>
            <w:r>
              <w:rPr>
                <w:rFonts w:hint="eastAsia" w:ascii="黑体" w:hAnsi="黑体" w:eastAsia="黑体" w:cs="黑体"/>
                <w:color w:val="auto"/>
                <w:sz w:val="21"/>
                <w:szCs w:val="21"/>
              </w:rPr>
              <w:t xml:space="preserve"> 特征污染物</w:t>
            </w:r>
            <w:r>
              <w:rPr>
                <w:rFonts w:hint="eastAsia" w:ascii="黑体" w:hAnsi="黑体" w:eastAsia="黑体" w:cs="黑体"/>
                <w:color w:val="auto"/>
                <w:sz w:val="21"/>
                <w:szCs w:val="21"/>
                <w:lang w:val="en-US" w:eastAsia="zh-CN"/>
              </w:rPr>
              <w:t>现状</w:t>
            </w:r>
            <w:r>
              <w:rPr>
                <w:rFonts w:hint="eastAsia" w:ascii="黑体" w:hAnsi="黑体" w:eastAsia="黑体" w:cs="黑体"/>
                <w:color w:val="auto"/>
                <w:sz w:val="21"/>
                <w:szCs w:val="21"/>
              </w:rPr>
              <w:t>监测结果表 单位：</w:t>
            </w:r>
            <w:r>
              <w:rPr>
                <w:rFonts w:hint="eastAsia" w:ascii="黑体" w:hAnsi="黑体" w:eastAsia="黑体" w:cs="黑体"/>
                <w:color w:val="auto"/>
                <w:sz w:val="21"/>
                <w:szCs w:val="21"/>
                <w:lang w:val="en-US" w:eastAsia="zh-CN"/>
              </w:rPr>
              <w:t>μ</w:t>
            </w:r>
            <w:r>
              <w:rPr>
                <w:rFonts w:hint="eastAsia" w:ascii="黑体" w:hAnsi="黑体" w:eastAsia="黑体" w:cs="黑体"/>
                <w:color w:val="auto"/>
                <w:sz w:val="21"/>
                <w:szCs w:val="21"/>
              </w:rPr>
              <w:t>g/</w:t>
            </w:r>
            <w:r>
              <w:rPr>
                <w:rFonts w:hint="eastAsia" w:ascii="黑体" w:hAnsi="黑体" w:cs="黑体"/>
                <w:color w:val="auto"/>
                <w:sz w:val="21"/>
                <w:szCs w:val="21"/>
                <w:lang w:val="en-US" w:eastAsia="zh-CN"/>
              </w:rPr>
              <w:t>m</w:t>
            </w:r>
            <w:r>
              <w:rPr>
                <w:rFonts w:hint="eastAsia" w:ascii="黑体" w:hAnsi="黑体" w:cs="黑体"/>
                <w:color w:val="auto"/>
                <w:sz w:val="21"/>
                <w:szCs w:val="21"/>
                <w:vertAlign w:val="superscript"/>
                <w:lang w:val="en-US" w:eastAsia="zh-CN"/>
              </w:rPr>
              <w:t>3</w:t>
            </w:r>
          </w:p>
          <w:tbl>
            <w:tblPr>
              <w:tblStyle w:val="21"/>
              <w:tblW w:w="495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2"/>
              <w:gridCol w:w="3130"/>
              <w:gridCol w:w="1597"/>
              <w:gridCol w:w="812"/>
              <w:gridCol w:w="679"/>
            </w:tblGrid>
            <w:tr w14:paraId="7DDE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325" w:type="dxa"/>
                  <w:tcBorders>
                    <w:left w:val="nil"/>
                    <w:right w:val="single" w:color="000000" w:sz="6" w:space="0"/>
                  </w:tcBorders>
                  <w:tcMar>
                    <w:top w:w="15" w:type="dxa"/>
                    <w:left w:w="15" w:type="dxa"/>
                    <w:bottom w:w="15" w:type="dxa"/>
                    <w:right w:w="15" w:type="dxa"/>
                  </w:tcMar>
                  <w:vAlign w:val="center"/>
                </w:tcPr>
                <w:p w14:paraId="0F135D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监测点位</w:t>
                  </w:r>
                </w:p>
              </w:tc>
              <w:tc>
                <w:tcPr>
                  <w:tcW w:w="3137" w:type="dxa"/>
                  <w:tcBorders>
                    <w:left w:val="single" w:color="000000" w:sz="6" w:space="0"/>
                    <w:right w:val="single" w:color="000000" w:sz="6" w:space="0"/>
                  </w:tcBorders>
                  <w:vAlign w:val="center"/>
                </w:tcPr>
                <w:p w14:paraId="330DF1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采样日期/</w:t>
                  </w:r>
                  <w:r>
                    <w:rPr>
                      <w:rFonts w:hint="default" w:ascii="Times New Roman" w:hAnsi="Times New Roman" w:eastAsia="宋体" w:cs="Times New Roman"/>
                      <w:bCs/>
                      <w:color w:val="auto"/>
                      <w:sz w:val="18"/>
                      <w:szCs w:val="18"/>
                      <w:highlight w:val="none"/>
                    </w:rPr>
                    <w:t>时段</w:t>
                  </w:r>
                </w:p>
              </w:tc>
              <w:tc>
                <w:tcPr>
                  <w:tcW w:w="1600" w:type="dxa"/>
                  <w:tcBorders>
                    <w:left w:val="single" w:color="000000" w:sz="6" w:space="0"/>
                    <w:right w:val="single" w:color="000000" w:sz="6" w:space="0"/>
                  </w:tcBorders>
                  <w:vAlign w:val="center"/>
                </w:tcPr>
                <w:p w14:paraId="7E0F51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Cs/>
                      <w:color w:val="auto"/>
                      <w:sz w:val="18"/>
                      <w:szCs w:val="18"/>
                      <w:highlight w:val="none"/>
                    </w:rPr>
                    <w:t>样品编号</w:t>
                  </w:r>
                </w:p>
              </w:tc>
              <w:tc>
                <w:tcPr>
                  <w:tcW w:w="814" w:type="dxa"/>
                  <w:tcBorders>
                    <w:left w:val="single" w:color="000000" w:sz="6" w:space="0"/>
                    <w:right w:val="single" w:color="000000" w:sz="6" w:space="0"/>
                  </w:tcBorders>
                  <w:vAlign w:val="center"/>
                </w:tcPr>
                <w:p w14:paraId="091356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rPr>
                    <w:t>总悬浮</w:t>
                  </w:r>
                </w:p>
                <w:p w14:paraId="265EE1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rPr>
                    <w:t>颗粒物</w:t>
                  </w:r>
                </w:p>
              </w:tc>
              <w:tc>
                <w:tcPr>
                  <w:tcW w:w="680" w:type="dxa"/>
                  <w:tcBorders>
                    <w:left w:val="single" w:color="000000" w:sz="6" w:space="0"/>
                    <w:right w:val="nil"/>
                  </w:tcBorders>
                  <w:vAlign w:val="center"/>
                </w:tcPr>
                <w:p w14:paraId="1D72C10B">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单位</w:t>
                  </w:r>
                </w:p>
              </w:tc>
            </w:tr>
            <w:tr w14:paraId="22537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325" w:type="dxa"/>
                  <w:vMerge w:val="restart"/>
                  <w:tcBorders>
                    <w:left w:val="nil"/>
                    <w:right w:val="single" w:color="000000" w:sz="6" w:space="0"/>
                  </w:tcBorders>
                  <w:tcMar>
                    <w:top w:w="15" w:type="dxa"/>
                    <w:left w:w="15" w:type="dxa"/>
                    <w:bottom w:w="15" w:type="dxa"/>
                    <w:right w:w="15" w:type="dxa"/>
                  </w:tcMar>
                  <w:vAlign w:val="center"/>
                </w:tcPr>
                <w:p w14:paraId="7A3AF9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厂址下风向厂界外10m处</w:t>
                  </w:r>
                </w:p>
              </w:tc>
              <w:tc>
                <w:tcPr>
                  <w:tcW w:w="3137" w:type="dxa"/>
                  <w:tcBorders>
                    <w:left w:val="single" w:color="000000" w:sz="6" w:space="0"/>
                    <w:right w:val="single" w:color="000000" w:sz="6" w:space="0"/>
                  </w:tcBorders>
                  <w:vAlign w:val="center"/>
                </w:tcPr>
                <w:p w14:paraId="203028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2026.03.28</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19:00</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val="en-US" w:eastAsia="zh-CN"/>
                    </w:rPr>
                    <w:t>2026.03.29</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19:00</w:t>
                  </w:r>
                  <w:r>
                    <w:rPr>
                      <w:rFonts w:hint="eastAsia" w:ascii="Times New Roman" w:hAnsi="Times New Roman" w:eastAsia="宋体" w:cs="Times New Roman"/>
                      <w:color w:val="auto"/>
                      <w:sz w:val="18"/>
                      <w:szCs w:val="18"/>
                      <w:highlight w:val="none"/>
                      <w:lang w:eastAsia="zh-CN"/>
                    </w:rPr>
                    <w:t>）</w:t>
                  </w:r>
                </w:p>
              </w:tc>
              <w:tc>
                <w:tcPr>
                  <w:tcW w:w="1600" w:type="dxa"/>
                  <w:tcBorders>
                    <w:left w:val="single" w:color="000000" w:sz="6" w:space="0"/>
                    <w:right w:val="single" w:color="000000" w:sz="6" w:space="0"/>
                  </w:tcBorders>
                  <w:vAlign w:val="center"/>
                </w:tcPr>
                <w:p w14:paraId="74FE97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2603135</w:t>
                  </w:r>
                  <w:r>
                    <w:rPr>
                      <w:rFonts w:hint="default" w:ascii="Times New Roman" w:hAnsi="Times New Roman" w:eastAsia="宋体" w:cs="Times New Roman"/>
                      <w:color w:val="auto"/>
                      <w:sz w:val="18"/>
                      <w:szCs w:val="18"/>
                      <w:highlight w:val="none"/>
                    </w:rPr>
                    <w:t>HQ01-1A</w:t>
                  </w:r>
                </w:p>
              </w:tc>
              <w:tc>
                <w:tcPr>
                  <w:tcW w:w="814" w:type="dxa"/>
                  <w:tcBorders>
                    <w:left w:val="single" w:color="000000" w:sz="6" w:space="0"/>
                    <w:right w:val="single" w:color="000000" w:sz="6" w:space="0"/>
                  </w:tcBorders>
                  <w:vAlign w:val="center"/>
                </w:tcPr>
                <w:p w14:paraId="4AB922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49</w:t>
                  </w:r>
                </w:p>
              </w:tc>
              <w:tc>
                <w:tcPr>
                  <w:tcW w:w="680" w:type="dxa"/>
                  <w:tcBorders>
                    <w:left w:val="single" w:color="000000" w:sz="6" w:space="0"/>
                    <w:right w:val="nil"/>
                  </w:tcBorders>
                  <w:vAlign w:val="center"/>
                </w:tcPr>
                <w:p w14:paraId="145C4843">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µg/m</w:t>
                  </w:r>
                  <w:r>
                    <w:rPr>
                      <w:rFonts w:hint="default" w:ascii="Times New Roman" w:hAnsi="Times New Roman" w:eastAsia="宋体" w:cs="Times New Roman"/>
                      <w:color w:val="auto"/>
                      <w:sz w:val="18"/>
                      <w:szCs w:val="18"/>
                      <w:highlight w:val="none"/>
                      <w:vertAlign w:val="superscript"/>
                    </w:rPr>
                    <w:t>3</w:t>
                  </w:r>
                </w:p>
              </w:tc>
            </w:tr>
            <w:tr w14:paraId="38A36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325" w:type="dxa"/>
                  <w:vMerge w:val="continue"/>
                  <w:tcBorders>
                    <w:left w:val="nil"/>
                    <w:right w:val="single" w:color="000000" w:sz="6" w:space="0"/>
                  </w:tcBorders>
                  <w:tcMar>
                    <w:top w:w="15" w:type="dxa"/>
                    <w:left w:w="15" w:type="dxa"/>
                    <w:bottom w:w="15" w:type="dxa"/>
                    <w:right w:w="15" w:type="dxa"/>
                  </w:tcMar>
                  <w:vAlign w:val="center"/>
                </w:tcPr>
                <w:p w14:paraId="30987A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p>
              </w:tc>
              <w:tc>
                <w:tcPr>
                  <w:tcW w:w="3137" w:type="dxa"/>
                  <w:tcBorders>
                    <w:left w:val="single" w:color="000000" w:sz="6" w:space="0"/>
                    <w:right w:val="single" w:color="000000" w:sz="6" w:space="0"/>
                  </w:tcBorders>
                  <w:vAlign w:val="center"/>
                </w:tcPr>
                <w:p w14:paraId="1FB222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2026.03.29</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20:10</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val="en-US" w:eastAsia="zh-CN"/>
                    </w:rPr>
                    <w:t>2026.03.30</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20:10</w:t>
                  </w:r>
                  <w:r>
                    <w:rPr>
                      <w:rFonts w:hint="eastAsia" w:ascii="Times New Roman" w:hAnsi="Times New Roman" w:eastAsia="宋体" w:cs="Times New Roman"/>
                      <w:color w:val="auto"/>
                      <w:sz w:val="18"/>
                      <w:szCs w:val="18"/>
                      <w:highlight w:val="none"/>
                      <w:lang w:eastAsia="zh-CN"/>
                    </w:rPr>
                    <w:t>）</w:t>
                  </w:r>
                </w:p>
              </w:tc>
              <w:tc>
                <w:tcPr>
                  <w:tcW w:w="1600" w:type="dxa"/>
                  <w:tcBorders>
                    <w:left w:val="single" w:color="000000" w:sz="6" w:space="0"/>
                    <w:right w:val="single" w:color="000000" w:sz="6" w:space="0"/>
                  </w:tcBorders>
                  <w:vAlign w:val="center"/>
                </w:tcPr>
                <w:p w14:paraId="4F3C76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2603135</w:t>
                  </w:r>
                  <w:r>
                    <w:rPr>
                      <w:rFonts w:hint="default" w:ascii="Times New Roman" w:hAnsi="Times New Roman" w:eastAsia="宋体" w:cs="Times New Roman"/>
                      <w:color w:val="auto"/>
                      <w:sz w:val="18"/>
                      <w:szCs w:val="18"/>
                      <w:highlight w:val="none"/>
                    </w:rPr>
                    <w:t>HQ01-2A</w:t>
                  </w:r>
                </w:p>
              </w:tc>
              <w:tc>
                <w:tcPr>
                  <w:tcW w:w="814" w:type="dxa"/>
                  <w:tcBorders>
                    <w:left w:val="single" w:color="000000" w:sz="6" w:space="0"/>
                    <w:right w:val="single" w:color="000000" w:sz="6" w:space="0"/>
                  </w:tcBorders>
                  <w:vAlign w:val="center"/>
                </w:tcPr>
                <w:p w14:paraId="0B6D98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46</w:t>
                  </w:r>
                </w:p>
              </w:tc>
              <w:tc>
                <w:tcPr>
                  <w:tcW w:w="680" w:type="dxa"/>
                  <w:tcBorders>
                    <w:left w:val="single" w:color="000000" w:sz="6" w:space="0"/>
                    <w:right w:val="nil"/>
                  </w:tcBorders>
                  <w:vAlign w:val="center"/>
                </w:tcPr>
                <w:p w14:paraId="048B9505">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µg/m</w:t>
                  </w:r>
                  <w:r>
                    <w:rPr>
                      <w:rFonts w:hint="default" w:ascii="Times New Roman" w:hAnsi="Times New Roman" w:eastAsia="宋体" w:cs="Times New Roman"/>
                      <w:color w:val="auto"/>
                      <w:sz w:val="18"/>
                      <w:szCs w:val="18"/>
                      <w:highlight w:val="none"/>
                      <w:vertAlign w:val="superscript"/>
                    </w:rPr>
                    <w:t>3</w:t>
                  </w:r>
                </w:p>
              </w:tc>
            </w:tr>
            <w:tr w14:paraId="08C5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1325" w:type="dxa"/>
                  <w:vMerge w:val="continue"/>
                  <w:tcBorders>
                    <w:left w:val="nil"/>
                    <w:right w:val="single" w:color="000000" w:sz="6" w:space="0"/>
                  </w:tcBorders>
                  <w:tcMar>
                    <w:top w:w="15" w:type="dxa"/>
                    <w:left w:w="15" w:type="dxa"/>
                    <w:bottom w:w="15" w:type="dxa"/>
                    <w:right w:w="15" w:type="dxa"/>
                  </w:tcMar>
                  <w:vAlign w:val="center"/>
                </w:tcPr>
                <w:p w14:paraId="029E12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p>
              </w:tc>
              <w:tc>
                <w:tcPr>
                  <w:tcW w:w="3137" w:type="dxa"/>
                  <w:tcBorders>
                    <w:left w:val="single" w:color="000000" w:sz="6" w:space="0"/>
                    <w:right w:val="single" w:color="000000" w:sz="6" w:space="0"/>
                  </w:tcBorders>
                  <w:vAlign w:val="center"/>
                </w:tcPr>
                <w:p w14:paraId="3820C4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2026.03.30</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20:40</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val="en-US" w:eastAsia="zh-CN"/>
                    </w:rPr>
                    <w:t>2026.03.31</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20:40</w:t>
                  </w:r>
                  <w:r>
                    <w:rPr>
                      <w:rFonts w:hint="eastAsia" w:ascii="Times New Roman" w:hAnsi="Times New Roman" w:eastAsia="宋体" w:cs="Times New Roman"/>
                      <w:color w:val="auto"/>
                      <w:sz w:val="18"/>
                      <w:szCs w:val="18"/>
                      <w:highlight w:val="none"/>
                      <w:lang w:eastAsia="zh-CN"/>
                    </w:rPr>
                    <w:t>）</w:t>
                  </w:r>
                </w:p>
              </w:tc>
              <w:tc>
                <w:tcPr>
                  <w:tcW w:w="1600" w:type="dxa"/>
                  <w:tcBorders>
                    <w:left w:val="single" w:color="000000" w:sz="6" w:space="0"/>
                    <w:right w:val="single" w:color="000000" w:sz="6" w:space="0"/>
                  </w:tcBorders>
                  <w:vAlign w:val="center"/>
                </w:tcPr>
                <w:p w14:paraId="443E29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2603135</w:t>
                  </w:r>
                  <w:r>
                    <w:rPr>
                      <w:rFonts w:hint="default" w:ascii="Times New Roman" w:hAnsi="Times New Roman" w:eastAsia="宋体" w:cs="Times New Roman"/>
                      <w:color w:val="auto"/>
                      <w:sz w:val="18"/>
                      <w:szCs w:val="18"/>
                      <w:highlight w:val="none"/>
                    </w:rPr>
                    <w:t>HQ01-3A</w:t>
                  </w:r>
                </w:p>
              </w:tc>
              <w:tc>
                <w:tcPr>
                  <w:tcW w:w="814" w:type="dxa"/>
                  <w:tcBorders>
                    <w:left w:val="single" w:color="000000" w:sz="6" w:space="0"/>
                    <w:right w:val="single" w:color="000000" w:sz="6" w:space="0"/>
                  </w:tcBorders>
                  <w:vAlign w:val="center"/>
                </w:tcPr>
                <w:p w14:paraId="532F27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49</w:t>
                  </w:r>
                </w:p>
              </w:tc>
              <w:tc>
                <w:tcPr>
                  <w:tcW w:w="680" w:type="dxa"/>
                  <w:tcBorders>
                    <w:left w:val="single" w:color="000000" w:sz="6" w:space="0"/>
                    <w:right w:val="nil"/>
                  </w:tcBorders>
                  <w:vAlign w:val="center"/>
                </w:tcPr>
                <w:p w14:paraId="45157EBE">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µg/m</w:t>
                  </w:r>
                  <w:r>
                    <w:rPr>
                      <w:rFonts w:hint="default" w:ascii="Times New Roman" w:hAnsi="Times New Roman" w:eastAsia="宋体" w:cs="Times New Roman"/>
                      <w:color w:val="auto"/>
                      <w:sz w:val="18"/>
                      <w:szCs w:val="18"/>
                      <w:highlight w:val="none"/>
                      <w:vertAlign w:val="superscript"/>
                    </w:rPr>
                    <w:t>3</w:t>
                  </w:r>
                </w:p>
              </w:tc>
            </w:tr>
          </w:tbl>
          <w:p w14:paraId="3DF1EFDB">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上表监检测结果表可知</w:t>
            </w:r>
            <w:r>
              <w:rPr>
                <w:rFonts w:hint="default" w:ascii="Times New Roman" w:hAnsi="Times New Roman" w:eastAsia="宋体" w:cs="Times New Roman"/>
                <w:color w:val="auto"/>
                <w:sz w:val="24"/>
                <w:szCs w:val="24"/>
              </w:rPr>
              <w:t>，项目区域特征因子TSP能满足《环境空气质量标准》（GB3095-20</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）二级标准</w:t>
            </w:r>
            <w:r>
              <w:rPr>
                <w:rFonts w:hint="default" w:ascii="Times New Roman" w:hAnsi="Times New Roman" w:eastAsia="宋体" w:cs="Times New Roman"/>
                <w:color w:val="auto"/>
                <w:sz w:val="24"/>
                <w:szCs w:val="24"/>
                <w:lang w:val="en-US" w:eastAsia="zh-CN"/>
              </w:rPr>
              <w:t>，即TSP（日均）≤300</w:t>
            </w:r>
            <w:r>
              <w:rPr>
                <w:rFonts w:hint="default" w:ascii="Times New Roman" w:hAnsi="Times New Roman" w:eastAsia="宋体" w:cs="Times New Roman"/>
                <w:color w:val="auto"/>
                <w:kern w:val="2"/>
                <w:sz w:val="24"/>
                <w:szCs w:val="24"/>
                <w:lang w:val="en-US" w:eastAsia="zh-CN"/>
              </w:rPr>
              <w:t>μg</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74FBBCF8">
            <w:pPr>
              <w:pStyle w:val="25"/>
              <w:keepLines w:val="0"/>
              <w:pageBreakBefore w:val="0"/>
              <w:widowControl w:val="0"/>
              <w:kinsoku/>
              <w:overflowPunct/>
              <w:autoSpaceDE/>
              <w:autoSpaceDN/>
              <w:bidi w:val="0"/>
              <w:ind w:left="0"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rPr>
              <w:t>综上所述，项目所在区域的环境空气质量能达到《环境空气质量标准》（GB3095-20</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）二级标准</w:t>
            </w:r>
            <w:r>
              <w:rPr>
                <w:rFonts w:hint="eastAsia" w:cs="Times New Roman"/>
                <w:color w:val="auto"/>
                <w:sz w:val="24"/>
                <w:szCs w:val="24"/>
                <w:lang w:val="en-US" w:eastAsia="zh-CN"/>
              </w:rPr>
              <w:t>过渡阶段浓度限值</w:t>
            </w:r>
            <w:r>
              <w:rPr>
                <w:rFonts w:hint="default" w:ascii="Times New Roman" w:hAnsi="Times New Roman" w:eastAsia="宋体" w:cs="Times New Roman"/>
                <w:color w:val="auto"/>
                <w:sz w:val="24"/>
                <w:szCs w:val="24"/>
              </w:rPr>
              <w:t>，项目区域的大气环境质量良好。</w:t>
            </w:r>
          </w:p>
          <w:p w14:paraId="0DBFAE73">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color w:val="auto"/>
                <w:sz w:val="24"/>
              </w:rPr>
            </w:pPr>
            <w:r>
              <w:rPr>
                <w:rFonts w:hint="eastAsia" w:ascii="Times New Roman" w:hAnsi="Times New Roman" w:cs="Times New Roman"/>
                <w:b/>
                <w:bCs/>
                <w:color w:val="auto"/>
                <w:sz w:val="24"/>
                <w:lang w:val="en-US" w:eastAsia="zh-CN"/>
              </w:rPr>
              <w:t>2</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地表水环境质量</w:t>
            </w:r>
          </w:p>
          <w:p w14:paraId="0BAD9317">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地表水环境质量标准</w:t>
            </w:r>
          </w:p>
          <w:p w14:paraId="0D286FB4">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本项目位于云南易门产业园区大椿树片区</w:t>
            </w:r>
            <w:r>
              <w:rPr>
                <w:rFonts w:hint="default" w:ascii="Times New Roman" w:hAnsi="Times New Roman" w:eastAsia="宋体" w:cs="Times New Roman"/>
                <w:color w:val="auto"/>
                <w:sz w:val="24"/>
                <w:szCs w:val="24"/>
                <w:lang w:val="en-US" w:eastAsia="zh-CN"/>
              </w:rPr>
              <w:t>，根据调查，项目周边距离最近的地表水体为</w:t>
            </w:r>
            <w:r>
              <w:rPr>
                <w:rFonts w:hint="eastAsia" w:ascii="Times New Roman" w:hAnsi="Times New Roman" w:eastAsia="宋体" w:cs="Times New Roman"/>
                <w:color w:val="auto"/>
                <w:sz w:val="24"/>
                <w:szCs w:val="24"/>
                <w:lang w:val="en-US" w:eastAsia="zh-CN"/>
              </w:rPr>
              <w:t>总厂界</w:t>
            </w:r>
            <w:r>
              <w:rPr>
                <w:rFonts w:hint="default" w:ascii="Times New Roman" w:hAnsi="Times New Roman" w:eastAsia="宋体" w:cs="Times New Roman"/>
                <w:color w:val="auto"/>
                <w:sz w:val="24"/>
                <w:szCs w:val="24"/>
                <w:lang w:val="en-US" w:eastAsia="zh-CN"/>
              </w:rPr>
              <w:t>东南侧</w:t>
            </w:r>
            <w:r>
              <w:rPr>
                <w:rFonts w:hint="eastAsia" w:ascii="Times New Roman" w:hAnsi="Times New Roman" w:eastAsia="宋体" w:cs="Times New Roman"/>
                <w:color w:val="auto"/>
                <w:sz w:val="24"/>
                <w:szCs w:val="24"/>
                <w:lang w:val="en-US" w:eastAsia="zh-CN"/>
              </w:rPr>
              <w:t>2960</w:t>
            </w:r>
            <w:r>
              <w:rPr>
                <w:rFonts w:hint="default" w:ascii="Times New Roman" w:hAnsi="Times New Roman" w:eastAsia="宋体" w:cs="Times New Roman"/>
                <w:color w:val="auto"/>
                <w:sz w:val="24"/>
                <w:szCs w:val="24"/>
                <w:lang w:val="en-US" w:eastAsia="zh-CN"/>
              </w:rPr>
              <w:t>m处的双龙河，双龙河自北向东南汇入扒河，最终汇入绿汁江。根据《云南省水功能区划（2014年修订）》（云政复〔2014〕27号），项目所在区域地表水属于“扒河易门工业、农业用水区”，该区域由易门县大谷厂至阿姑水文站，全长11.5km，区内有著名的易门铜矿和水泥、农机、合成氨、制糖等工业用水，沿河有农灌用水。现状水质为Ⅲ类，规划水平年水质目标为Ⅲ类。由于目前未对双龙河进行水环境功能区划分，根据支流保护类别不得低于干流的原则，双龙河水质参照执行《地表水环境质量标准》（GB3838-2002）Ⅲ类标准。</w:t>
            </w:r>
            <w:r>
              <w:rPr>
                <w:rFonts w:hint="default" w:ascii="Times New Roman" w:hAnsi="Times New Roman" w:eastAsia="宋体" w:cs="Times New Roman"/>
                <w:color w:val="auto"/>
                <w:sz w:val="24"/>
                <w:szCs w:val="24"/>
              </w:rPr>
              <w:t>标准值详见下表</w:t>
            </w:r>
            <w:r>
              <w:rPr>
                <w:rFonts w:hint="eastAsia" w:ascii="Times New Roman" w:hAnsi="Times New Roman" w:eastAsia="宋体" w:cs="Times New Roman"/>
                <w:color w:val="auto"/>
                <w:sz w:val="24"/>
                <w:szCs w:val="24"/>
                <w:lang w:eastAsia="zh-CN"/>
              </w:rPr>
              <w:t>：</w:t>
            </w:r>
          </w:p>
          <w:p w14:paraId="1E580F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表3-</w:t>
            </w:r>
            <w:r>
              <w:rPr>
                <w:rFonts w:hint="eastAsia" w:ascii="黑体" w:hAnsi="黑体" w:eastAsia="黑体" w:cs="黑体"/>
                <w:b w:val="0"/>
                <w:bCs w:val="0"/>
                <w:color w:val="auto"/>
                <w:sz w:val="21"/>
                <w:szCs w:val="21"/>
                <w:lang w:val="en-US" w:eastAsia="zh-CN"/>
              </w:rPr>
              <w:t xml:space="preserve">3   </w:t>
            </w:r>
            <w:r>
              <w:rPr>
                <w:rFonts w:hint="eastAsia" w:ascii="黑体" w:hAnsi="黑体" w:eastAsia="黑体" w:cs="黑体"/>
                <w:b w:val="0"/>
                <w:bCs w:val="0"/>
                <w:color w:val="auto"/>
                <w:sz w:val="21"/>
                <w:szCs w:val="21"/>
              </w:rPr>
              <w:t>地表水环境质量标准</w:t>
            </w:r>
            <w:r>
              <w:rPr>
                <w:rFonts w:hint="eastAsia" w:ascii="黑体" w:hAnsi="黑体" w:eastAsia="黑体" w:cs="黑体"/>
                <w:b w:val="0"/>
                <w:bCs w:val="0"/>
                <w:color w:val="auto"/>
                <w:sz w:val="21"/>
                <w:szCs w:val="21"/>
                <w:lang w:val="en-US" w:eastAsia="zh-CN"/>
              </w:rPr>
              <w:t xml:space="preserve">   </w:t>
            </w:r>
            <w:r>
              <w:rPr>
                <w:rFonts w:hint="eastAsia" w:ascii="黑体" w:hAnsi="黑体" w:eastAsia="黑体" w:cs="黑体"/>
                <w:b w:val="0"/>
                <w:bCs w:val="0"/>
                <w:color w:val="auto"/>
                <w:sz w:val="21"/>
                <w:szCs w:val="21"/>
              </w:rPr>
              <w:t>单位：mg/L，pH值除外</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021"/>
              <w:gridCol w:w="2882"/>
            </w:tblGrid>
            <w:tr w14:paraId="76216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470" w:type="pct"/>
                  <w:tcBorders>
                    <w:tl2br w:val="nil"/>
                    <w:tr2bl w:val="nil"/>
                  </w:tcBorders>
                  <w:noWrap w:val="0"/>
                  <w:vAlign w:val="center"/>
                </w:tcPr>
                <w:p w14:paraId="208432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序号</w:t>
                  </w:r>
                </w:p>
              </w:tc>
              <w:tc>
                <w:tcPr>
                  <w:tcW w:w="2638" w:type="pct"/>
                  <w:tcBorders>
                    <w:tl2br w:val="nil"/>
                    <w:tr2bl w:val="nil"/>
                  </w:tcBorders>
                  <w:noWrap w:val="0"/>
                  <w:vAlign w:val="center"/>
                </w:tcPr>
                <w:p w14:paraId="484E9A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项目</w:t>
                  </w:r>
                </w:p>
              </w:tc>
              <w:tc>
                <w:tcPr>
                  <w:tcW w:w="1890" w:type="pct"/>
                  <w:tcBorders>
                    <w:tl2br w:val="nil"/>
                    <w:tr2bl w:val="nil"/>
                  </w:tcBorders>
                  <w:noWrap w:val="0"/>
                  <w:vAlign w:val="center"/>
                </w:tcPr>
                <w:p w14:paraId="02CCC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Ⅲ类标准值（单位mg/L）</w:t>
                  </w:r>
                </w:p>
              </w:tc>
            </w:tr>
            <w:tr w14:paraId="0FF5C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4C62AF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w:t>
                  </w:r>
                </w:p>
              </w:tc>
              <w:tc>
                <w:tcPr>
                  <w:tcW w:w="2638" w:type="pct"/>
                  <w:tcBorders>
                    <w:tl2br w:val="nil"/>
                    <w:tr2bl w:val="nil"/>
                  </w:tcBorders>
                  <w:noWrap w:val="0"/>
                  <w:vAlign w:val="center"/>
                </w:tcPr>
                <w:p w14:paraId="58A04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pH值（无量纲）</w:t>
                  </w:r>
                </w:p>
              </w:tc>
              <w:tc>
                <w:tcPr>
                  <w:tcW w:w="1890" w:type="pct"/>
                  <w:tcBorders>
                    <w:tl2br w:val="nil"/>
                    <w:tr2bl w:val="nil"/>
                  </w:tcBorders>
                  <w:noWrap w:val="0"/>
                  <w:vAlign w:val="center"/>
                </w:tcPr>
                <w:p w14:paraId="593C9D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6-9</w:t>
                  </w:r>
                </w:p>
              </w:tc>
            </w:tr>
            <w:tr w14:paraId="6EA0F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194570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w:t>
                  </w:r>
                </w:p>
              </w:tc>
              <w:tc>
                <w:tcPr>
                  <w:tcW w:w="2638" w:type="pct"/>
                  <w:tcBorders>
                    <w:tl2br w:val="nil"/>
                    <w:tr2bl w:val="nil"/>
                  </w:tcBorders>
                  <w:noWrap w:val="0"/>
                  <w:vAlign w:val="center"/>
                </w:tcPr>
                <w:p w14:paraId="60A854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溶解氧≥</w:t>
                  </w:r>
                </w:p>
              </w:tc>
              <w:tc>
                <w:tcPr>
                  <w:tcW w:w="1890" w:type="pct"/>
                  <w:tcBorders>
                    <w:tl2br w:val="nil"/>
                    <w:tr2bl w:val="nil"/>
                  </w:tcBorders>
                  <w:noWrap w:val="0"/>
                  <w:vAlign w:val="center"/>
                </w:tcPr>
                <w:p w14:paraId="785E89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w:t>
                  </w:r>
                </w:p>
              </w:tc>
            </w:tr>
            <w:tr w14:paraId="67128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185174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w:t>
                  </w:r>
                </w:p>
              </w:tc>
              <w:tc>
                <w:tcPr>
                  <w:tcW w:w="2638" w:type="pct"/>
                  <w:tcBorders>
                    <w:tl2br w:val="nil"/>
                    <w:tr2bl w:val="nil"/>
                  </w:tcBorders>
                  <w:noWrap w:val="0"/>
                  <w:vAlign w:val="center"/>
                </w:tcPr>
                <w:p w14:paraId="24BA38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高锰酸盐指数≤</w:t>
                  </w:r>
                </w:p>
              </w:tc>
              <w:tc>
                <w:tcPr>
                  <w:tcW w:w="1890" w:type="pct"/>
                  <w:tcBorders>
                    <w:tl2br w:val="nil"/>
                    <w:tr2bl w:val="nil"/>
                  </w:tcBorders>
                  <w:noWrap w:val="0"/>
                  <w:vAlign w:val="center"/>
                </w:tcPr>
                <w:p w14:paraId="7B256F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6</w:t>
                  </w:r>
                </w:p>
              </w:tc>
            </w:tr>
            <w:tr w14:paraId="33AA4B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579D1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4</w:t>
                  </w:r>
                </w:p>
              </w:tc>
              <w:tc>
                <w:tcPr>
                  <w:tcW w:w="2638" w:type="pct"/>
                  <w:tcBorders>
                    <w:tl2br w:val="nil"/>
                    <w:tr2bl w:val="nil"/>
                  </w:tcBorders>
                  <w:noWrap w:val="0"/>
                  <w:vAlign w:val="center"/>
                </w:tcPr>
                <w:p w14:paraId="3472A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化学需氧量（</w:t>
                  </w:r>
                  <w:r>
                    <w:rPr>
                      <w:rFonts w:hint="default" w:ascii="Times New Roman" w:hAnsi="Times New Roman" w:eastAsia="宋体" w:cs="Times New Roman"/>
                      <w:b w:val="0"/>
                      <w:bCs w:val="0"/>
                      <w:color w:val="auto"/>
                      <w:sz w:val="18"/>
                      <w:szCs w:val="18"/>
                      <w:lang w:eastAsia="zh-CN"/>
                    </w:rPr>
                    <w:t>COD</w:t>
                  </w:r>
                  <w:r>
                    <w:rPr>
                      <w:rFonts w:hint="default" w:ascii="Times New Roman" w:hAnsi="Times New Roman" w:eastAsia="宋体" w:cs="Times New Roman"/>
                      <w:b w:val="0"/>
                      <w:bCs w:val="0"/>
                      <w:color w:val="auto"/>
                      <w:sz w:val="18"/>
                      <w:szCs w:val="18"/>
                      <w:vertAlign w:val="subscript"/>
                      <w:lang w:eastAsia="zh-CN"/>
                    </w:rPr>
                    <w:t>cr</w:t>
                  </w:r>
                  <w:r>
                    <w:rPr>
                      <w:rFonts w:hint="default" w:ascii="Times New Roman" w:hAnsi="Times New Roman" w:eastAsia="宋体" w:cs="Times New Roman"/>
                      <w:b w:val="0"/>
                      <w:bCs w:val="0"/>
                      <w:color w:val="auto"/>
                      <w:sz w:val="18"/>
                      <w:szCs w:val="18"/>
                    </w:rPr>
                    <w:t>）≤</w:t>
                  </w:r>
                </w:p>
              </w:tc>
              <w:tc>
                <w:tcPr>
                  <w:tcW w:w="1890" w:type="pct"/>
                  <w:tcBorders>
                    <w:tl2br w:val="nil"/>
                    <w:tr2bl w:val="nil"/>
                  </w:tcBorders>
                  <w:noWrap w:val="0"/>
                  <w:vAlign w:val="center"/>
                </w:tcPr>
                <w:p w14:paraId="26E8F4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w:t>
                  </w:r>
                </w:p>
              </w:tc>
            </w:tr>
            <w:tr w14:paraId="4A84B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76D6E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w:t>
                  </w:r>
                </w:p>
              </w:tc>
              <w:tc>
                <w:tcPr>
                  <w:tcW w:w="2638" w:type="pct"/>
                  <w:tcBorders>
                    <w:tl2br w:val="nil"/>
                    <w:tr2bl w:val="nil"/>
                  </w:tcBorders>
                  <w:noWrap w:val="0"/>
                  <w:vAlign w:val="center"/>
                </w:tcPr>
                <w:p w14:paraId="182B8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五日生化需氧量（BOD</w:t>
                  </w:r>
                  <w:r>
                    <w:rPr>
                      <w:rFonts w:hint="default" w:ascii="Times New Roman" w:hAnsi="Times New Roman" w:eastAsia="宋体" w:cs="Times New Roman"/>
                      <w:b w:val="0"/>
                      <w:bCs w:val="0"/>
                      <w:color w:val="auto"/>
                      <w:sz w:val="18"/>
                      <w:szCs w:val="18"/>
                      <w:vertAlign w:val="subscript"/>
                    </w:rPr>
                    <w:t>5</w:t>
                  </w:r>
                  <w:r>
                    <w:rPr>
                      <w:rFonts w:hint="default" w:ascii="Times New Roman" w:hAnsi="Times New Roman" w:eastAsia="宋体" w:cs="Times New Roman"/>
                      <w:b w:val="0"/>
                      <w:bCs w:val="0"/>
                      <w:color w:val="auto"/>
                      <w:sz w:val="18"/>
                      <w:szCs w:val="18"/>
                    </w:rPr>
                    <w:t>）≤</w:t>
                  </w:r>
                </w:p>
              </w:tc>
              <w:tc>
                <w:tcPr>
                  <w:tcW w:w="1890" w:type="pct"/>
                  <w:tcBorders>
                    <w:tl2br w:val="nil"/>
                    <w:tr2bl w:val="nil"/>
                  </w:tcBorders>
                  <w:noWrap w:val="0"/>
                  <w:vAlign w:val="center"/>
                </w:tcPr>
                <w:p w14:paraId="14DED1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4</w:t>
                  </w:r>
                </w:p>
              </w:tc>
            </w:tr>
            <w:tr w14:paraId="50E8FC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71597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6</w:t>
                  </w:r>
                </w:p>
              </w:tc>
              <w:tc>
                <w:tcPr>
                  <w:tcW w:w="2638" w:type="pct"/>
                  <w:tcBorders>
                    <w:tl2br w:val="nil"/>
                    <w:tr2bl w:val="nil"/>
                  </w:tcBorders>
                  <w:noWrap w:val="0"/>
                  <w:vAlign w:val="center"/>
                </w:tcPr>
                <w:p w14:paraId="72C184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氨氮（NH</w:t>
                  </w:r>
                  <w:r>
                    <w:rPr>
                      <w:rFonts w:hint="default" w:ascii="Times New Roman" w:hAnsi="Times New Roman" w:eastAsia="宋体" w:cs="Times New Roman"/>
                      <w:b w:val="0"/>
                      <w:bCs w:val="0"/>
                      <w:color w:val="auto"/>
                      <w:sz w:val="18"/>
                      <w:szCs w:val="18"/>
                      <w:vertAlign w:val="subscript"/>
                    </w:rPr>
                    <w:t>3</w:t>
                  </w:r>
                  <w:r>
                    <w:rPr>
                      <w:rFonts w:hint="default" w:ascii="Times New Roman" w:hAnsi="Times New Roman" w:eastAsia="宋体" w:cs="Times New Roman"/>
                      <w:b w:val="0"/>
                      <w:bCs w:val="0"/>
                      <w:color w:val="auto"/>
                      <w:sz w:val="18"/>
                      <w:szCs w:val="18"/>
                    </w:rPr>
                    <w:t>-N）≤</w:t>
                  </w:r>
                </w:p>
              </w:tc>
              <w:tc>
                <w:tcPr>
                  <w:tcW w:w="1890" w:type="pct"/>
                  <w:tcBorders>
                    <w:tl2br w:val="nil"/>
                    <w:tr2bl w:val="nil"/>
                  </w:tcBorders>
                  <w:noWrap w:val="0"/>
                  <w:vAlign w:val="center"/>
                </w:tcPr>
                <w:p w14:paraId="188998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r>
            <w:tr w14:paraId="24AF74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183E6C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7</w:t>
                  </w:r>
                </w:p>
              </w:tc>
              <w:tc>
                <w:tcPr>
                  <w:tcW w:w="2638" w:type="pct"/>
                  <w:tcBorders>
                    <w:tl2br w:val="nil"/>
                    <w:tr2bl w:val="nil"/>
                  </w:tcBorders>
                  <w:noWrap w:val="0"/>
                  <w:vAlign w:val="center"/>
                </w:tcPr>
                <w:p w14:paraId="1572D9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总磷（以P计）≤</w:t>
                  </w:r>
                </w:p>
              </w:tc>
              <w:tc>
                <w:tcPr>
                  <w:tcW w:w="1890" w:type="pct"/>
                  <w:tcBorders>
                    <w:tl2br w:val="nil"/>
                    <w:tr2bl w:val="nil"/>
                  </w:tcBorders>
                  <w:noWrap w:val="0"/>
                  <w:vAlign w:val="center"/>
                </w:tcPr>
                <w:p w14:paraId="7F5F3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0.2</w:t>
                  </w:r>
                </w:p>
              </w:tc>
            </w:tr>
            <w:tr w14:paraId="6E1ED0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4D397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8</w:t>
                  </w:r>
                </w:p>
              </w:tc>
              <w:tc>
                <w:tcPr>
                  <w:tcW w:w="2638" w:type="pct"/>
                  <w:tcBorders>
                    <w:tl2br w:val="nil"/>
                    <w:tr2bl w:val="nil"/>
                  </w:tcBorders>
                  <w:noWrap w:val="0"/>
                  <w:vAlign w:val="center"/>
                </w:tcPr>
                <w:p w14:paraId="2DE90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铜≤</w:t>
                  </w:r>
                </w:p>
              </w:tc>
              <w:tc>
                <w:tcPr>
                  <w:tcW w:w="1890" w:type="pct"/>
                  <w:tcBorders>
                    <w:tl2br w:val="nil"/>
                    <w:tr2bl w:val="nil"/>
                  </w:tcBorders>
                  <w:noWrap w:val="0"/>
                  <w:vAlign w:val="center"/>
                </w:tcPr>
                <w:p w14:paraId="76A454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r>
            <w:tr w14:paraId="0911EA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01FF6E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9</w:t>
                  </w:r>
                </w:p>
              </w:tc>
              <w:tc>
                <w:tcPr>
                  <w:tcW w:w="2638" w:type="pct"/>
                  <w:tcBorders>
                    <w:tl2br w:val="nil"/>
                    <w:tr2bl w:val="nil"/>
                  </w:tcBorders>
                  <w:noWrap w:val="0"/>
                  <w:vAlign w:val="center"/>
                </w:tcPr>
                <w:p w14:paraId="3BF59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锌≤</w:t>
                  </w:r>
                </w:p>
              </w:tc>
              <w:tc>
                <w:tcPr>
                  <w:tcW w:w="1890" w:type="pct"/>
                  <w:tcBorders>
                    <w:tl2br w:val="nil"/>
                    <w:tr2bl w:val="nil"/>
                  </w:tcBorders>
                  <w:noWrap w:val="0"/>
                  <w:vAlign w:val="center"/>
                </w:tcPr>
                <w:p w14:paraId="0BF257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r>
            <w:tr w14:paraId="6A95FF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0873D9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c>
                <w:tcPr>
                  <w:tcW w:w="2638" w:type="pct"/>
                  <w:tcBorders>
                    <w:tl2br w:val="nil"/>
                    <w:tr2bl w:val="nil"/>
                  </w:tcBorders>
                  <w:noWrap w:val="0"/>
                  <w:vAlign w:val="center"/>
                </w:tcPr>
                <w:p w14:paraId="66384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氟化物（以F</w:t>
                  </w:r>
                  <w:r>
                    <w:rPr>
                      <w:rFonts w:hint="default" w:ascii="Times New Roman" w:hAnsi="Times New Roman" w:eastAsia="宋体" w:cs="Times New Roman"/>
                      <w:b w:val="0"/>
                      <w:bCs w:val="0"/>
                      <w:color w:val="auto"/>
                      <w:sz w:val="18"/>
                      <w:szCs w:val="18"/>
                      <w:vertAlign w:val="superscript"/>
                    </w:rPr>
                    <w:t>-</w:t>
                  </w:r>
                  <w:r>
                    <w:rPr>
                      <w:rFonts w:hint="default" w:ascii="Times New Roman" w:hAnsi="Times New Roman" w:eastAsia="宋体" w:cs="Times New Roman"/>
                      <w:b w:val="0"/>
                      <w:bCs w:val="0"/>
                      <w:color w:val="auto"/>
                      <w:sz w:val="18"/>
                      <w:szCs w:val="18"/>
                    </w:rPr>
                    <w:t>计）≤</w:t>
                  </w:r>
                </w:p>
              </w:tc>
              <w:tc>
                <w:tcPr>
                  <w:tcW w:w="1890" w:type="pct"/>
                  <w:tcBorders>
                    <w:tl2br w:val="nil"/>
                    <w:tr2bl w:val="nil"/>
                  </w:tcBorders>
                  <w:noWrap w:val="0"/>
                  <w:vAlign w:val="center"/>
                </w:tcPr>
                <w:p w14:paraId="20C429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r>
            <w:tr w14:paraId="43FCBA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2DA8E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11</w:t>
                  </w:r>
                </w:p>
              </w:tc>
              <w:tc>
                <w:tcPr>
                  <w:tcW w:w="2638" w:type="pct"/>
                  <w:tcBorders>
                    <w:tl2br w:val="nil"/>
                    <w:tr2bl w:val="nil"/>
                  </w:tcBorders>
                  <w:noWrap w:val="0"/>
                  <w:vAlign w:val="center"/>
                </w:tcPr>
                <w:p w14:paraId="2D7B9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硒≤</w:t>
                  </w:r>
                </w:p>
              </w:tc>
              <w:tc>
                <w:tcPr>
                  <w:tcW w:w="1890" w:type="pct"/>
                  <w:tcBorders>
                    <w:tl2br w:val="nil"/>
                    <w:tr2bl w:val="nil"/>
                  </w:tcBorders>
                  <w:noWrap w:val="0"/>
                  <w:vAlign w:val="center"/>
                </w:tcPr>
                <w:p w14:paraId="0B2C40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0.01</w:t>
                  </w:r>
                </w:p>
              </w:tc>
            </w:tr>
            <w:tr w14:paraId="6AB742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0F180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12</w:t>
                  </w:r>
                </w:p>
              </w:tc>
              <w:tc>
                <w:tcPr>
                  <w:tcW w:w="2638" w:type="pct"/>
                  <w:tcBorders>
                    <w:tl2br w:val="nil"/>
                    <w:tr2bl w:val="nil"/>
                  </w:tcBorders>
                  <w:noWrap w:val="0"/>
                  <w:vAlign w:val="center"/>
                </w:tcPr>
                <w:p w14:paraId="320553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砷≤</w:t>
                  </w:r>
                </w:p>
              </w:tc>
              <w:tc>
                <w:tcPr>
                  <w:tcW w:w="1890" w:type="pct"/>
                  <w:tcBorders>
                    <w:tl2br w:val="nil"/>
                    <w:tr2bl w:val="nil"/>
                  </w:tcBorders>
                  <w:noWrap w:val="0"/>
                  <w:vAlign w:val="center"/>
                </w:tcPr>
                <w:p w14:paraId="0D8B3F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0.05</w:t>
                  </w:r>
                </w:p>
              </w:tc>
            </w:tr>
            <w:tr w14:paraId="732A4D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71D0CA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13</w:t>
                  </w:r>
                </w:p>
              </w:tc>
              <w:tc>
                <w:tcPr>
                  <w:tcW w:w="2638" w:type="pct"/>
                  <w:tcBorders>
                    <w:tl2br w:val="nil"/>
                    <w:tr2bl w:val="nil"/>
                  </w:tcBorders>
                  <w:noWrap w:val="0"/>
                  <w:vAlign w:val="center"/>
                </w:tcPr>
                <w:p w14:paraId="38BE5A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汞≤</w:t>
                  </w:r>
                </w:p>
              </w:tc>
              <w:tc>
                <w:tcPr>
                  <w:tcW w:w="1890" w:type="pct"/>
                  <w:tcBorders>
                    <w:tl2br w:val="nil"/>
                    <w:tr2bl w:val="nil"/>
                  </w:tcBorders>
                  <w:noWrap w:val="0"/>
                  <w:vAlign w:val="center"/>
                </w:tcPr>
                <w:p w14:paraId="722D0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0.0001</w:t>
                  </w:r>
                </w:p>
              </w:tc>
            </w:tr>
            <w:tr w14:paraId="27510F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486B06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14</w:t>
                  </w:r>
                </w:p>
              </w:tc>
              <w:tc>
                <w:tcPr>
                  <w:tcW w:w="2638" w:type="pct"/>
                  <w:tcBorders>
                    <w:tl2br w:val="nil"/>
                    <w:tr2bl w:val="nil"/>
                  </w:tcBorders>
                  <w:noWrap w:val="0"/>
                  <w:vAlign w:val="center"/>
                </w:tcPr>
                <w:p w14:paraId="29E5F9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镉≤</w:t>
                  </w:r>
                </w:p>
              </w:tc>
              <w:tc>
                <w:tcPr>
                  <w:tcW w:w="1890" w:type="pct"/>
                  <w:tcBorders>
                    <w:tl2br w:val="nil"/>
                    <w:tr2bl w:val="nil"/>
                  </w:tcBorders>
                  <w:noWrap w:val="0"/>
                  <w:vAlign w:val="center"/>
                </w:tcPr>
                <w:p w14:paraId="1C33CF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0.005</w:t>
                  </w:r>
                </w:p>
              </w:tc>
            </w:tr>
            <w:tr w14:paraId="01F670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1A11A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15</w:t>
                  </w:r>
                </w:p>
              </w:tc>
              <w:tc>
                <w:tcPr>
                  <w:tcW w:w="2638" w:type="pct"/>
                  <w:tcBorders>
                    <w:tl2br w:val="nil"/>
                    <w:tr2bl w:val="nil"/>
                  </w:tcBorders>
                  <w:noWrap w:val="0"/>
                  <w:vAlign w:val="center"/>
                </w:tcPr>
                <w:p w14:paraId="089035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铬（六价）≤</w:t>
                  </w:r>
                </w:p>
              </w:tc>
              <w:tc>
                <w:tcPr>
                  <w:tcW w:w="1890" w:type="pct"/>
                  <w:tcBorders>
                    <w:tl2br w:val="nil"/>
                    <w:tr2bl w:val="nil"/>
                  </w:tcBorders>
                  <w:noWrap w:val="0"/>
                  <w:vAlign w:val="center"/>
                </w:tcPr>
                <w:p w14:paraId="6F2502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0.05</w:t>
                  </w:r>
                </w:p>
              </w:tc>
            </w:tr>
            <w:tr w14:paraId="5DCEC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178F8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16</w:t>
                  </w:r>
                </w:p>
              </w:tc>
              <w:tc>
                <w:tcPr>
                  <w:tcW w:w="2638" w:type="pct"/>
                  <w:tcBorders>
                    <w:tl2br w:val="nil"/>
                    <w:tr2bl w:val="nil"/>
                  </w:tcBorders>
                  <w:noWrap w:val="0"/>
                  <w:vAlign w:val="center"/>
                </w:tcPr>
                <w:p w14:paraId="56BF8E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铅≤</w:t>
                  </w:r>
                </w:p>
              </w:tc>
              <w:tc>
                <w:tcPr>
                  <w:tcW w:w="1890" w:type="pct"/>
                  <w:tcBorders>
                    <w:tl2br w:val="nil"/>
                    <w:tr2bl w:val="nil"/>
                  </w:tcBorders>
                  <w:noWrap w:val="0"/>
                  <w:vAlign w:val="center"/>
                </w:tcPr>
                <w:p w14:paraId="625FE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0.05</w:t>
                  </w:r>
                </w:p>
              </w:tc>
            </w:tr>
            <w:tr w14:paraId="5E5901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21290B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17</w:t>
                  </w:r>
                </w:p>
              </w:tc>
              <w:tc>
                <w:tcPr>
                  <w:tcW w:w="2638" w:type="pct"/>
                  <w:tcBorders>
                    <w:tl2br w:val="nil"/>
                    <w:tr2bl w:val="nil"/>
                  </w:tcBorders>
                  <w:noWrap w:val="0"/>
                  <w:vAlign w:val="center"/>
                </w:tcPr>
                <w:p w14:paraId="705A6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氰化物≤</w:t>
                  </w:r>
                </w:p>
              </w:tc>
              <w:tc>
                <w:tcPr>
                  <w:tcW w:w="1890" w:type="pct"/>
                  <w:tcBorders>
                    <w:tl2br w:val="nil"/>
                    <w:tr2bl w:val="nil"/>
                  </w:tcBorders>
                  <w:noWrap w:val="0"/>
                  <w:vAlign w:val="center"/>
                </w:tcPr>
                <w:p w14:paraId="0E8609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0.2</w:t>
                  </w:r>
                </w:p>
              </w:tc>
            </w:tr>
            <w:tr w14:paraId="17D17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7EA3B5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18</w:t>
                  </w:r>
                </w:p>
              </w:tc>
              <w:tc>
                <w:tcPr>
                  <w:tcW w:w="2638" w:type="pct"/>
                  <w:tcBorders>
                    <w:tl2br w:val="nil"/>
                    <w:tr2bl w:val="nil"/>
                  </w:tcBorders>
                  <w:noWrap w:val="0"/>
                  <w:vAlign w:val="center"/>
                </w:tcPr>
                <w:p w14:paraId="599168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挥发酚≤</w:t>
                  </w:r>
                </w:p>
              </w:tc>
              <w:tc>
                <w:tcPr>
                  <w:tcW w:w="1890" w:type="pct"/>
                  <w:tcBorders>
                    <w:tl2br w:val="nil"/>
                    <w:tr2bl w:val="nil"/>
                  </w:tcBorders>
                  <w:noWrap w:val="0"/>
                  <w:vAlign w:val="center"/>
                </w:tcPr>
                <w:p w14:paraId="35BF91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0.005</w:t>
                  </w:r>
                </w:p>
              </w:tc>
            </w:tr>
            <w:tr w14:paraId="27CCAF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6E0ABC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19</w:t>
                  </w:r>
                </w:p>
              </w:tc>
              <w:tc>
                <w:tcPr>
                  <w:tcW w:w="2638" w:type="pct"/>
                  <w:tcBorders>
                    <w:tl2br w:val="nil"/>
                    <w:tr2bl w:val="nil"/>
                  </w:tcBorders>
                  <w:noWrap w:val="0"/>
                  <w:vAlign w:val="center"/>
                </w:tcPr>
                <w:p w14:paraId="4644BC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石油类≤</w:t>
                  </w:r>
                </w:p>
              </w:tc>
              <w:tc>
                <w:tcPr>
                  <w:tcW w:w="1890" w:type="pct"/>
                  <w:tcBorders>
                    <w:tl2br w:val="nil"/>
                    <w:tr2bl w:val="nil"/>
                  </w:tcBorders>
                  <w:noWrap w:val="0"/>
                  <w:vAlign w:val="center"/>
                </w:tcPr>
                <w:p w14:paraId="5BE7A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0.05</w:t>
                  </w:r>
                </w:p>
              </w:tc>
            </w:tr>
            <w:tr w14:paraId="3180CD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76EAD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w:t>
                  </w:r>
                </w:p>
              </w:tc>
              <w:tc>
                <w:tcPr>
                  <w:tcW w:w="2638" w:type="pct"/>
                  <w:tcBorders>
                    <w:tl2br w:val="nil"/>
                    <w:tr2bl w:val="nil"/>
                  </w:tcBorders>
                  <w:noWrap w:val="0"/>
                  <w:vAlign w:val="center"/>
                </w:tcPr>
                <w:p w14:paraId="61C480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阴离子表面活性剂≤</w:t>
                  </w:r>
                </w:p>
              </w:tc>
              <w:tc>
                <w:tcPr>
                  <w:tcW w:w="1890" w:type="pct"/>
                  <w:tcBorders>
                    <w:tl2br w:val="nil"/>
                    <w:tr2bl w:val="nil"/>
                  </w:tcBorders>
                  <w:noWrap w:val="0"/>
                  <w:vAlign w:val="center"/>
                </w:tcPr>
                <w:p w14:paraId="6BA817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0.2</w:t>
                  </w:r>
                </w:p>
              </w:tc>
            </w:tr>
            <w:tr w14:paraId="7CD2C5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4B3902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21</w:t>
                  </w:r>
                </w:p>
              </w:tc>
              <w:tc>
                <w:tcPr>
                  <w:tcW w:w="2638" w:type="pct"/>
                  <w:tcBorders>
                    <w:tl2br w:val="nil"/>
                    <w:tr2bl w:val="nil"/>
                  </w:tcBorders>
                  <w:noWrap w:val="0"/>
                  <w:vAlign w:val="center"/>
                </w:tcPr>
                <w:p w14:paraId="3334A3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硫化物≤</w:t>
                  </w:r>
                </w:p>
              </w:tc>
              <w:tc>
                <w:tcPr>
                  <w:tcW w:w="1890" w:type="pct"/>
                  <w:tcBorders>
                    <w:tl2br w:val="nil"/>
                    <w:tr2bl w:val="nil"/>
                  </w:tcBorders>
                  <w:noWrap w:val="0"/>
                  <w:vAlign w:val="center"/>
                </w:tcPr>
                <w:p w14:paraId="319B2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0.2</w:t>
                  </w:r>
                </w:p>
              </w:tc>
            </w:tr>
            <w:tr w14:paraId="6B3E1C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0" w:type="pct"/>
                  <w:tcBorders>
                    <w:tl2br w:val="nil"/>
                    <w:tr2bl w:val="nil"/>
                  </w:tcBorders>
                  <w:noWrap w:val="0"/>
                  <w:vAlign w:val="center"/>
                </w:tcPr>
                <w:p w14:paraId="22021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22</w:t>
                  </w:r>
                </w:p>
              </w:tc>
              <w:tc>
                <w:tcPr>
                  <w:tcW w:w="2638" w:type="pct"/>
                  <w:tcBorders>
                    <w:tl2br w:val="nil"/>
                    <w:tr2bl w:val="nil"/>
                  </w:tcBorders>
                  <w:noWrap w:val="0"/>
                  <w:vAlign w:val="center"/>
                </w:tcPr>
                <w:p w14:paraId="57562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粪大肠菌群（个/L）≤</w:t>
                  </w:r>
                </w:p>
              </w:tc>
              <w:tc>
                <w:tcPr>
                  <w:tcW w:w="1890" w:type="pct"/>
                  <w:tcBorders>
                    <w:tl2br w:val="nil"/>
                    <w:tr2bl w:val="nil"/>
                  </w:tcBorders>
                  <w:noWrap w:val="0"/>
                  <w:vAlign w:val="center"/>
                </w:tcPr>
                <w:p w14:paraId="194733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10000</w:t>
                  </w:r>
                </w:p>
              </w:tc>
            </w:tr>
          </w:tbl>
          <w:p w14:paraId="3C3FA741">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Times New Roman" w:hAnsi="Times New Roman"/>
                <w:b/>
                <w:bCs w:val="0"/>
                <w:color w:val="auto"/>
                <w:sz w:val="24"/>
              </w:rPr>
            </w:pPr>
            <w:r>
              <w:rPr>
                <w:rFonts w:hint="eastAsia" w:ascii="Times New Roman" w:hAnsi="Times New Roman"/>
                <w:b w:val="0"/>
                <w:bCs/>
                <w:color w:val="auto"/>
                <w:sz w:val="24"/>
                <w:lang w:val="en-US" w:eastAsia="zh-CN"/>
              </w:rPr>
              <w:t>（2）</w:t>
            </w:r>
            <w:r>
              <w:rPr>
                <w:rFonts w:hint="eastAsia" w:ascii="Times New Roman" w:hAnsi="Times New Roman"/>
                <w:b w:val="0"/>
                <w:bCs/>
                <w:color w:val="auto"/>
                <w:sz w:val="24"/>
              </w:rPr>
              <w:t>地表水环境质量现状</w:t>
            </w:r>
          </w:p>
          <w:p w14:paraId="4B3F54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2024年玉溪市生态环境状况公报》，2024年，全市17个河流水质监测断面中，水质状况优符合Ⅰ～Ⅱ类标准的断面12个，占70.6%；水质状况良好符合Ⅲ类标准的断面3个，占17.6%。断面水质优良率88.2%；水质状况轻度污染符合Ⅳ类标准断面2个，占11.8%；无中度、重度污染断面。</w:t>
            </w:r>
          </w:p>
          <w:p w14:paraId="2C8B04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项目属于</w:t>
            </w:r>
            <w:r>
              <w:rPr>
                <w:rFonts w:hint="eastAsia" w:cs="Times New Roman"/>
                <w:sz w:val="24"/>
                <w:szCs w:val="24"/>
                <w:lang w:val="en-US" w:eastAsia="zh-CN"/>
              </w:rPr>
              <w:t>红河流域</w:t>
            </w:r>
            <w:r>
              <w:rPr>
                <w:rFonts w:hint="default" w:ascii="Times New Roman" w:hAnsi="Times New Roman" w:eastAsia="宋体" w:cs="Times New Roman"/>
                <w:sz w:val="24"/>
                <w:szCs w:val="24"/>
                <w:lang w:val="en-US" w:eastAsia="zh-CN"/>
              </w:rPr>
              <w:t>，根据《2024年玉溪市生态环境状况公报》，</w:t>
            </w:r>
            <w:r>
              <w:rPr>
                <w:rFonts w:hint="default" w:ascii="Times New Roman" w:hAnsi="Times New Roman" w:cs="Times New Roman"/>
                <w:color w:val="auto"/>
                <w:sz w:val="24"/>
                <w:szCs w:val="24"/>
                <w:highlight w:val="none"/>
                <w:lang w:val="en-US" w:eastAsia="zh-CN"/>
              </w:rPr>
              <w:t>大谷厂水管所监测断面（项目区地表径流汇入口上游</w:t>
            </w:r>
            <w:r>
              <w:rPr>
                <w:rFonts w:hint="eastAsia" w:ascii="Times New Roman" w:hAnsi="Times New Roman" w:cs="Times New Roman"/>
                <w:color w:val="auto"/>
                <w:sz w:val="24"/>
                <w:szCs w:val="24"/>
                <w:highlight w:val="none"/>
                <w:lang w:val="en-US" w:eastAsia="zh-CN"/>
              </w:rPr>
              <w:t>4km</w:t>
            </w:r>
            <w:r>
              <w:rPr>
                <w:rFonts w:hint="default" w:ascii="Times New Roman" w:hAnsi="Times New Roman" w:cs="Times New Roman"/>
                <w:color w:val="auto"/>
                <w:sz w:val="24"/>
                <w:szCs w:val="24"/>
                <w:highlight w:val="none"/>
                <w:lang w:val="en-US" w:eastAsia="zh-CN"/>
              </w:rPr>
              <w:t>）水质类别为Ⅰ类，绿汁江江边（炉房）监测断面（项目区地表径流汇入口下游</w:t>
            </w:r>
            <w:r>
              <w:rPr>
                <w:rFonts w:hint="eastAsia" w:ascii="Times New Roman" w:hAnsi="Times New Roman" w:cs="Times New Roman"/>
                <w:color w:val="auto"/>
                <w:sz w:val="24"/>
                <w:szCs w:val="24"/>
                <w:highlight w:val="none"/>
                <w:lang w:val="en-US" w:eastAsia="zh-CN"/>
              </w:rPr>
              <w:t>55km</w:t>
            </w:r>
            <w:r>
              <w:rPr>
                <w:rFonts w:hint="default" w:ascii="Times New Roman" w:hAnsi="Times New Roman" w:cs="Times New Roman"/>
                <w:color w:val="auto"/>
                <w:sz w:val="24"/>
                <w:szCs w:val="24"/>
                <w:highlight w:val="none"/>
                <w:lang w:val="en-US" w:eastAsia="zh-CN"/>
              </w:rPr>
              <w:t>）水质类别为Ⅱ类，因此，双龙河水质能够达到《地表水环境质量标准》（GB3838-2002）Ⅲ类水质标准要求，</w:t>
            </w:r>
            <w:r>
              <w:rPr>
                <w:rFonts w:hint="default" w:ascii="Times New Roman" w:hAnsi="Times New Roman" w:eastAsia="宋体" w:cs="Times New Roman"/>
                <w:sz w:val="24"/>
                <w:szCs w:val="24"/>
                <w:lang w:val="en-US" w:eastAsia="zh-CN"/>
              </w:rPr>
              <w:t>项目所在区域为地表水环境质量达标区。</w:t>
            </w:r>
          </w:p>
          <w:p w14:paraId="2349CDF6">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b/>
                <w:bCs/>
                <w:color w:val="auto"/>
                <w:sz w:val="24"/>
              </w:rPr>
            </w:pPr>
            <w:r>
              <w:rPr>
                <w:rFonts w:hint="eastAsia" w:ascii="Times New Roman" w:hAnsi="Times New Roman"/>
                <w:b/>
                <w:bCs/>
                <w:color w:val="auto"/>
                <w:sz w:val="24"/>
                <w:lang w:val="en-US" w:eastAsia="zh-CN"/>
              </w:rPr>
              <w:t>3、</w:t>
            </w:r>
            <w:r>
              <w:rPr>
                <w:rFonts w:ascii="Times New Roman"/>
                <w:b/>
                <w:bCs/>
                <w:color w:val="auto"/>
                <w:sz w:val="24"/>
              </w:rPr>
              <w:t>声环境质量</w:t>
            </w:r>
          </w:p>
          <w:p w14:paraId="55017C4C">
            <w:pPr>
              <w:pStyle w:val="37"/>
              <w:keepNext w:val="0"/>
              <w:keepLines w:val="0"/>
              <w:pageBreakBefore w:val="0"/>
              <w:widowControl w:val="0"/>
              <w:kinsoku/>
              <w:wordWrap/>
              <w:overflowPunct/>
              <w:autoSpaceDE/>
              <w:autoSpaceDN/>
              <w:bidi w:val="0"/>
              <w:adjustRightInd w:val="0"/>
              <w:snapToGrid w:val="0"/>
              <w:textAlignment w:val="auto"/>
              <w:rPr>
                <w:rFonts w:hint="eastAsia"/>
                <w:b w:val="0"/>
                <w:bCs w:val="0"/>
                <w:color w:val="auto"/>
              </w:rPr>
            </w:pPr>
            <w:r>
              <w:rPr>
                <w:rFonts w:hint="eastAsia"/>
                <w:b w:val="0"/>
                <w:bCs w:val="0"/>
                <w:color w:val="auto"/>
                <w:lang w:val="en-US" w:eastAsia="zh-CN"/>
              </w:rPr>
              <w:t>（1）</w:t>
            </w:r>
            <w:r>
              <w:rPr>
                <w:rFonts w:hint="eastAsia"/>
                <w:b w:val="0"/>
                <w:bCs w:val="0"/>
                <w:color w:val="auto"/>
              </w:rPr>
              <w:t>声环境质量标准</w:t>
            </w:r>
          </w:p>
          <w:p w14:paraId="15F3BF37">
            <w:pPr>
              <w:keepNext w:val="0"/>
              <w:keepLines w:val="0"/>
              <w:pageBreakBefore w:val="0"/>
              <w:widowControl w:val="0"/>
              <w:kinsoku/>
              <w:wordWrap/>
              <w:overflowPunct/>
              <w:autoSpaceDE/>
              <w:autoSpaceDN/>
              <w:bidi w:val="0"/>
              <w:adjustRightInd w:val="0"/>
              <w:snapToGrid w:val="0"/>
              <w:spacing w:line="360" w:lineRule="auto"/>
              <w:ind w:firstLine="480"/>
              <w:textAlignment w:val="auto"/>
              <w:rPr>
                <w:rFonts w:hint="eastAsia" w:ascii="Times New Roman" w:hAnsi="Times New Roman"/>
                <w:color w:val="auto"/>
                <w:sz w:val="24"/>
                <w:szCs w:val="24"/>
              </w:rPr>
            </w:pPr>
            <w:r>
              <w:rPr>
                <w:rFonts w:ascii="Times New Roman"/>
                <w:bCs/>
                <w:color w:val="auto"/>
                <w:sz w:val="24"/>
              </w:rPr>
              <w:t>本项目位于</w:t>
            </w:r>
            <w:r>
              <w:rPr>
                <w:rFonts w:hint="eastAsia" w:ascii="Times New Roman"/>
                <w:bCs/>
                <w:color w:val="auto"/>
                <w:sz w:val="24"/>
                <w:lang w:val="en-US" w:eastAsia="zh-CN"/>
              </w:rPr>
              <w:t>云南易门产业园区大椿树片区</w:t>
            </w:r>
            <w:r>
              <w:rPr>
                <w:rFonts w:ascii="Times New Roman"/>
                <w:bCs/>
                <w:color w:val="auto"/>
                <w:sz w:val="24"/>
              </w:rPr>
              <w:t>，项目所在区域声环境质量执行《声环境质量标准》（</w:t>
            </w:r>
            <w:r>
              <w:rPr>
                <w:rFonts w:ascii="Times New Roman" w:hAnsi="Times New Roman"/>
                <w:bCs/>
                <w:color w:val="auto"/>
                <w:sz w:val="24"/>
              </w:rPr>
              <w:t>GB3096-2008</w:t>
            </w:r>
            <w:r>
              <w:rPr>
                <w:rFonts w:ascii="Times New Roman"/>
                <w:bCs/>
                <w:color w:val="auto"/>
                <w:sz w:val="24"/>
              </w:rPr>
              <w:t>）</w:t>
            </w:r>
            <w:r>
              <w:rPr>
                <w:rFonts w:ascii="Times New Roman" w:hAnsi="Times New Roman"/>
                <w:bCs/>
                <w:color w:val="auto"/>
                <w:sz w:val="24"/>
              </w:rPr>
              <w:t>3</w:t>
            </w:r>
            <w:r>
              <w:rPr>
                <w:rFonts w:ascii="Times New Roman"/>
                <w:bCs/>
                <w:color w:val="auto"/>
                <w:sz w:val="24"/>
              </w:rPr>
              <w:t>类区域标准限值</w:t>
            </w:r>
            <w:r>
              <w:rPr>
                <w:rFonts w:hint="eastAsia" w:ascii="Times New Roman"/>
                <w:bCs/>
                <w:color w:val="auto"/>
                <w:sz w:val="24"/>
                <w:lang w:eastAsia="zh-CN"/>
              </w:rPr>
              <w:t>，</w:t>
            </w:r>
            <w:r>
              <w:rPr>
                <w:rFonts w:hint="eastAsia" w:ascii="Times New Roman" w:hAnsi="Times New Roman"/>
                <w:bCs/>
                <w:color w:val="auto"/>
                <w:sz w:val="24"/>
              </w:rPr>
              <w:t>声环境质量标准值如下表。</w:t>
            </w:r>
          </w:p>
          <w:p w14:paraId="66853C5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表3-</w:t>
            </w:r>
            <w:r>
              <w:rPr>
                <w:rFonts w:hint="eastAsia" w:ascii="黑体" w:hAnsi="黑体" w:eastAsia="黑体" w:cs="黑体"/>
                <w:b w:val="0"/>
                <w:bCs w:val="0"/>
                <w:color w:val="auto"/>
                <w:sz w:val="21"/>
                <w:szCs w:val="21"/>
                <w:lang w:val="en-US" w:eastAsia="zh-CN"/>
              </w:rPr>
              <w:t xml:space="preserve">4   </w:t>
            </w:r>
            <w:r>
              <w:rPr>
                <w:rFonts w:hint="eastAsia" w:ascii="黑体" w:hAnsi="黑体" w:eastAsia="黑体" w:cs="黑体"/>
                <w:b w:val="0"/>
                <w:bCs w:val="0"/>
                <w:color w:val="auto"/>
                <w:sz w:val="21"/>
                <w:szCs w:val="21"/>
              </w:rPr>
              <w:t>声环境质量标准</w:t>
            </w:r>
            <w:r>
              <w:rPr>
                <w:rFonts w:hint="eastAsia" w:ascii="黑体" w:hAnsi="黑体" w:eastAsia="黑体" w:cs="黑体"/>
                <w:b w:val="0"/>
                <w:bCs w:val="0"/>
                <w:color w:val="auto"/>
                <w:sz w:val="21"/>
                <w:szCs w:val="21"/>
                <w:lang w:val="en-US" w:eastAsia="zh-CN"/>
              </w:rPr>
              <w:t xml:space="preserve">   </w:t>
            </w:r>
            <w:r>
              <w:rPr>
                <w:rFonts w:hint="eastAsia" w:ascii="黑体" w:hAnsi="黑体" w:eastAsia="黑体" w:cs="黑体"/>
                <w:b w:val="0"/>
                <w:bCs w:val="0"/>
                <w:color w:val="auto"/>
                <w:sz w:val="21"/>
                <w:szCs w:val="21"/>
              </w:rPr>
              <w:t>单位：dB(A)</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2376"/>
              <w:gridCol w:w="2089"/>
            </w:tblGrid>
            <w:tr w14:paraId="17DB2D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70" w:type="pct"/>
                  <w:tcBorders>
                    <w:tl2br w:val="nil"/>
                    <w:tr2bl w:val="nil"/>
                  </w:tcBorders>
                  <w:noWrap w:val="0"/>
                  <w:vAlign w:val="center"/>
                </w:tcPr>
                <w:p w14:paraId="03436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类别</w:t>
                  </w:r>
                </w:p>
              </w:tc>
              <w:tc>
                <w:tcPr>
                  <w:tcW w:w="1558" w:type="pct"/>
                  <w:tcBorders>
                    <w:tl2br w:val="nil"/>
                    <w:tr2bl w:val="nil"/>
                  </w:tcBorders>
                  <w:noWrap w:val="0"/>
                  <w:vAlign w:val="center"/>
                </w:tcPr>
                <w:p w14:paraId="2370D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昼间</w:t>
                  </w:r>
                </w:p>
              </w:tc>
              <w:tc>
                <w:tcPr>
                  <w:tcW w:w="1370" w:type="pct"/>
                  <w:tcBorders>
                    <w:tl2br w:val="nil"/>
                    <w:tr2bl w:val="nil"/>
                  </w:tcBorders>
                  <w:noWrap w:val="0"/>
                  <w:vAlign w:val="center"/>
                </w:tcPr>
                <w:p w14:paraId="264E49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夜间</w:t>
                  </w:r>
                </w:p>
              </w:tc>
            </w:tr>
            <w:tr w14:paraId="7CC728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70" w:type="pct"/>
                  <w:tcBorders>
                    <w:tl2br w:val="nil"/>
                    <w:tr2bl w:val="nil"/>
                  </w:tcBorders>
                  <w:noWrap w:val="0"/>
                  <w:vAlign w:val="center"/>
                </w:tcPr>
                <w:p w14:paraId="55080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3类</w:t>
                  </w:r>
                </w:p>
              </w:tc>
              <w:tc>
                <w:tcPr>
                  <w:tcW w:w="1558" w:type="pct"/>
                  <w:tcBorders>
                    <w:tl2br w:val="nil"/>
                    <w:tr2bl w:val="nil"/>
                  </w:tcBorders>
                  <w:noWrap w:val="0"/>
                  <w:vAlign w:val="center"/>
                </w:tcPr>
                <w:p w14:paraId="0EECC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c>
                <w:tcPr>
                  <w:tcW w:w="1370" w:type="pct"/>
                  <w:tcBorders>
                    <w:tl2br w:val="nil"/>
                    <w:tr2bl w:val="nil"/>
                  </w:tcBorders>
                  <w:noWrap w:val="0"/>
                  <w:vAlign w:val="center"/>
                </w:tcPr>
                <w:p w14:paraId="7D39D7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r>
          </w:tbl>
          <w:p w14:paraId="78518D74">
            <w:pPr>
              <w:pStyle w:val="37"/>
              <w:keepNext w:val="0"/>
              <w:keepLines w:val="0"/>
              <w:pageBreakBefore w:val="0"/>
              <w:widowControl w:val="0"/>
              <w:kinsoku/>
              <w:wordWrap/>
              <w:overflowPunct/>
              <w:autoSpaceDE/>
              <w:autoSpaceDN/>
              <w:bidi w:val="0"/>
              <w:adjustRightInd w:val="0"/>
              <w:snapToGrid w:val="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（2）声环境质量现状</w:t>
            </w:r>
          </w:p>
          <w:p w14:paraId="18B5D040">
            <w:pPr>
              <w:pStyle w:val="37"/>
              <w:keepNext w:val="0"/>
              <w:keepLines w:val="0"/>
              <w:pageBreakBefore w:val="0"/>
              <w:widowControl w:val="0"/>
              <w:kinsoku/>
              <w:wordWrap/>
              <w:overflowPunct/>
              <w:topLinePunct/>
              <w:autoSpaceDE/>
              <w:autoSpaceDN/>
              <w:bidi w:val="0"/>
              <w:adjustRightInd w:val="0"/>
              <w:snapToGrid w:val="0"/>
              <w:ind w:left="0" w:leftChars="0" w:firstLine="480" w:firstLineChars="200"/>
              <w:textAlignment w:val="auto"/>
              <w:rPr>
                <w:rFonts w:hint="eastAsia" w:ascii="Times New Roman" w:hAnsi="Times New Roman" w:eastAsia="宋体" w:cs="Times New Roman"/>
                <w:b w:val="0"/>
                <w:bCs w:val="0"/>
                <w:color w:val="auto"/>
                <w:lang w:val="en-US" w:eastAsia="zh-CN"/>
              </w:rPr>
            </w:pPr>
            <w:r>
              <w:rPr>
                <w:rFonts w:hint="eastAsia"/>
                <w:color w:val="auto"/>
                <w:highlight w:val="none"/>
                <w:lang w:val="en-US" w:eastAsia="zh-CN"/>
              </w:rPr>
              <w:t>根据现场踏勘，</w:t>
            </w:r>
            <w:r>
              <w:rPr>
                <w:color w:val="auto"/>
                <w:highlight w:val="none"/>
              </w:rPr>
              <w:t>项目所在地周围主要为工业企业、工业园区规划建设用地、自然山体等，</w:t>
            </w:r>
            <w:r>
              <w:rPr>
                <w:rFonts w:hint="eastAsia"/>
                <w:color w:val="auto"/>
                <w:highlight w:val="none"/>
              </w:rPr>
              <w:t>厂界外</w:t>
            </w:r>
            <w:r>
              <w:rPr>
                <w:color w:val="auto"/>
                <w:highlight w:val="none"/>
              </w:rPr>
              <w:t>50</w:t>
            </w:r>
            <w:r>
              <w:rPr>
                <w:rFonts w:hint="eastAsia"/>
                <w:color w:val="auto"/>
                <w:highlight w:val="none"/>
              </w:rPr>
              <w:t>m范围内无声环境保护目标，区域声环境质量主要受所处</w:t>
            </w:r>
            <w:r>
              <w:rPr>
                <w:rFonts w:hint="eastAsia"/>
                <w:color w:val="auto"/>
                <w:highlight w:val="none"/>
                <w:lang w:val="en-US" w:eastAsia="zh-CN"/>
              </w:rPr>
              <w:t>易门产业园区大椿树片区</w:t>
            </w:r>
            <w:r>
              <w:rPr>
                <w:rFonts w:hint="eastAsia"/>
                <w:color w:val="auto"/>
                <w:highlight w:val="none"/>
              </w:rPr>
              <w:t>内其他企业运营以及园区道路来往机动车噪声的影响，目前项目所处区域声环境质量一般。</w:t>
            </w:r>
          </w:p>
          <w:p w14:paraId="520F0859">
            <w:pPr>
              <w:adjustRightInd w:val="0"/>
              <w:snapToGrid w:val="0"/>
              <w:spacing w:line="360" w:lineRule="auto"/>
              <w:ind w:firstLine="482" w:firstLineChars="200"/>
              <w:rPr>
                <w:rFonts w:ascii="Times New Roman" w:hAnsi="Times New Roman"/>
                <w:b/>
                <w:bCs/>
                <w:color w:val="auto"/>
                <w:sz w:val="24"/>
              </w:rPr>
            </w:pPr>
            <w:r>
              <w:rPr>
                <w:rFonts w:hint="eastAsia"/>
                <w:b/>
                <w:bCs/>
                <w:color w:val="auto"/>
                <w:sz w:val="24"/>
                <w:lang w:val="en-US" w:eastAsia="zh-CN"/>
              </w:rPr>
              <w:t>4</w:t>
            </w:r>
            <w:r>
              <w:rPr>
                <w:rFonts w:hint="eastAsia" w:ascii="Times New Roman" w:hAnsi="Times New Roman"/>
                <w:b/>
                <w:bCs/>
                <w:color w:val="auto"/>
                <w:sz w:val="24"/>
                <w:lang w:val="en-US" w:eastAsia="zh-CN"/>
              </w:rPr>
              <w:t>、</w:t>
            </w:r>
            <w:r>
              <w:rPr>
                <w:rFonts w:ascii="Times New Roman"/>
                <w:b/>
                <w:bCs/>
                <w:color w:val="auto"/>
                <w:sz w:val="24"/>
              </w:rPr>
              <w:t>生态环境现状</w:t>
            </w:r>
          </w:p>
          <w:p w14:paraId="6B34E4A1">
            <w:pPr>
              <w:pStyle w:val="37"/>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本项目位于</w:t>
            </w:r>
            <w:r>
              <w:rPr>
                <w:rFonts w:hint="eastAsia" w:ascii="Times New Roman" w:hAnsi="Times New Roman" w:eastAsia="宋体" w:cs="Times New Roman"/>
                <w:b w:val="0"/>
                <w:bCs w:val="0"/>
                <w:color w:val="auto"/>
                <w:lang w:val="en-US" w:eastAsia="zh-CN"/>
              </w:rPr>
              <w:t>云南易门产业园区大椿树片区</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本次项目改建仅在易门铜业有限公司既有厂区范围内进行改造，不新增占地。项目所在地周围主要为工业企业、工业园区规划建设用地、自然山体等，</w:t>
            </w:r>
            <w:r>
              <w:rPr>
                <w:rFonts w:hint="default" w:ascii="Times New Roman" w:hAnsi="Times New Roman" w:eastAsia="宋体" w:cs="Times New Roman"/>
                <w:b w:val="0"/>
                <w:bCs w:val="0"/>
                <w:color w:val="auto"/>
                <w:lang w:val="en-US" w:eastAsia="zh-CN"/>
              </w:rPr>
              <w:t>项目区内人类活动较多，植被单一，隐蔽程度低</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因此野生动物的适宜生境较少，动物资源受到限制，种类不多，且种群数量较小，以爬行类、鸟类和昆虫类等活动性较强的种类为主，都是常见的物种。项目所在区域无国家和省级重点保护的珍稀濒危保护物种和古树名木，未见有国家、省级、市级重点保护野生动物分布，未发现有狭域特有种分布，亦不涉及野生动物的迁徙通道</w:t>
            </w:r>
            <w:r>
              <w:rPr>
                <w:rFonts w:hint="eastAsia" w:ascii="Times New Roman" w:hAnsi="Times New Roman" w:eastAsia="宋体" w:cs="Times New Roman"/>
                <w:b w:val="0"/>
                <w:bCs w:val="0"/>
                <w:color w:val="auto"/>
                <w:lang w:val="en-US" w:eastAsia="zh-CN"/>
              </w:rPr>
              <w:t>，综合来看，</w:t>
            </w:r>
            <w:r>
              <w:rPr>
                <w:rFonts w:hint="default" w:ascii="Times New Roman" w:hAnsi="Times New Roman" w:eastAsia="宋体" w:cs="Times New Roman"/>
                <w:b w:val="0"/>
                <w:bCs w:val="0"/>
                <w:color w:val="auto"/>
                <w:lang w:val="en-US" w:eastAsia="zh-CN"/>
              </w:rPr>
              <w:t>项目所在区域生物多样性一般。</w:t>
            </w:r>
          </w:p>
          <w:p w14:paraId="678BCFA6">
            <w:pPr>
              <w:keepNext w:val="0"/>
              <w:keepLines w:val="0"/>
              <w:pageBreakBefore w:val="0"/>
              <w:widowControl w:val="0"/>
              <w:kinsoku/>
              <w:wordWrap/>
              <w:overflowPunct/>
              <w:autoSpaceDE/>
              <w:autoSpaceDN/>
              <w:bidi w:val="0"/>
              <w:spacing w:line="360" w:lineRule="auto"/>
              <w:ind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5、地下水、土壤环境</w:t>
            </w:r>
          </w:p>
          <w:p w14:paraId="2034D4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（1）地下水</w:t>
            </w:r>
          </w:p>
          <w:p w14:paraId="68AC41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易门铜业有限公区司自行检测报告（厂区地下水、第一季度）可知，易门铜业总厂设置了4口地下水监测井，2026年1月9日昆明绿岛环境科技有限公司对厂区2＃井、3＃井、5＃井、6＃井进行了监测，监测结果详见下表：</w:t>
            </w:r>
          </w:p>
          <w:p w14:paraId="74C80DF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rPr>
              <w:t>表3-</w:t>
            </w:r>
            <w:r>
              <w:rPr>
                <w:rFonts w:hint="eastAsia" w:ascii="黑体" w:hAnsi="黑体" w:eastAsia="黑体" w:cs="黑体"/>
                <w:b w:val="0"/>
                <w:bCs w:val="0"/>
                <w:color w:val="auto"/>
                <w:sz w:val="21"/>
                <w:szCs w:val="21"/>
                <w:lang w:val="en-US" w:eastAsia="zh-CN"/>
              </w:rPr>
              <w:t xml:space="preserve">5  地下水检测结果评价表  </w:t>
            </w:r>
            <w:r>
              <w:rPr>
                <w:rFonts w:hint="eastAsia" w:ascii="黑体" w:hAnsi="黑体" w:eastAsia="黑体" w:cs="黑体"/>
                <w:b w:val="0"/>
                <w:bCs w:val="0"/>
                <w:color w:val="auto"/>
                <w:sz w:val="21"/>
                <w:szCs w:val="21"/>
              </w:rPr>
              <w:t>单位：</w:t>
            </w:r>
            <w:r>
              <w:rPr>
                <w:rFonts w:hint="eastAsia" w:ascii="黑体" w:hAnsi="黑体" w:eastAsia="黑体" w:cs="黑体"/>
                <w:b w:val="0"/>
                <w:bCs w:val="0"/>
                <w:color w:val="auto"/>
                <w:sz w:val="21"/>
                <w:szCs w:val="21"/>
                <w:lang w:val="en-US" w:eastAsia="zh-CN"/>
              </w:rPr>
              <w:t>mg/L、pH除外</w:t>
            </w:r>
          </w:p>
          <w:tbl>
            <w:tblPr>
              <w:tblStyle w:val="22"/>
              <w:tblW w:w="762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244"/>
              <w:gridCol w:w="970"/>
              <w:gridCol w:w="1080"/>
              <w:gridCol w:w="1040"/>
              <w:gridCol w:w="1100"/>
              <w:gridCol w:w="663"/>
            </w:tblGrid>
            <w:tr w14:paraId="5FD553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single" w:color="auto" w:sz="4" w:space="0"/>
                  </w:tcBorders>
                  <w:vAlign w:val="center"/>
                </w:tcPr>
                <w:p w14:paraId="4C0DC77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点位</w:t>
                  </w:r>
                </w:p>
                <w:p w14:paraId="2903DBA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项目</w:t>
                  </w:r>
                </w:p>
              </w:tc>
              <w:tc>
                <w:tcPr>
                  <w:tcW w:w="1244" w:type="dxa"/>
                  <w:tcBorders>
                    <w:tl2br w:val="nil"/>
                    <w:tr2bl w:val="nil"/>
                  </w:tcBorders>
                  <w:vAlign w:val="center"/>
                </w:tcPr>
                <w:p w14:paraId="528FCFC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2＃井</w:t>
                  </w:r>
                </w:p>
              </w:tc>
              <w:tc>
                <w:tcPr>
                  <w:tcW w:w="970" w:type="dxa"/>
                  <w:tcBorders>
                    <w:tl2br w:val="nil"/>
                    <w:tr2bl w:val="nil"/>
                  </w:tcBorders>
                  <w:vAlign w:val="center"/>
                </w:tcPr>
                <w:p w14:paraId="228208F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3＃井</w:t>
                  </w:r>
                </w:p>
              </w:tc>
              <w:tc>
                <w:tcPr>
                  <w:tcW w:w="1080" w:type="dxa"/>
                  <w:tcBorders>
                    <w:tl2br w:val="nil"/>
                    <w:tr2bl w:val="nil"/>
                  </w:tcBorders>
                  <w:vAlign w:val="center"/>
                </w:tcPr>
                <w:p w14:paraId="6D9EB4E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5＃井</w:t>
                  </w:r>
                </w:p>
              </w:tc>
              <w:tc>
                <w:tcPr>
                  <w:tcW w:w="1040" w:type="dxa"/>
                  <w:tcBorders>
                    <w:tl2br w:val="nil"/>
                    <w:tr2bl w:val="nil"/>
                  </w:tcBorders>
                  <w:vAlign w:val="center"/>
                </w:tcPr>
                <w:p w14:paraId="24AAFBB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6＃井</w:t>
                  </w:r>
                </w:p>
              </w:tc>
              <w:tc>
                <w:tcPr>
                  <w:tcW w:w="1100" w:type="dxa"/>
                  <w:tcBorders>
                    <w:tl2br w:val="nil"/>
                    <w:tr2bl w:val="nil"/>
                  </w:tcBorders>
                  <w:vAlign w:val="center"/>
                </w:tcPr>
                <w:p w14:paraId="6103BAF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标准值</w:t>
                  </w:r>
                </w:p>
              </w:tc>
              <w:tc>
                <w:tcPr>
                  <w:tcW w:w="663" w:type="dxa"/>
                  <w:tcBorders>
                    <w:tl2br w:val="nil"/>
                    <w:tr2bl w:val="nil"/>
                  </w:tcBorders>
                  <w:vAlign w:val="center"/>
                </w:tcPr>
                <w:p w14:paraId="755622F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达标情况</w:t>
                  </w:r>
                </w:p>
              </w:tc>
            </w:tr>
            <w:tr w14:paraId="21D9C5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2D336F1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pH</w:t>
                  </w:r>
                </w:p>
              </w:tc>
              <w:tc>
                <w:tcPr>
                  <w:tcW w:w="1244" w:type="dxa"/>
                  <w:tcBorders>
                    <w:tl2br w:val="nil"/>
                    <w:tr2bl w:val="nil"/>
                  </w:tcBorders>
                  <w:vAlign w:val="center"/>
                </w:tcPr>
                <w:p w14:paraId="526567D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w:t>
                  </w:r>
                </w:p>
              </w:tc>
              <w:tc>
                <w:tcPr>
                  <w:tcW w:w="970" w:type="dxa"/>
                  <w:tcBorders>
                    <w:tl2br w:val="nil"/>
                    <w:tr2bl w:val="nil"/>
                  </w:tcBorders>
                  <w:vAlign w:val="center"/>
                </w:tcPr>
                <w:p w14:paraId="781BE04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7.6</w:t>
                  </w:r>
                </w:p>
              </w:tc>
              <w:tc>
                <w:tcPr>
                  <w:tcW w:w="1080" w:type="dxa"/>
                  <w:tcBorders>
                    <w:tl2br w:val="nil"/>
                    <w:tr2bl w:val="nil"/>
                  </w:tcBorders>
                  <w:vAlign w:val="center"/>
                </w:tcPr>
                <w:p w14:paraId="38B5365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7.6</w:t>
                  </w:r>
                </w:p>
              </w:tc>
              <w:tc>
                <w:tcPr>
                  <w:tcW w:w="1040" w:type="dxa"/>
                  <w:tcBorders>
                    <w:tl2br w:val="nil"/>
                    <w:tr2bl w:val="nil"/>
                  </w:tcBorders>
                  <w:vAlign w:val="center"/>
                </w:tcPr>
                <w:p w14:paraId="70F5C75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7.4</w:t>
                  </w:r>
                </w:p>
              </w:tc>
              <w:tc>
                <w:tcPr>
                  <w:tcW w:w="1100" w:type="dxa"/>
                  <w:tcBorders>
                    <w:tl2br w:val="nil"/>
                    <w:tr2bl w:val="nil"/>
                  </w:tcBorders>
                  <w:vAlign w:val="center"/>
                </w:tcPr>
                <w:p w14:paraId="4294E10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6.5-8.5</w:t>
                  </w:r>
                </w:p>
              </w:tc>
              <w:tc>
                <w:tcPr>
                  <w:tcW w:w="663" w:type="dxa"/>
                  <w:tcBorders>
                    <w:tl2br w:val="nil"/>
                    <w:tr2bl w:val="nil"/>
                  </w:tcBorders>
                  <w:vAlign w:val="center"/>
                </w:tcPr>
                <w:p w14:paraId="32191AC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770677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487E09F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浊度</w:t>
                  </w:r>
                </w:p>
              </w:tc>
              <w:tc>
                <w:tcPr>
                  <w:tcW w:w="1244" w:type="dxa"/>
                  <w:tcBorders>
                    <w:tl2br w:val="nil"/>
                    <w:tr2bl w:val="nil"/>
                  </w:tcBorders>
                  <w:vAlign w:val="center"/>
                </w:tcPr>
                <w:p w14:paraId="566EBC5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8.4</w:t>
                  </w:r>
                </w:p>
              </w:tc>
              <w:tc>
                <w:tcPr>
                  <w:tcW w:w="970" w:type="dxa"/>
                  <w:tcBorders>
                    <w:tl2br w:val="nil"/>
                    <w:tr2bl w:val="nil"/>
                  </w:tcBorders>
                  <w:vAlign w:val="center"/>
                </w:tcPr>
                <w:p w14:paraId="34EF377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7.5</w:t>
                  </w:r>
                </w:p>
              </w:tc>
              <w:tc>
                <w:tcPr>
                  <w:tcW w:w="1080" w:type="dxa"/>
                  <w:tcBorders>
                    <w:tl2br w:val="nil"/>
                    <w:tr2bl w:val="nil"/>
                  </w:tcBorders>
                  <w:vAlign w:val="center"/>
                </w:tcPr>
                <w:p w14:paraId="334CD58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6.9</w:t>
                  </w:r>
                </w:p>
              </w:tc>
              <w:tc>
                <w:tcPr>
                  <w:tcW w:w="1040" w:type="dxa"/>
                  <w:tcBorders>
                    <w:tl2br w:val="nil"/>
                    <w:tr2bl w:val="nil"/>
                  </w:tcBorders>
                  <w:vAlign w:val="center"/>
                </w:tcPr>
                <w:p w14:paraId="51D0DF1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8.8</w:t>
                  </w:r>
                </w:p>
              </w:tc>
              <w:tc>
                <w:tcPr>
                  <w:tcW w:w="1100" w:type="dxa"/>
                  <w:tcBorders>
                    <w:tl2br w:val="nil"/>
                    <w:tr2bl w:val="nil"/>
                  </w:tcBorders>
                  <w:vAlign w:val="center"/>
                </w:tcPr>
                <w:p w14:paraId="780AF29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3.0</w:t>
                  </w:r>
                </w:p>
              </w:tc>
              <w:tc>
                <w:tcPr>
                  <w:tcW w:w="663" w:type="dxa"/>
                  <w:tcBorders>
                    <w:tl2br w:val="nil"/>
                    <w:tr2bl w:val="nil"/>
                  </w:tcBorders>
                  <w:vAlign w:val="center"/>
                </w:tcPr>
                <w:p w14:paraId="02ED804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超标</w:t>
                  </w:r>
                </w:p>
              </w:tc>
            </w:tr>
            <w:tr w14:paraId="1D5A71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38C63A0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高锰酸盐指数</w:t>
                  </w:r>
                </w:p>
              </w:tc>
              <w:tc>
                <w:tcPr>
                  <w:tcW w:w="1244" w:type="dxa"/>
                  <w:tcBorders>
                    <w:tl2br w:val="nil"/>
                    <w:tr2bl w:val="nil"/>
                  </w:tcBorders>
                  <w:vAlign w:val="center"/>
                </w:tcPr>
                <w:p w14:paraId="21EE951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0.5</w:t>
                  </w:r>
                </w:p>
              </w:tc>
              <w:tc>
                <w:tcPr>
                  <w:tcW w:w="970" w:type="dxa"/>
                  <w:tcBorders>
                    <w:tl2br w:val="nil"/>
                    <w:tr2bl w:val="nil"/>
                  </w:tcBorders>
                  <w:vAlign w:val="center"/>
                </w:tcPr>
                <w:p w14:paraId="5B84017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1.7</w:t>
                  </w:r>
                </w:p>
              </w:tc>
              <w:tc>
                <w:tcPr>
                  <w:tcW w:w="1080" w:type="dxa"/>
                  <w:tcBorders>
                    <w:tl2br w:val="nil"/>
                    <w:tr2bl w:val="nil"/>
                  </w:tcBorders>
                  <w:vAlign w:val="center"/>
                </w:tcPr>
                <w:p w14:paraId="7857778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0.6</w:t>
                  </w:r>
                </w:p>
              </w:tc>
              <w:tc>
                <w:tcPr>
                  <w:tcW w:w="1040" w:type="dxa"/>
                  <w:tcBorders>
                    <w:tl2br w:val="nil"/>
                    <w:tr2bl w:val="nil"/>
                  </w:tcBorders>
                  <w:vAlign w:val="center"/>
                </w:tcPr>
                <w:p w14:paraId="5CFD8E6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0.5</w:t>
                  </w:r>
                </w:p>
              </w:tc>
              <w:tc>
                <w:tcPr>
                  <w:tcW w:w="1100" w:type="dxa"/>
                  <w:tcBorders>
                    <w:tl2br w:val="nil"/>
                    <w:tr2bl w:val="nil"/>
                  </w:tcBorders>
                  <w:vAlign w:val="center"/>
                </w:tcPr>
                <w:p w14:paraId="0399FCB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3.0</w:t>
                  </w:r>
                </w:p>
              </w:tc>
              <w:tc>
                <w:tcPr>
                  <w:tcW w:w="663" w:type="dxa"/>
                  <w:tcBorders>
                    <w:tl2br w:val="nil"/>
                    <w:tr2bl w:val="nil"/>
                  </w:tcBorders>
                  <w:vAlign w:val="center"/>
                </w:tcPr>
                <w:p w14:paraId="4CDD9A9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38C680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32C49F0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溶解性总固体</w:t>
                  </w:r>
                </w:p>
              </w:tc>
              <w:tc>
                <w:tcPr>
                  <w:tcW w:w="1244" w:type="dxa"/>
                  <w:tcBorders>
                    <w:tl2br w:val="nil"/>
                    <w:tr2bl w:val="nil"/>
                  </w:tcBorders>
                  <w:vAlign w:val="center"/>
                </w:tcPr>
                <w:p w14:paraId="3081150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446</w:t>
                  </w:r>
                </w:p>
              </w:tc>
              <w:tc>
                <w:tcPr>
                  <w:tcW w:w="970" w:type="dxa"/>
                  <w:tcBorders>
                    <w:tl2br w:val="nil"/>
                    <w:tr2bl w:val="nil"/>
                  </w:tcBorders>
                  <w:vAlign w:val="center"/>
                </w:tcPr>
                <w:p w14:paraId="3A7F3C7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799</w:t>
                  </w:r>
                </w:p>
              </w:tc>
              <w:tc>
                <w:tcPr>
                  <w:tcW w:w="1080" w:type="dxa"/>
                  <w:tcBorders>
                    <w:tl2br w:val="nil"/>
                    <w:tr2bl w:val="nil"/>
                  </w:tcBorders>
                  <w:vAlign w:val="center"/>
                </w:tcPr>
                <w:p w14:paraId="11EBEEB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209</w:t>
                  </w:r>
                </w:p>
              </w:tc>
              <w:tc>
                <w:tcPr>
                  <w:tcW w:w="1040" w:type="dxa"/>
                  <w:tcBorders>
                    <w:tl2br w:val="nil"/>
                    <w:tr2bl w:val="nil"/>
                  </w:tcBorders>
                  <w:vAlign w:val="center"/>
                </w:tcPr>
                <w:p w14:paraId="6CB5EDE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520</w:t>
                  </w:r>
                </w:p>
              </w:tc>
              <w:tc>
                <w:tcPr>
                  <w:tcW w:w="1100" w:type="dxa"/>
                  <w:tcBorders>
                    <w:tl2br w:val="nil"/>
                    <w:tr2bl w:val="nil"/>
                  </w:tcBorders>
                  <w:vAlign w:val="center"/>
                </w:tcPr>
                <w:p w14:paraId="1ABD228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1000</w:t>
                  </w:r>
                </w:p>
              </w:tc>
              <w:tc>
                <w:tcPr>
                  <w:tcW w:w="663" w:type="dxa"/>
                  <w:tcBorders>
                    <w:tl2br w:val="nil"/>
                    <w:tr2bl w:val="nil"/>
                  </w:tcBorders>
                  <w:vAlign w:val="center"/>
                </w:tcPr>
                <w:p w14:paraId="56ED45A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7EAC3A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0D7592D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氨氮</w:t>
                  </w:r>
                </w:p>
              </w:tc>
              <w:tc>
                <w:tcPr>
                  <w:tcW w:w="1244" w:type="dxa"/>
                  <w:tcBorders>
                    <w:tl2br w:val="nil"/>
                    <w:tr2bl w:val="nil"/>
                  </w:tcBorders>
                  <w:vAlign w:val="center"/>
                </w:tcPr>
                <w:p w14:paraId="161E7E0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0.571</w:t>
                  </w:r>
                </w:p>
              </w:tc>
              <w:tc>
                <w:tcPr>
                  <w:tcW w:w="970" w:type="dxa"/>
                  <w:tcBorders>
                    <w:tl2br w:val="nil"/>
                    <w:tr2bl w:val="nil"/>
                  </w:tcBorders>
                  <w:vAlign w:val="center"/>
                </w:tcPr>
                <w:p w14:paraId="05BFC5E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0.616</w:t>
                  </w:r>
                </w:p>
              </w:tc>
              <w:tc>
                <w:tcPr>
                  <w:tcW w:w="1080" w:type="dxa"/>
                  <w:tcBorders>
                    <w:tl2br w:val="nil"/>
                    <w:tr2bl w:val="nil"/>
                  </w:tcBorders>
                  <w:vAlign w:val="center"/>
                </w:tcPr>
                <w:p w14:paraId="6B1303A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0.137</w:t>
                  </w:r>
                </w:p>
              </w:tc>
              <w:tc>
                <w:tcPr>
                  <w:tcW w:w="1040" w:type="dxa"/>
                  <w:tcBorders>
                    <w:tl2br w:val="nil"/>
                    <w:tr2bl w:val="nil"/>
                  </w:tcBorders>
                  <w:vAlign w:val="center"/>
                </w:tcPr>
                <w:p w14:paraId="79FFC53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0.213</w:t>
                  </w:r>
                </w:p>
              </w:tc>
              <w:tc>
                <w:tcPr>
                  <w:tcW w:w="1100" w:type="dxa"/>
                  <w:tcBorders>
                    <w:tl2br w:val="nil"/>
                    <w:tr2bl w:val="nil"/>
                  </w:tcBorders>
                  <w:vAlign w:val="center"/>
                </w:tcPr>
                <w:p w14:paraId="76C25DC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0.5</w:t>
                  </w:r>
                </w:p>
              </w:tc>
              <w:tc>
                <w:tcPr>
                  <w:tcW w:w="663" w:type="dxa"/>
                  <w:tcBorders>
                    <w:tl2br w:val="nil"/>
                    <w:tr2bl w:val="nil"/>
                  </w:tcBorders>
                  <w:vAlign w:val="center"/>
                </w:tcPr>
                <w:p w14:paraId="45CEF39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超标</w:t>
                  </w:r>
                </w:p>
              </w:tc>
            </w:tr>
            <w:tr w14:paraId="7554E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0D88451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总磷</w:t>
                  </w:r>
                </w:p>
              </w:tc>
              <w:tc>
                <w:tcPr>
                  <w:tcW w:w="1244" w:type="dxa"/>
                  <w:tcBorders>
                    <w:tl2br w:val="nil"/>
                    <w:tr2bl w:val="nil"/>
                  </w:tcBorders>
                  <w:vAlign w:val="center"/>
                </w:tcPr>
                <w:p w14:paraId="3FF8C3A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0.02</w:t>
                  </w:r>
                </w:p>
              </w:tc>
              <w:tc>
                <w:tcPr>
                  <w:tcW w:w="970" w:type="dxa"/>
                  <w:tcBorders>
                    <w:tl2br w:val="nil"/>
                    <w:tr2bl w:val="nil"/>
                  </w:tcBorders>
                  <w:vAlign w:val="center"/>
                </w:tcPr>
                <w:p w14:paraId="08050AD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0.02</w:t>
                  </w:r>
                </w:p>
              </w:tc>
              <w:tc>
                <w:tcPr>
                  <w:tcW w:w="1080" w:type="dxa"/>
                  <w:tcBorders>
                    <w:tl2br w:val="nil"/>
                    <w:tr2bl w:val="nil"/>
                  </w:tcBorders>
                  <w:vAlign w:val="center"/>
                </w:tcPr>
                <w:p w14:paraId="00B58C0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0.04</w:t>
                  </w:r>
                </w:p>
              </w:tc>
              <w:tc>
                <w:tcPr>
                  <w:tcW w:w="1040" w:type="dxa"/>
                  <w:tcBorders>
                    <w:tl2br w:val="nil"/>
                    <w:tr2bl w:val="nil"/>
                  </w:tcBorders>
                  <w:vAlign w:val="center"/>
                </w:tcPr>
                <w:p w14:paraId="1314807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0.03</w:t>
                  </w:r>
                </w:p>
              </w:tc>
              <w:tc>
                <w:tcPr>
                  <w:tcW w:w="1100" w:type="dxa"/>
                  <w:tcBorders>
                    <w:tl2br w:val="nil"/>
                    <w:tr2bl w:val="nil"/>
                  </w:tcBorders>
                  <w:vAlign w:val="center"/>
                </w:tcPr>
                <w:p w14:paraId="4A6DAF3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0.2</w:t>
                  </w:r>
                </w:p>
              </w:tc>
              <w:tc>
                <w:tcPr>
                  <w:tcW w:w="663" w:type="dxa"/>
                  <w:tcBorders>
                    <w:tl2br w:val="nil"/>
                    <w:tr2bl w:val="nil"/>
                  </w:tcBorders>
                  <w:vAlign w:val="center"/>
                </w:tcPr>
                <w:p w14:paraId="7800BB1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242BA5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0129CE4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总氮</w:t>
                  </w:r>
                </w:p>
              </w:tc>
              <w:tc>
                <w:tcPr>
                  <w:tcW w:w="1244" w:type="dxa"/>
                  <w:tcBorders>
                    <w:tl2br w:val="nil"/>
                    <w:tr2bl w:val="nil"/>
                  </w:tcBorders>
                  <w:vAlign w:val="center"/>
                </w:tcPr>
                <w:p w14:paraId="76E8A33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0.95</w:t>
                  </w:r>
                </w:p>
              </w:tc>
              <w:tc>
                <w:tcPr>
                  <w:tcW w:w="970" w:type="dxa"/>
                  <w:tcBorders>
                    <w:tl2br w:val="nil"/>
                    <w:tr2bl w:val="nil"/>
                  </w:tcBorders>
                  <w:vAlign w:val="center"/>
                </w:tcPr>
                <w:p w14:paraId="7DC637C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0.93</w:t>
                  </w:r>
                </w:p>
              </w:tc>
              <w:tc>
                <w:tcPr>
                  <w:tcW w:w="1080" w:type="dxa"/>
                  <w:tcBorders>
                    <w:tl2br w:val="nil"/>
                    <w:tr2bl w:val="nil"/>
                  </w:tcBorders>
                  <w:vAlign w:val="center"/>
                </w:tcPr>
                <w:p w14:paraId="542F34D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0.62</w:t>
                  </w:r>
                </w:p>
              </w:tc>
              <w:tc>
                <w:tcPr>
                  <w:tcW w:w="1040" w:type="dxa"/>
                  <w:tcBorders>
                    <w:tl2br w:val="nil"/>
                    <w:tr2bl w:val="nil"/>
                  </w:tcBorders>
                  <w:vAlign w:val="center"/>
                </w:tcPr>
                <w:p w14:paraId="20F4F24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0.87</w:t>
                  </w:r>
                </w:p>
              </w:tc>
              <w:tc>
                <w:tcPr>
                  <w:tcW w:w="1100" w:type="dxa"/>
                  <w:tcBorders>
                    <w:tl2br w:val="nil"/>
                    <w:tr2bl w:val="nil"/>
                  </w:tcBorders>
                  <w:vAlign w:val="center"/>
                </w:tcPr>
                <w:p w14:paraId="6184E7A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1.0</w:t>
                  </w:r>
                </w:p>
              </w:tc>
              <w:tc>
                <w:tcPr>
                  <w:tcW w:w="663" w:type="dxa"/>
                  <w:tcBorders>
                    <w:tl2br w:val="nil"/>
                    <w:tr2bl w:val="nil"/>
                  </w:tcBorders>
                  <w:vAlign w:val="center"/>
                </w:tcPr>
                <w:p w14:paraId="3E02FDC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30BFD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05E40BA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硝酸盐</w:t>
                  </w:r>
                </w:p>
              </w:tc>
              <w:tc>
                <w:tcPr>
                  <w:tcW w:w="1244" w:type="dxa"/>
                  <w:tcBorders>
                    <w:tl2br w:val="nil"/>
                    <w:tr2bl w:val="nil"/>
                  </w:tcBorders>
                  <w:vAlign w:val="center"/>
                </w:tcPr>
                <w:p w14:paraId="1F658E6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3.29</w:t>
                  </w:r>
                </w:p>
              </w:tc>
              <w:tc>
                <w:tcPr>
                  <w:tcW w:w="970" w:type="dxa"/>
                  <w:tcBorders>
                    <w:tl2br w:val="nil"/>
                    <w:tr2bl w:val="nil"/>
                  </w:tcBorders>
                  <w:vAlign w:val="center"/>
                </w:tcPr>
                <w:p w14:paraId="4EEAB03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17.7</w:t>
                  </w:r>
                </w:p>
              </w:tc>
              <w:tc>
                <w:tcPr>
                  <w:tcW w:w="1080" w:type="dxa"/>
                  <w:tcBorders>
                    <w:tl2br w:val="nil"/>
                    <w:tr2bl w:val="nil"/>
                  </w:tcBorders>
                  <w:vAlign w:val="center"/>
                </w:tcPr>
                <w:p w14:paraId="02487DF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0.42</w:t>
                  </w:r>
                </w:p>
              </w:tc>
              <w:tc>
                <w:tcPr>
                  <w:tcW w:w="1040" w:type="dxa"/>
                  <w:tcBorders>
                    <w:tl2br w:val="nil"/>
                    <w:tr2bl w:val="nil"/>
                  </w:tcBorders>
                  <w:vAlign w:val="center"/>
                </w:tcPr>
                <w:p w14:paraId="0DD3693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1.01</w:t>
                  </w:r>
                </w:p>
              </w:tc>
              <w:tc>
                <w:tcPr>
                  <w:tcW w:w="1100" w:type="dxa"/>
                  <w:tcBorders>
                    <w:tl2br w:val="nil"/>
                    <w:tr2bl w:val="nil"/>
                  </w:tcBorders>
                  <w:vAlign w:val="center"/>
                </w:tcPr>
                <w:p w14:paraId="691D7C6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20</w:t>
                  </w:r>
                </w:p>
              </w:tc>
              <w:tc>
                <w:tcPr>
                  <w:tcW w:w="663" w:type="dxa"/>
                  <w:tcBorders>
                    <w:tl2br w:val="nil"/>
                    <w:tr2bl w:val="nil"/>
                  </w:tcBorders>
                  <w:vAlign w:val="center"/>
                </w:tcPr>
                <w:p w14:paraId="0A2F3CC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61636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11FF883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挥发酚</w:t>
                  </w:r>
                </w:p>
              </w:tc>
              <w:tc>
                <w:tcPr>
                  <w:tcW w:w="1244" w:type="dxa"/>
                  <w:tcBorders>
                    <w:tl2br w:val="nil"/>
                    <w:tr2bl w:val="nil"/>
                  </w:tcBorders>
                  <w:vAlign w:val="center"/>
                </w:tcPr>
                <w:p w14:paraId="3EDB993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&lt;0.0003</w:t>
                  </w:r>
                </w:p>
              </w:tc>
              <w:tc>
                <w:tcPr>
                  <w:tcW w:w="970" w:type="dxa"/>
                  <w:tcBorders>
                    <w:tl2br w:val="nil"/>
                    <w:tr2bl w:val="nil"/>
                  </w:tcBorders>
                  <w:vAlign w:val="center"/>
                </w:tcPr>
                <w:p w14:paraId="1C1D226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&lt;0.0003</w:t>
                  </w:r>
                </w:p>
              </w:tc>
              <w:tc>
                <w:tcPr>
                  <w:tcW w:w="1080" w:type="dxa"/>
                  <w:tcBorders>
                    <w:tl2br w:val="nil"/>
                    <w:tr2bl w:val="nil"/>
                  </w:tcBorders>
                  <w:vAlign w:val="center"/>
                </w:tcPr>
                <w:p w14:paraId="07269D5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&lt;0.0003</w:t>
                  </w:r>
                </w:p>
              </w:tc>
              <w:tc>
                <w:tcPr>
                  <w:tcW w:w="1040" w:type="dxa"/>
                  <w:tcBorders>
                    <w:tl2br w:val="nil"/>
                    <w:tr2bl w:val="nil"/>
                  </w:tcBorders>
                  <w:vAlign w:val="center"/>
                </w:tcPr>
                <w:p w14:paraId="3A9F622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&lt;0.0003</w:t>
                  </w:r>
                </w:p>
              </w:tc>
              <w:tc>
                <w:tcPr>
                  <w:tcW w:w="1100" w:type="dxa"/>
                  <w:tcBorders>
                    <w:tl2br w:val="nil"/>
                    <w:tr2bl w:val="nil"/>
                  </w:tcBorders>
                  <w:vAlign w:val="center"/>
                </w:tcPr>
                <w:p w14:paraId="6F12562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0.002</w:t>
                  </w:r>
                </w:p>
              </w:tc>
              <w:tc>
                <w:tcPr>
                  <w:tcW w:w="663" w:type="dxa"/>
                  <w:tcBorders>
                    <w:tl2br w:val="nil"/>
                    <w:tr2bl w:val="nil"/>
                  </w:tcBorders>
                  <w:vAlign w:val="center"/>
                </w:tcPr>
                <w:p w14:paraId="345E7FD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299D10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23B7D4A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color w:val="000000"/>
                      <w:sz w:val="18"/>
                      <w:szCs w:val="18"/>
                      <w:u w:val="none"/>
                      <w:lang w:bidi="ar"/>
                    </w:rPr>
                    <w:t>总大肠菌群（MNP/100mL）</w:t>
                  </w:r>
                </w:p>
              </w:tc>
              <w:tc>
                <w:tcPr>
                  <w:tcW w:w="1244" w:type="dxa"/>
                  <w:tcBorders>
                    <w:tl2br w:val="nil"/>
                    <w:tr2bl w:val="nil"/>
                  </w:tcBorders>
                  <w:vAlign w:val="center"/>
                </w:tcPr>
                <w:p w14:paraId="014C1C7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&lt;2</w:t>
                  </w:r>
                </w:p>
              </w:tc>
              <w:tc>
                <w:tcPr>
                  <w:tcW w:w="970" w:type="dxa"/>
                  <w:tcBorders>
                    <w:tl2br w:val="nil"/>
                    <w:tr2bl w:val="nil"/>
                  </w:tcBorders>
                  <w:vAlign w:val="center"/>
                </w:tcPr>
                <w:p w14:paraId="77F4AE1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&lt;2</w:t>
                  </w:r>
                </w:p>
              </w:tc>
              <w:tc>
                <w:tcPr>
                  <w:tcW w:w="1080" w:type="dxa"/>
                  <w:tcBorders>
                    <w:tl2br w:val="nil"/>
                    <w:tr2bl w:val="nil"/>
                  </w:tcBorders>
                  <w:vAlign w:val="center"/>
                </w:tcPr>
                <w:p w14:paraId="58B162F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&lt;2</w:t>
                  </w:r>
                </w:p>
              </w:tc>
              <w:tc>
                <w:tcPr>
                  <w:tcW w:w="1040" w:type="dxa"/>
                  <w:tcBorders>
                    <w:tl2br w:val="nil"/>
                    <w:tr2bl w:val="nil"/>
                  </w:tcBorders>
                  <w:vAlign w:val="center"/>
                </w:tcPr>
                <w:p w14:paraId="5E1A0A6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&lt;2</w:t>
                  </w:r>
                </w:p>
              </w:tc>
              <w:tc>
                <w:tcPr>
                  <w:tcW w:w="1100" w:type="dxa"/>
                  <w:tcBorders>
                    <w:tl2br w:val="nil"/>
                    <w:tr2bl w:val="nil"/>
                  </w:tcBorders>
                  <w:vAlign w:val="center"/>
                </w:tcPr>
                <w:p w14:paraId="769E246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3.0</w:t>
                  </w:r>
                </w:p>
              </w:tc>
              <w:tc>
                <w:tcPr>
                  <w:tcW w:w="663" w:type="dxa"/>
                  <w:tcBorders>
                    <w:tl2br w:val="nil"/>
                    <w:tr2bl w:val="nil"/>
                  </w:tcBorders>
                  <w:vAlign w:val="center"/>
                </w:tcPr>
                <w:p w14:paraId="2C8D685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54E78D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7628500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氟化物</w:t>
                  </w:r>
                </w:p>
              </w:tc>
              <w:tc>
                <w:tcPr>
                  <w:tcW w:w="1244" w:type="dxa"/>
                  <w:tcBorders>
                    <w:tl2br w:val="nil"/>
                    <w:tr2bl w:val="nil"/>
                  </w:tcBorders>
                  <w:vAlign w:val="center"/>
                </w:tcPr>
                <w:p w14:paraId="2CA8447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0.08</w:t>
                  </w:r>
                </w:p>
              </w:tc>
              <w:tc>
                <w:tcPr>
                  <w:tcW w:w="970" w:type="dxa"/>
                  <w:tcBorders>
                    <w:tl2br w:val="nil"/>
                    <w:tr2bl w:val="nil"/>
                  </w:tcBorders>
                  <w:vAlign w:val="center"/>
                </w:tcPr>
                <w:p w14:paraId="5B349B9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0.66</w:t>
                  </w:r>
                </w:p>
              </w:tc>
              <w:tc>
                <w:tcPr>
                  <w:tcW w:w="1080" w:type="dxa"/>
                  <w:tcBorders>
                    <w:tl2br w:val="nil"/>
                    <w:tr2bl w:val="nil"/>
                  </w:tcBorders>
                  <w:vAlign w:val="center"/>
                </w:tcPr>
                <w:p w14:paraId="649F3B3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0.07</w:t>
                  </w:r>
                </w:p>
              </w:tc>
              <w:tc>
                <w:tcPr>
                  <w:tcW w:w="1040" w:type="dxa"/>
                  <w:tcBorders>
                    <w:tl2br w:val="nil"/>
                    <w:tr2bl w:val="nil"/>
                  </w:tcBorders>
                  <w:vAlign w:val="center"/>
                </w:tcPr>
                <w:p w14:paraId="56EE6B6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0.27</w:t>
                  </w:r>
                </w:p>
              </w:tc>
              <w:tc>
                <w:tcPr>
                  <w:tcW w:w="1100" w:type="dxa"/>
                  <w:tcBorders>
                    <w:tl2br w:val="nil"/>
                    <w:tr2bl w:val="nil"/>
                  </w:tcBorders>
                  <w:vAlign w:val="center"/>
                </w:tcPr>
                <w:p w14:paraId="04A88A1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1.0</w:t>
                  </w:r>
                </w:p>
              </w:tc>
              <w:tc>
                <w:tcPr>
                  <w:tcW w:w="663" w:type="dxa"/>
                  <w:tcBorders>
                    <w:tl2br w:val="nil"/>
                    <w:tr2bl w:val="nil"/>
                  </w:tcBorders>
                  <w:vAlign w:val="center"/>
                </w:tcPr>
                <w:p w14:paraId="319E487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45FFEC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7587344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氰化物</w:t>
                  </w:r>
                </w:p>
              </w:tc>
              <w:tc>
                <w:tcPr>
                  <w:tcW w:w="1244" w:type="dxa"/>
                  <w:tcBorders>
                    <w:tl2br w:val="nil"/>
                    <w:tr2bl w:val="nil"/>
                  </w:tcBorders>
                  <w:vAlign w:val="center"/>
                </w:tcPr>
                <w:p w14:paraId="0A05C96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&lt;0.002</w:t>
                  </w:r>
                </w:p>
              </w:tc>
              <w:tc>
                <w:tcPr>
                  <w:tcW w:w="970" w:type="dxa"/>
                  <w:tcBorders>
                    <w:tl2br w:val="nil"/>
                    <w:tr2bl w:val="nil"/>
                  </w:tcBorders>
                  <w:vAlign w:val="center"/>
                </w:tcPr>
                <w:p w14:paraId="7230E53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&lt;0.002</w:t>
                  </w:r>
                </w:p>
              </w:tc>
              <w:tc>
                <w:tcPr>
                  <w:tcW w:w="1080" w:type="dxa"/>
                  <w:tcBorders>
                    <w:tl2br w:val="nil"/>
                    <w:tr2bl w:val="nil"/>
                  </w:tcBorders>
                  <w:vAlign w:val="center"/>
                </w:tcPr>
                <w:p w14:paraId="315B16D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&lt;0.002</w:t>
                  </w:r>
                </w:p>
              </w:tc>
              <w:tc>
                <w:tcPr>
                  <w:tcW w:w="1040" w:type="dxa"/>
                  <w:tcBorders>
                    <w:tl2br w:val="nil"/>
                    <w:tr2bl w:val="nil"/>
                  </w:tcBorders>
                  <w:vAlign w:val="center"/>
                </w:tcPr>
                <w:p w14:paraId="24D752E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&lt;0.002</w:t>
                  </w:r>
                </w:p>
              </w:tc>
              <w:tc>
                <w:tcPr>
                  <w:tcW w:w="1100" w:type="dxa"/>
                  <w:tcBorders>
                    <w:tl2br w:val="nil"/>
                    <w:tr2bl w:val="nil"/>
                  </w:tcBorders>
                  <w:vAlign w:val="center"/>
                </w:tcPr>
                <w:p w14:paraId="18F9DF5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0.05</w:t>
                  </w:r>
                </w:p>
              </w:tc>
              <w:tc>
                <w:tcPr>
                  <w:tcW w:w="663" w:type="dxa"/>
                  <w:tcBorders>
                    <w:tl2br w:val="nil"/>
                    <w:tr2bl w:val="nil"/>
                  </w:tcBorders>
                  <w:vAlign w:val="center"/>
                </w:tcPr>
                <w:p w14:paraId="0F52976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3B9B3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0BFD31E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color w:val="000000"/>
                      <w:sz w:val="18"/>
                      <w:szCs w:val="18"/>
                      <w:u w:val="none"/>
                      <w:lang w:bidi="ar"/>
                    </w:rPr>
                    <w:t>细菌总数（CFU/mL）</w:t>
                  </w:r>
                </w:p>
              </w:tc>
              <w:tc>
                <w:tcPr>
                  <w:tcW w:w="1244" w:type="dxa"/>
                  <w:tcBorders>
                    <w:tl2br w:val="nil"/>
                    <w:tr2bl w:val="nil"/>
                  </w:tcBorders>
                  <w:vAlign w:val="center"/>
                </w:tcPr>
                <w:p w14:paraId="35BD8C9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90</w:t>
                  </w:r>
                </w:p>
              </w:tc>
              <w:tc>
                <w:tcPr>
                  <w:tcW w:w="970" w:type="dxa"/>
                  <w:tcBorders>
                    <w:tl2br w:val="nil"/>
                    <w:tr2bl w:val="nil"/>
                  </w:tcBorders>
                  <w:vAlign w:val="center"/>
                </w:tcPr>
                <w:p w14:paraId="0055158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90</w:t>
                  </w:r>
                </w:p>
              </w:tc>
              <w:tc>
                <w:tcPr>
                  <w:tcW w:w="1080" w:type="dxa"/>
                  <w:tcBorders>
                    <w:tl2br w:val="nil"/>
                    <w:tr2bl w:val="nil"/>
                  </w:tcBorders>
                  <w:vAlign w:val="center"/>
                </w:tcPr>
                <w:p w14:paraId="383427C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80</w:t>
                  </w:r>
                </w:p>
              </w:tc>
              <w:tc>
                <w:tcPr>
                  <w:tcW w:w="1040" w:type="dxa"/>
                  <w:tcBorders>
                    <w:tl2br w:val="nil"/>
                    <w:tr2bl w:val="nil"/>
                  </w:tcBorders>
                  <w:vAlign w:val="center"/>
                </w:tcPr>
                <w:p w14:paraId="3D4C2E6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70</w:t>
                  </w:r>
                </w:p>
              </w:tc>
              <w:tc>
                <w:tcPr>
                  <w:tcW w:w="1100" w:type="dxa"/>
                  <w:tcBorders>
                    <w:tl2br w:val="nil"/>
                    <w:tr2bl w:val="nil"/>
                  </w:tcBorders>
                  <w:vAlign w:val="center"/>
                </w:tcPr>
                <w:p w14:paraId="7809C60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100</w:t>
                  </w:r>
                </w:p>
              </w:tc>
              <w:tc>
                <w:tcPr>
                  <w:tcW w:w="663" w:type="dxa"/>
                  <w:tcBorders>
                    <w:tl2br w:val="nil"/>
                    <w:tr2bl w:val="nil"/>
                  </w:tcBorders>
                  <w:vAlign w:val="center"/>
                </w:tcPr>
                <w:p w14:paraId="473773A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0D5B8E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40E5908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总硬度</w:t>
                  </w:r>
                </w:p>
              </w:tc>
              <w:tc>
                <w:tcPr>
                  <w:tcW w:w="1244" w:type="dxa"/>
                  <w:tcBorders>
                    <w:tl2br w:val="nil"/>
                    <w:tr2bl w:val="nil"/>
                  </w:tcBorders>
                  <w:vAlign w:val="center"/>
                </w:tcPr>
                <w:p w14:paraId="6CB70C2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252</w:t>
                  </w:r>
                </w:p>
              </w:tc>
              <w:tc>
                <w:tcPr>
                  <w:tcW w:w="970" w:type="dxa"/>
                  <w:tcBorders>
                    <w:tl2br w:val="nil"/>
                    <w:tr2bl w:val="nil"/>
                  </w:tcBorders>
                  <w:vAlign w:val="center"/>
                </w:tcPr>
                <w:p w14:paraId="69B2BA6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274</w:t>
                  </w:r>
                </w:p>
              </w:tc>
              <w:tc>
                <w:tcPr>
                  <w:tcW w:w="1080" w:type="dxa"/>
                  <w:tcBorders>
                    <w:tl2br w:val="nil"/>
                    <w:tr2bl w:val="nil"/>
                  </w:tcBorders>
                  <w:vAlign w:val="center"/>
                </w:tcPr>
                <w:p w14:paraId="36BB3CB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41.3</w:t>
                  </w:r>
                </w:p>
              </w:tc>
              <w:tc>
                <w:tcPr>
                  <w:tcW w:w="1040" w:type="dxa"/>
                  <w:tcBorders>
                    <w:tl2br w:val="nil"/>
                    <w:tr2bl w:val="nil"/>
                  </w:tcBorders>
                  <w:vAlign w:val="center"/>
                </w:tcPr>
                <w:p w14:paraId="68106FB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157</w:t>
                  </w:r>
                </w:p>
              </w:tc>
              <w:tc>
                <w:tcPr>
                  <w:tcW w:w="1100" w:type="dxa"/>
                  <w:tcBorders>
                    <w:tl2br w:val="nil"/>
                    <w:tr2bl w:val="nil"/>
                  </w:tcBorders>
                  <w:vAlign w:val="center"/>
                </w:tcPr>
                <w:p w14:paraId="41572E8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450</w:t>
                  </w:r>
                </w:p>
              </w:tc>
              <w:tc>
                <w:tcPr>
                  <w:tcW w:w="663" w:type="dxa"/>
                  <w:tcBorders>
                    <w:tl2br w:val="nil"/>
                    <w:tr2bl w:val="nil"/>
                  </w:tcBorders>
                  <w:vAlign w:val="center"/>
                </w:tcPr>
                <w:p w14:paraId="311ABD5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11560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4" w:type="dxa"/>
                  <w:tcBorders>
                    <w:tl2br w:val="nil"/>
                    <w:tr2bl w:val="nil"/>
                  </w:tcBorders>
                  <w:vAlign w:val="center"/>
                </w:tcPr>
                <w:p w14:paraId="66AC5B0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硫酸盐</w:t>
                  </w:r>
                </w:p>
              </w:tc>
              <w:tc>
                <w:tcPr>
                  <w:tcW w:w="1244" w:type="dxa"/>
                  <w:tcBorders>
                    <w:tl2br w:val="nil"/>
                    <w:tr2bl w:val="nil"/>
                  </w:tcBorders>
                  <w:vAlign w:val="center"/>
                </w:tcPr>
                <w:p w14:paraId="61DC4C2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14</w:t>
                  </w:r>
                </w:p>
              </w:tc>
              <w:tc>
                <w:tcPr>
                  <w:tcW w:w="970" w:type="dxa"/>
                  <w:tcBorders>
                    <w:tl2br w:val="nil"/>
                    <w:tr2bl w:val="nil"/>
                  </w:tcBorders>
                  <w:vAlign w:val="center"/>
                </w:tcPr>
                <w:p w14:paraId="3DBA468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78</w:t>
                  </w:r>
                </w:p>
              </w:tc>
              <w:tc>
                <w:tcPr>
                  <w:tcW w:w="1080" w:type="dxa"/>
                  <w:tcBorders>
                    <w:tl2br w:val="nil"/>
                    <w:tr2bl w:val="nil"/>
                  </w:tcBorders>
                  <w:vAlign w:val="center"/>
                </w:tcPr>
                <w:p w14:paraId="71F0A5A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&lt;8</w:t>
                  </w:r>
                </w:p>
              </w:tc>
              <w:tc>
                <w:tcPr>
                  <w:tcW w:w="1040" w:type="dxa"/>
                  <w:tcBorders>
                    <w:tl2br w:val="nil"/>
                    <w:tr2bl w:val="nil"/>
                  </w:tcBorders>
                  <w:vAlign w:val="center"/>
                </w:tcPr>
                <w:p w14:paraId="6B3D8FC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&lt;8</w:t>
                  </w:r>
                </w:p>
              </w:tc>
              <w:tc>
                <w:tcPr>
                  <w:tcW w:w="1100" w:type="dxa"/>
                  <w:tcBorders>
                    <w:tl2br w:val="nil"/>
                    <w:tr2bl w:val="nil"/>
                  </w:tcBorders>
                  <w:vAlign w:val="center"/>
                </w:tcPr>
                <w:p w14:paraId="3BB043C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250</w:t>
                  </w:r>
                </w:p>
              </w:tc>
              <w:tc>
                <w:tcPr>
                  <w:tcW w:w="663" w:type="dxa"/>
                  <w:tcBorders>
                    <w:tl2br w:val="nil"/>
                    <w:tr2bl w:val="nil"/>
                  </w:tcBorders>
                  <w:vAlign w:val="center"/>
                </w:tcPr>
                <w:p w14:paraId="6317D18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0E450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250EC55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氯化物</w:t>
                  </w:r>
                </w:p>
              </w:tc>
              <w:tc>
                <w:tcPr>
                  <w:tcW w:w="1244" w:type="dxa"/>
                  <w:tcBorders>
                    <w:tl2br w:val="nil"/>
                    <w:tr2bl w:val="nil"/>
                  </w:tcBorders>
                  <w:vAlign w:val="center"/>
                </w:tcPr>
                <w:p w14:paraId="48F59C9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16.5</w:t>
                  </w:r>
                </w:p>
              </w:tc>
              <w:tc>
                <w:tcPr>
                  <w:tcW w:w="970" w:type="dxa"/>
                  <w:tcBorders>
                    <w:tl2br w:val="nil"/>
                    <w:tr2bl w:val="nil"/>
                  </w:tcBorders>
                  <w:vAlign w:val="center"/>
                </w:tcPr>
                <w:p w14:paraId="147E13E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132</w:t>
                  </w:r>
                </w:p>
              </w:tc>
              <w:tc>
                <w:tcPr>
                  <w:tcW w:w="1080" w:type="dxa"/>
                  <w:tcBorders>
                    <w:tl2br w:val="nil"/>
                    <w:tr2bl w:val="nil"/>
                  </w:tcBorders>
                  <w:vAlign w:val="center"/>
                </w:tcPr>
                <w:p w14:paraId="022A869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5.5</w:t>
                  </w:r>
                </w:p>
              </w:tc>
              <w:tc>
                <w:tcPr>
                  <w:tcW w:w="1040" w:type="dxa"/>
                  <w:tcBorders>
                    <w:tl2br w:val="nil"/>
                    <w:tr2bl w:val="nil"/>
                  </w:tcBorders>
                  <w:vAlign w:val="center"/>
                </w:tcPr>
                <w:p w14:paraId="354C975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9.5</w:t>
                  </w:r>
                </w:p>
              </w:tc>
              <w:tc>
                <w:tcPr>
                  <w:tcW w:w="1100" w:type="dxa"/>
                  <w:tcBorders>
                    <w:tl2br w:val="nil"/>
                    <w:tr2bl w:val="nil"/>
                  </w:tcBorders>
                  <w:vAlign w:val="center"/>
                </w:tcPr>
                <w:p w14:paraId="288DC6D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250</w:t>
                  </w:r>
                </w:p>
              </w:tc>
              <w:tc>
                <w:tcPr>
                  <w:tcW w:w="663" w:type="dxa"/>
                  <w:tcBorders>
                    <w:tl2br w:val="nil"/>
                    <w:tr2bl w:val="nil"/>
                  </w:tcBorders>
                  <w:vAlign w:val="center"/>
                </w:tcPr>
                <w:p w14:paraId="0E067AE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7E3E93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04A4F8C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铜</w:t>
                  </w:r>
                </w:p>
              </w:tc>
              <w:tc>
                <w:tcPr>
                  <w:tcW w:w="1244" w:type="dxa"/>
                  <w:tcBorders>
                    <w:tl2br w:val="nil"/>
                    <w:tr2bl w:val="nil"/>
                  </w:tcBorders>
                  <w:vAlign w:val="center"/>
                </w:tcPr>
                <w:p w14:paraId="0B4D97E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0.006</w:t>
                  </w:r>
                </w:p>
              </w:tc>
              <w:tc>
                <w:tcPr>
                  <w:tcW w:w="970" w:type="dxa"/>
                  <w:tcBorders>
                    <w:tl2br w:val="nil"/>
                    <w:tr2bl w:val="nil"/>
                  </w:tcBorders>
                  <w:vAlign w:val="center"/>
                </w:tcPr>
                <w:p w14:paraId="685F8B0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0.014</w:t>
                  </w:r>
                </w:p>
              </w:tc>
              <w:tc>
                <w:tcPr>
                  <w:tcW w:w="1080" w:type="dxa"/>
                  <w:tcBorders>
                    <w:tl2br w:val="nil"/>
                    <w:tr2bl w:val="nil"/>
                  </w:tcBorders>
                  <w:vAlign w:val="center"/>
                </w:tcPr>
                <w:p w14:paraId="7E226E5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0.003</w:t>
                  </w:r>
                </w:p>
              </w:tc>
              <w:tc>
                <w:tcPr>
                  <w:tcW w:w="1040" w:type="dxa"/>
                  <w:tcBorders>
                    <w:tl2br w:val="nil"/>
                    <w:tr2bl w:val="nil"/>
                  </w:tcBorders>
                  <w:vAlign w:val="center"/>
                </w:tcPr>
                <w:p w14:paraId="0555BBE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0.012</w:t>
                  </w:r>
                </w:p>
              </w:tc>
              <w:tc>
                <w:tcPr>
                  <w:tcW w:w="1100" w:type="dxa"/>
                  <w:tcBorders>
                    <w:tl2br w:val="nil"/>
                    <w:tr2bl w:val="nil"/>
                  </w:tcBorders>
                  <w:vAlign w:val="center"/>
                </w:tcPr>
                <w:p w14:paraId="2375E86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1.0</w:t>
                  </w:r>
                </w:p>
              </w:tc>
              <w:tc>
                <w:tcPr>
                  <w:tcW w:w="663" w:type="dxa"/>
                  <w:tcBorders>
                    <w:tl2br w:val="nil"/>
                    <w:tr2bl w:val="nil"/>
                  </w:tcBorders>
                  <w:vAlign w:val="center"/>
                </w:tcPr>
                <w:p w14:paraId="5EBA329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6CE6CE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385F7DA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锌</w:t>
                  </w:r>
                </w:p>
              </w:tc>
              <w:tc>
                <w:tcPr>
                  <w:tcW w:w="1244" w:type="dxa"/>
                  <w:tcBorders>
                    <w:tl2br w:val="nil"/>
                    <w:tr2bl w:val="nil"/>
                  </w:tcBorders>
                  <w:vAlign w:val="center"/>
                </w:tcPr>
                <w:p w14:paraId="5DDADF8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&lt;0.05</w:t>
                  </w:r>
                </w:p>
              </w:tc>
              <w:tc>
                <w:tcPr>
                  <w:tcW w:w="970" w:type="dxa"/>
                  <w:tcBorders>
                    <w:tl2br w:val="nil"/>
                    <w:tr2bl w:val="nil"/>
                  </w:tcBorders>
                  <w:vAlign w:val="center"/>
                </w:tcPr>
                <w:p w14:paraId="7CF2E28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0.05</w:t>
                  </w:r>
                </w:p>
              </w:tc>
              <w:tc>
                <w:tcPr>
                  <w:tcW w:w="1080" w:type="dxa"/>
                  <w:tcBorders>
                    <w:tl2br w:val="nil"/>
                    <w:tr2bl w:val="nil"/>
                  </w:tcBorders>
                  <w:vAlign w:val="center"/>
                </w:tcPr>
                <w:p w14:paraId="3C9A713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&lt;0.05</w:t>
                  </w:r>
                </w:p>
              </w:tc>
              <w:tc>
                <w:tcPr>
                  <w:tcW w:w="1040" w:type="dxa"/>
                  <w:tcBorders>
                    <w:tl2br w:val="nil"/>
                    <w:tr2bl w:val="nil"/>
                  </w:tcBorders>
                  <w:vAlign w:val="center"/>
                </w:tcPr>
                <w:p w14:paraId="5F2E6A1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&lt;0.05</w:t>
                  </w:r>
                </w:p>
              </w:tc>
              <w:tc>
                <w:tcPr>
                  <w:tcW w:w="1100" w:type="dxa"/>
                  <w:tcBorders>
                    <w:tl2br w:val="nil"/>
                    <w:tr2bl w:val="nil"/>
                  </w:tcBorders>
                  <w:vAlign w:val="center"/>
                </w:tcPr>
                <w:p w14:paraId="107044C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1.0</w:t>
                  </w:r>
                </w:p>
              </w:tc>
              <w:tc>
                <w:tcPr>
                  <w:tcW w:w="663" w:type="dxa"/>
                  <w:tcBorders>
                    <w:tl2br w:val="nil"/>
                    <w:tr2bl w:val="nil"/>
                  </w:tcBorders>
                  <w:vAlign w:val="center"/>
                </w:tcPr>
                <w:p w14:paraId="37A700A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6E5798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420648A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砷</w:t>
                  </w:r>
                </w:p>
              </w:tc>
              <w:tc>
                <w:tcPr>
                  <w:tcW w:w="1244" w:type="dxa"/>
                  <w:tcBorders>
                    <w:tl2br w:val="nil"/>
                    <w:tr2bl w:val="nil"/>
                  </w:tcBorders>
                  <w:vAlign w:val="center"/>
                </w:tcPr>
                <w:p w14:paraId="54CD0CB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0.0048</w:t>
                  </w:r>
                </w:p>
              </w:tc>
              <w:tc>
                <w:tcPr>
                  <w:tcW w:w="970" w:type="dxa"/>
                  <w:tcBorders>
                    <w:tl2br w:val="nil"/>
                    <w:tr2bl w:val="nil"/>
                  </w:tcBorders>
                  <w:vAlign w:val="center"/>
                </w:tcPr>
                <w:p w14:paraId="6151CF8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0.0083</w:t>
                  </w:r>
                </w:p>
              </w:tc>
              <w:tc>
                <w:tcPr>
                  <w:tcW w:w="1080" w:type="dxa"/>
                  <w:tcBorders>
                    <w:tl2br w:val="nil"/>
                    <w:tr2bl w:val="nil"/>
                  </w:tcBorders>
                  <w:vAlign w:val="center"/>
                </w:tcPr>
                <w:p w14:paraId="4539652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0.0084</w:t>
                  </w:r>
                </w:p>
              </w:tc>
              <w:tc>
                <w:tcPr>
                  <w:tcW w:w="1040" w:type="dxa"/>
                  <w:tcBorders>
                    <w:tl2br w:val="nil"/>
                    <w:tr2bl w:val="nil"/>
                  </w:tcBorders>
                  <w:vAlign w:val="center"/>
                </w:tcPr>
                <w:p w14:paraId="7AC37DA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0.0092</w:t>
                  </w:r>
                </w:p>
              </w:tc>
              <w:tc>
                <w:tcPr>
                  <w:tcW w:w="1100" w:type="dxa"/>
                  <w:tcBorders>
                    <w:tl2br w:val="nil"/>
                    <w:tr2bl w:val="nil"/>
                  </w:tcBorders>
                  <w:vAlign w:val="center"/>
                </w:tcPr>
                <w:p w14:paraId="006BBE3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0.01</w:t>
                  </w:r>
                </w:p>
              </w:tc>
              <w:tc>
                <w:tcPr>
                  <w:tcW w:w="663" w:type="dxa"/>
                  <w:tcBorders>
                    <w:tl2br w:val="nil"/>
                    <w:tr2bl w:val="nil"/>
                  </w:tcBorders>
                  <w:vAlign w:val="center"/>
                </w:tcPr>
                <w:p w14:paraId="51D6B26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6AE5DA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32696D2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隔</w:t>
                  </w:r>
                </w:p>
              </w:tc>
              <w:tc>
                <w:tcPr>
                  <w:tcW w:w="1244" w:type="dxa"/>
                  <w:tcBorders>
                    <w:tl2br w:val="nil"/>
                    <w:tr2bl w:val="nil"/>
                  </w:tcBorders>
                  <w:vAlign w:val="center"/>
                </w:tcPr>
                <w:p w14:paraId="2492643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0.0002</w:t>
                  </w:r>
                </w:p>
              </w:tc>
              <w:tc>
                <w:tcPr>
                  <w:tcW w:w="970" w:type="dxa"/>
                  <w:tcBorders>
                    <w:tl2br w:val="nil"/>
                    <w:tr2bl w:val="nil"/>
                  </w:tcBorders>
                  <w:vAlign w:val="center"/>
                </w:tcPr>
                <w:p w14:paraId="0F679E8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0.0009</w:t>
                  </w:r>
                </w:p>
              </w:tc>
              <w:tc>
                <w:tcPr>
                  <w:tcW w:w="1080" w:type="dxa"/>
                  <w:tcBorders>
                    <w:tl2br w:val="nil"/>
                    <w:tr2bl w:val="nil"/>
                  </w:tcBorders>
                  <w:vAlign w:val="center"/>
                </w:tcPr>
                <w:p w14:paraId="6294EBD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0.0001</w:t>
                  </w:r>
                </w:p>
              </w:tc>
              <w:tc>
                <w:tcPr>
                  <w:tcW w:w="1040" w:type="dxa"/>
                  <w:tcBorders>
                    <w:tl2br w:val="nil"/>
                    <w:tr2bl w:val="nil"/>
                  </w:tcBorders>
                  <w:vAlign w:val="center"/>
                </w:tcPr>
                <w:p w14:paraId="05CD753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&lt;0.0001</w:t>
                  </w:r>
                </w:p>
              </w:tc>
              <w:tc>
                <w:tcPr>
                  <w:tcW w:w="1100" w:type="dxa"/>
                  <w:tcBorders>
                    <w:tl2br w:val="nil"/>
                    <w:tr2bl w:val="nil"/>
                  </w:tcBorders>
                  <w:vAlign w:val="center"/>
                </w:tcPr>
                <w:p w14:paraId="7F447A9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0.005</w:t>
                  </w:r>
                </w:p>
              </w:tc>
              <w:tc>
                <w:tcPr>
                  <w:tcW w:w="663" w:type="dxa"/>
                  <w:tcBorders>
                    <w:tl2br w:val="nil"/>
                    <w:tr2bl w:val="nil"/>
                  </w:tcBorders>
                  <w:vAlign w:val="center"/>
                </w:tcPr>
                <w:p w14:paraId="2FCB35D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4F2B65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3EA0CEF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六价铬</w:t>
                  </w:r>
                </w:p>
              </w:tc>
              <w:tc>
                <w:tcPr>
                  <w:tcW w:w="1244" w:type="dxa"/>
                  <w:tcBorders>
                    <w:tl2br w:val="nil"/>
                    <w:tr2bl w:val="nil"/>
                  </w:tcBorders>
                  <w:vAlign w:val="center"/>
                </w:tcPr>
                <w:p w14:paraId="73F25DA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&lt;0.004</w:t>
                  </w:r>
                </w:p>
              </w:tc>
              <w:tc>
                <w:tcPr>
                  <w:tcW w:w="970" w:type="dxa"/>
                  <w:tcBorders>
                    <w:tl2br w:val="nil"/>
                    <w:tr2bl w:val="nil"/>
                  </w:tcBorders>
                  <w:vAlign w:val="center"/>
                </w:tcPr>
                <w:p w14:paraId="648B7F1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0.007</w:t>
                  </w:r>
                </w:p>
              </w:tc>
              <w:tc>
                <w:tcPr>
                  <w:tcW w:w="1080" w:type="dxa"/>
                  <w:tcBorders>
                    <w:tl2br w:val="nil"/>
                    <w:tr2bl w:val="nil"/>
                  </w:tcBorders>
                  <w:vAlign w:val="center"/>
                </w:tcPr>
                <w:p w14:paraId="6AF444A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&lt;0.004</w:t>
                  </w:r>
                </w:p>
              </w:tc>
              <w:tc>
                <w:tcPr>
                  <w:tcW w:w="1040" w:type="dxa"/>
                  <w:tcBorders>
                    <w:tl2br w:val="nil"/>
                    <w:tr2bl w:val="nil"/>
                  </w:tcBorders>
                  <w:vAlign w:val="center"/>
                </w:tcPr>
                <w:p w14:paraId="4CA6191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&lt;0.004</w:t>
                  </w:r>
                </w:p>
              </w:tc>
              <w:tc>
                <w:tcPr>
                  <w:tcW w:w="1100" w:type="dxa"/>
                  <w:tcBorders>
                    <w:tl2br w:val="nil"/>
                    <w:tr2bl w:val="nil"/>
                  </w:tcBorders>
                  <w:vAlign w:val="center"/>
                </w:tcPr>
                <w:p w14:paraId="5951F8A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0.05</w:t>
                  </w:r>
                </w:p>
              </w:tc>
              <w:tc>
                <w:tcPr>
                  <w:tcW w:w="663" w:type="dxa"/>
                  <w:tcBorders>
                    <w:tl2br w:val="nil"/>
                    <w:tr2bl w:val="nil"/>
                  </w:tcBorders>
                  <w:vAlign w:val="center"/>
                </w:tcPr>
                <w:p w14:paraId="3539F3D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58FAB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7BBE31B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铅</w:t>
                  </w:r>
                </w:p>
              </w:tc>
              <w:tc>
                <w:tcPr>
                  <w:tcW w:w="1244" w:type="dxa"/>
                  <w:tcBorders>
                    <w:tl2br w:val="nil"/>
                    <w:tr2bl w:val="nil"/>
                  </w:tcBorders>
                  <w:vAlign w:val="center"/>
                </w:tcPr>
                <w:p w14:paraId="765959D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0.002</w:t>
                  </w:r>
                </w:p>
              </w:tc>
              <w:tc>
                <w:tcPr>
                  <w:tcW w:w="970" w:type="dxa"/>
                  <w:tcBorders>
                    <w:tl2br w:val="nil"/>
                    <w:tr2bl w:val="nil"/>
                  </w:tcBorders>
                  <w:vAlign w:val="center"/>
                </w:tcPr>
                <w:p w14:paraId="4643C81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0.006</w:t>
                  </w:r>
                </w:p>
              </w:tc>
              <w:tc>
                <w:tcPr>
                  <w:tcW w:w="1080" w:type="dxa"/>
                  <w:tcBorders>
                    <w:tl2br w:val="nil"/>
                    <w:tr2bl w:val="nil"/>
                  </w:tcBorders>
                  <w:vAlign w:val="center"/>
                </w:tcPr>
                <w:p w14:paraId="4B0063E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&lt;0.001</w:t>
                  </w:r>
                </w:p>
              </w:tc>
              <w:tc>
                <w:tcPr>
                  <w:tcW w:w="1040" w:type="dxa"/>
                  <w:tcBorders>
                    <w:tl2br w:val="nil"/>
                    <w:tr2bl w:val="nil"/>
                  </w:tcBorders>
                  <w:vAlign w:val="center"/>
                </w:tcPr>
                <w:p w14:paraId="39DAE84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0.001</w:t>
                  </w:r>
                </w:p>
              </w:tc>
              <w:tc>
                <w:tcPr>
                  <w:tcW w:w="1100" w:type="dxa"/>
                  <w:tcBorders>
                    <w:tl2br w:val="nil"/>
                    <w:tr2bl w:val="nil"/>
                  </w:tcBorders>
                  <w:vAlign w:val="center"/>
                </w:tcPr>
                <w:p w14:paraId="4ECD9C8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0.01</w:t>
                  </w:r>
                </w:p>
              </w:tc>
              <w:tc>
                <w:tcPr>
                  <w:tcW w:w="663" w:type="dxa"/>
                  <w:tcBorders>
                    <w:tl2br w:val="nil"/>
                    <w:tr2bl w:val="nil"/>
                  </w:tcBorders>
                  <w:vAlign w:val="center"/>
                </w:tcPr>
                <w:p w14:paraId="0BAF805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78C2B0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3802AEA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汞</w:t>
                  </w:r>
                </w:p>
              </w:tc>
              <w:tc>
                <w:tcPr>
                  <w:tcW w:w="1244" w:type="dxa"/>
                  <w:tcBorders>
                    <w:tl2br w:val="nil"/>
                    <w:tr2bl w:val="nil"/>
                  </w:tcBorders>
                  <w:vAlign w:val="center"/>
                </w:tcPr>
                <w:p w14:paraId="5627664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&lt;0.00004</w:t>
                  </w:r>
                </w:p>
              </w:tc>
              <w:tc>
                <w:tcPr>
                  <w:tcW w:w="970" w:type="dxa"/>
                  <w:tcBorders>
                    <w:tl2br w:val="nil"/>
                    <w:tr2bl w:val="nil"/>
                  </w:tcBorders>
                  <w:vAlign w:val="center"/>
                </w:tcPr>
                <w:p w14:paraId="7206B3A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0.00084</w:t>
                  </w:r>
                </w:p>
              </w:tc>
              <w:tc>
                <w:tcPr>
                  <w:tcW w:w="1080" w:type="dxa"/>
                  <w:tcBorders>
                    <w:tl2br w:val="nil"/>
                    <w:tr2bl w:val="nil"/>
                  </w:tcBorders>
                  <w:vAlign w:val="center"/>
                </w:tcPr>
                <w:p w14:paraId="644F232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&lt;0.00004</w:t>
                  </w:r>
                </w:p>
              </w:tc>
              <w:tc>
                <w:tcPr>
                  <w:tcW w:w="1040" w:type="dxa"/>
                  <w:tcBorders>
                    <w:tl2br w:val="nil"/>
                    <w:tr2bl w:val="nil"/>
                  </w:tcBorders>
                  <w:vAlign w:val="center"/>
                </w:tcPr>
                <w:p w14:paraId="2C31D64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&lt;0.00004</w:t>
                  </w:r>
                </w:p>
              </w:tc>
              <w:tc>
                <w:tcPr>
                  <w:tcW w:w="1100" w:type="dxa"/>
                  <w:tcBorders>
                    <w:tl2br w:val="nil"/>
                    <w:tr2bl w:val="nil"/>
                  </w:tcBorders>
                  <w:vAlign w:val="center"/>
                </w:tcPr>
                <w:p w14:paraId="2471D37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0.001</w:t>
                  </w:r>
                </w:p>
              </w:tc>
              <w:tc>
                <w:tcPr>
                  <w:tcW w:w="663" w:type="dxa"/>
                  <w:tcBorders>
                    <w:tl2br w:val="nil"/>
                    <w:tr2bl w:val="nil"/>
                  </w:tcBorders>
                  <w:vAlign w:val="center"/>
                </w:tcPr>
                <w:p w14:paraId="0F38DF3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737C18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7006043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铁</w:t>
                  </w:r>
                </w:p>
              </w:tc>
              <w:tc>
                <w:tcPr>
                  <w:tcW w:w="1244" w:type="dxa"/>
                  <w:tcBorders>
                    <w:tl2br w:val="nil"/>
                    <w:tr2bl w:val="nil"/>
                  </w:tcBorders>
                  <w:vAlign w:val="center"/>
                </w:tcPr>
                <w:p w14:paraId="790B459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0.08</w:t>
                  </w:r>
                </w:p>
              </w:tc>
              <w:tc>
                <w:tcPr>
                  <w:tcW w:w="970" w:type="dxa"/>
                  <w:tcBorders>
                    <w:tl2br w:val="nil"/>
                    <w:tr2bl w:val="nil"/>
                  </w:tcBorders>
                  <w:vAlign w:val="center"/>
                </w:tcPr>
                <w:p w14:paraId="43F16C2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&lt;0.03</w:t>
                  </w:r>
                </w:p>
              </w:tc>
              <w:tc>
                <w:tcPr>
                  <w:tcW w:w="1080" w:type="dxa"/>
                  <w:tcBorders>
                    <w:tl2br w:val="nil"/>
                    <w:tr2bl w:val="nil"/>
                  </w:tcBorders>
                  <w:vAlign w:val="center"/>
                </w:tcPr>
                <w:p w14:paraId="3265914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&lt;0.03</w:t>
                  </w:r>
                </w:p>
              </w:tc>
              <w:tc>
                <w:tcPr>
                  <w:tcW w:w="1040" w:type="dxa"/>
                  <w:tcBorders>
                    <w:tl2br w:val="nil"/>
                    <w:tr2bl w:val="nil"/>
                  </w:tcBorders>
                  <w:vAlign w:val="center"/>
                </w:tcPr>
                <w:p w14:paraId="4E1FDB9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&lt;0.03</w:t>
                  </w:r>
                </w:p>
              </w:tc>
              <w:tc>
                <w:tcPr>
                  <w:tcW w:w="1100" w:type="dxa"/>
                  <w:tcBorders>
                    <w:tl2br w:val="nil"/>
                    <w:tr2bl w:val="nil"/>
                  </w:tcBorders>
                  <w:vAlign w:val="center"/>
                </w:tcPr>
                <w:p w14:paraId="7176FEA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0.3</w:t>
                  </w:r>
                </w:p>
              </w:tc>
              <w:tc>
                <w:tcPr>
                  <w:tcW w:w="663" w:type="dxa"/>
                  <w:tcBorders>
                    <w:tl2br w:val="nil"/>
                    <w:tr2bl w:val="nil"/>
                  </w:tcBorders>
                  <w:vAlign w:val="center"/>
                </w:tcPr>
                <w:p w14:paraId="2897E55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23559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24" w:type="dxa"/>
                  <w:tcBorders>
                    <w:tl2br w:val="nil"/>
                    <w:tr2bl w:val="nil"/>
                  </w:tcBorders>
                  <w:vAlign w:val="center"/>
                </w:tcPr>
                <w:p w14:paraId="06D9745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锰</w:t>
                  </w:r>
                </w:p>
              </w:tc>
              <w:tc>
                <w:tcPr>
                  <w:tcW w:w="1244" w:type="dxa"/>
                  <w:tcBorders>
                    <w:tl2br w:val="nil"/>
                    <w:tr2bl w:val="nil"/>
                  </w:tcBorders>
                  <w:vAlign w:val="center"/>
                </w:tcPr>
                <w:p w14:paraId="23E7D3B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0.36</w:t>
                  </w:r>
                </w:p>
              </w:tc>
              <w:tc>
                <w:tcPr>
                  <w:tcW w:w="970" w:type="dxa"/>
                  <w:tcBorders>
                    <w:tl2br w:val="nil"/>
                    <w:tr2bl w:val="nil"/>
                  </w:tcBorders>
                  <w:vAlign w:val="center"/>
                </w:tcPr>
                <w:p w14:paraId="21DDD5D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1.06</w:t>
                  </w:r>
                </w:p>
              </w:tc>
              <w:tc>
                <w:tcPr>
                  <w:tcW w:w="1080" w:type="dxa"/>
                  <w:tcBorders>
                    <w:tl2br w:val="nil"/>
                    <w:tr2bl w:val="nil"/>
                  </w:tcBorders>
                  <w:vAlign w:val="center"/>
                </w:tcPr>
                <w:p w14:paraId="768C681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0.03</w:t>
                  </w:r>
                </w:p>
              </w:tc>
              <w:tc>
                <w:tcPr>
                  <w:tcW w:w="1040" w:type="dxa"/>
                  <w:tcBorders>
                    <w:tl2br w:val="nil"/>
                    <w:tr2bl w:val="nil"/>
                  </w:tcBorders>
                  <w:vAlign w:val="center"/>
                </w:tcPr>
                <w:p w14:paraId="6B0901B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&lt;0.01</w:t>
                  </w:r>
                </w:p>
              </w:tc>
              <w:tc>
                <w:tcPr>
                  <w:tcW w:w="1100" w:type="dxa"/>
                  <w:tcBorders>
                    <w:tl2br w:val="nil"/>
                    <w:tr2bl w:val="nil"/>
                  </w:tcBorders>
                  <w:vAlign w:val="center"/>
                </w:tcPr>
                <w:p w14:paraId="4B10D36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0.1</w:t>
                  </w:r>
                </w:p>
              </w:tc>
              <w:tc>
                <w:tcPr>
                  <w:tcW w:w="663" w:type="dxa"/>
                  <w:tcBorders>
                    <w:tl2br w:val="nil"/>
                    <w:tr2bl w:val="nil"/>
                  </w:tcBorders>
                  <w:vAlign w:val="center"/>
                </w:tcPr>
                <w:p w14:paraId="2A97F4D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超标</w:t>
                  </w:r>
                </w:p>
              </w:tc>
            </w:tr>
            <w:tr w14:paraId="1E1142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622BE39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锑</w:t>
                  </w:r>
                </w:p>
              </w:tc>
              <w:tc>
                <w:tcPr>
                  <w:tcW w:w="1244" w:type="dxa"/>
                  <w:tcBorders>
                    <w:tl2br w:val="nil"/>
                    <w:tr2bl w:val="nil"/>
                  </w:tcBorders>
                  <w:vAlign w:val="center"/>
                </w:tcPr>
                <w:p w14:paraId="165E490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0.0014</w:t>
                  </w:r>
                </w:p>
              </w:tc>
              <w:tc>
                <w:tcPr>
                  <w:tcW w:w="970" w:type="dxa"/>
                  <w:tcBorders>
                    <w:tl2br w:val="nil"/>
                    <w:tr2bl w:val="nil"/>
                  </w:tcBorders>
                  <w:vAlign w:val="center"/>
                </w:tcPr>
                <w:p w14:paraId="2F7A008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0.0006</w:t>
                  </w:r>
                </w:p>
              </w:tc>
              <w:tc>
                <w:tcPr>
                  <w:tcW w:w="1080" w:type="dxa"/>
                  <w:tcBorders>
                    <w:tl2br w:val="nil"/>
                    <w:tr2bl w:val="nil"/>
                  </w:tcBorders>
                  <w:vAlign w:val="center"/>
                </w:tcPr>
                <w:p w14:paraId="46E508A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0.0005</w:t>
                  </w:r>
                </w:p>
              </w:tc>
              <w:tc>
                <w:tcPr>
                  <w:tcW w:w="1040" w:type="dxa"/>
                  <w:tcBorders>
                    <w:tl2br w:val="nil"/>
                    <w:tr2bl w:val="nil"/>
                  </w:tcBorders>
                  <w:vAlign w:val="center"/>
                </w:tcPr>
                <w:p w14:paraId="50723EB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0.0007</w:t>
                  </w:r>
                </w:p>
              </w:tc>
              <w:tc>
                <w:tcPr>
                  <w:tcW w:w="1100" w:type="dxa"/>
                  <w:tcBorders>
                    <w:tl2br w:val="nil"/>
                    <w:tr2bl w:val="nil"/>
                  </w:tcBorders>
                  <w:vAlign w:val="center"/>
                </w:tcPr>
                <w:p w14:paraId="7EECA6E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0.005</w:t>
                  </w:r>
                </w:p>
              </w:tc>
              <w:tc>
                <w:tcPr>
                  <w:tcW w:w="663" w:type="dxa"/>
                  <w:tcBorders>
                    <w:tl2br w:val="nil"/>
                    <w:tr2bl w:val="nil"/>
                  </w:tcBorders>
                  <w:vAlign w:val="center"/>
                </w:tcPr>
                <w:p w14:paraId="21C6185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6FF3BB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2B88F36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镍</w:t>
                  </w:r>
                </w:p>
              </w:tc>
              <w:tc>
                <w:tcPr>
                  <w:tcW w:w="1244" w:type="dxa"/>
                  <w:tcBorders>
                    <w:tl2br w:val="nil"/>
                    <w:tr2bl w:val="nil"/>
                  </w:tcBorders>
                  <w:vAlign w:val="center"/>
                </w:tcPr>
                <w:p w14:paraId="3ED4809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1.26</w:t>
                  </w:r>
                </w:p>
              </w:tc>
              <w:tc>
                <w:tcPr>
                  <w:tcW w:w="970" w:type="dxa"/>
                  <w:tcBorders>
                    <w:tl2br w:val="nil"/>
                    <w:tr2bl w:val="nil"/>
                  </w:tcBorders>
                  <w:vAlign w:val="center"/>
                </w:tcPr>
                <w:p w14:paraId="0AEA80F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4.96</w:t>
                  </w:r>
                </w:p>
              </w:tc>
              <w:tc>
                <w:tcPr>
                  <w:tcW w:w="1080" w:type="dxa"/>
                  <w:tcBorders>
                    <w:tl2br w:val="nil"/>
                    <w:tr2bl w:val="nil"/>
                  </w:tcBorders>
                  <w:vAlign w:val="center"/>
                </w:tcPr>
                <w:p w14:paraId="3180A8D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0.55</w:t>
                  </w:r>
                </w:p>
              </w:tc>
              <w:tc>
                <w:tcPr>
                  <w:tcW w:w="1040" w:type="dxa"/>
                  <w:tcBorders>
                    <w:tl2br w:val="nil"/>
                    <w:tr2bl w:val="nil"/>
                  </w:tcBorders>
                  <w:vAlign w:val="center"/>
                </w:tcPr>
                <w:p w14:paraId="7CA2828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0.28</w:t>
                  </w:r>
                </w:p>
              </w:tc>
              <w:tc>
                <w:tcPr>
                  <w:tcW w:w="1100" w:type="dxa"/>
                  <w:tcBorders>
                    <w:tl2br w:val="nil"/>
                    <w:tr2bl w:val="nil"/>
                  </w:tcBorders>
                  <w:vAlign w:val="center"/>
                </w:tcPr>
                <w:p w14:paraId="6E4B76C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0.02</w:t>
                  </w:r>
                </w:p>
              </w:tc>
              <w:tc>
                <w:tcPr>
                  <w:tcW w:w="663" w:type="dxa"/>
                  <w:tcBorders>
                    <w:tl2br w:val="nil"/>
                    <w:tr2bl w:val="nil"/>
                  </w:tcBorders>
                  <w:vAlign w:val="center"/>
                </w:tcPr>
                <w:p w14:paraId="53248F0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超标</w:t>
                  </w:r>
                </w:p>
              </w:tc>
            </w:tr>
            <w:tr w14:paraId="76BA4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37DC15C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铊</w:t>
                  </w:r>
                </w:p>
              </w:tc>
              <w:tc>
                <w:tcPr>
                  <w:tcW w:w="1244" w:type="dxa"/>
                  <w:tcBorders>
                    <w:tl2br w:val="nil"/>
                    <w:tr2bl w:val="nil"/>
                  </w:tcBorders>
                  <w:vAlign w:val="center"/>
                </w:tcPr>
                <w:p w14:paraId="6AADE15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&lt;0.03</w:t>
                  </w:r>
                </w:p>
              </w:tc>
              <w:tc>
                <w:tcPr>
                  <w:tcW w:w="970" w:type="dxa"/>
                  <w:tcBorders>
                    <w:tl2br w:val="nil"/>
                    <w:tr2bl w:val="nil"/>
                  </w:tcBorders>
                  <w:vAlign w:val="center"/>
                </w:tcPr>
                <w:p w14:paraId="0A33662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&lt;0.03</w:t>
                  </w:r>
                </w:p>
              </w:tc>
              <w:tc>
                <w:tcPr>
                  <w:tcW w:w="1080" w:type="dxa"/>
                  <w:tcBorders>
                    <w:tl2br w:val="nil"/>
                    <w:tr2bl w:val="nil"/>
                  </w:tcBorders>
                  <w:vAlign w:val="center"/>
                </w:tcPr>
                <w:p w14:paraId="674E584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&lt;0.03</w:t>
                  </w:r>
                </w:p>
              </w:tc>
              <w:tc>
                <w:tcPr>
                  <w:tcW w:w="1040" w:type="dxa"/>
                  <w:tcBorders>
                    <w:tl2br w:val="nil"/>
                    <w:tr2bl w:val="nil"/>
                  </w:tcBorders>
                  <w:vAlign w:val="center"/>
                </w:tcPr>
                <w:p w14:paraId="3391BFA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&lt;0.03</w:t>
                  </w:r>
                </w:p>
              </w:tc>
              <w:tc>
                <w:tcPr>
                  <w:tcW w:w="1100" w:type="dxa"/>
                  <w:tcBorders>
                    <w:tl2br w:val="nil"/>
                    <w:tr2bl w:val="nil"/>
                  </w:tcBorders>
                  <w:vAlign w:val="center"/>
                </w:tcPr>
                <w:p w14:paraId="573FC82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0.0001</w:t>
                  </w:r>
                </w:p>
              </w:tc>
              <w:tc>
                <w:tcPr>
                  <w:tcW w:w="663" w:type="dxa"/>
                  <w:tcBorders>
                    <w:tl2br w:val="nil"/>
                    <w:tr2bl w:val="nil"/>
                  </w:tcBorders>
                  <w:vAlign w:val="center"/>
                </w:tcPr>
                <w:p w14:paraId="002AC12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28FF6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45CA495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钴</w:t>
                  </w:r>
                </w:p>
              </w:tc>
              <w:tc>
                <w:tcPr>
                  <w:tcW w:w="1244" w:type="dxa"/>
                  <w:tcBorders>
                    <w:tl2br w:val="nil"/>
                    <w:tr2bl w:val="nil"/>
                  </w:tcBorders>
                  <w:vAlign w:val="center"/>
                </w:tcPr>
                <w:p w14:paraId="48C5D07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1.01</w:t>
                  </w:r>
                </w:p>
              </w:tc>
              <w:tc>
                <w:tcPr>
                  <w:tcW w:w="970" w:type="dxa"/>
                  <w:tcBorders>
                    <w:tl2br w:val="nil"/>
                    <w:tr2bl w:val="nil"/>
                  </w:tcBorders>
                  <w:vAlign w:val="center"/>
                </w:tcPr>
                <w:p w14:paraId="0E1824D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7.87</w:t>
                  </w:r>
                </w:p>
              </w:tc>
              <w:tc>
                <w:tcPr>
                  <w:tcW w:w="1080" w:type="dxa"/>
                  <w:tcBorders>
                    <w:tl2br w:val="nil"/>
                    <w:tr2bl w:val="nil"/>
                  </w:tcBorders>
                  <w:vAlign w:val="center"/>
                </w:tcPr>
                <w:p w14:paraId="6D56D5E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0.14</w:t>
                  </w:r>
                </w:p>
              </w:tc>
              <w:tc>
                <w:tcPr>
                  <w:tcW w:w="1040" w:type="dxa"/>
                  <w:tcBorders>
                    <w:tl2br w:val="nil"/>
                    <w:tr2bl w:val="nil"/>
                  </w:tcBorders>
                  <w:vAlign w:val="center"/>
                </w:tcPr>
                <w:p w14:paraId="5B02E95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&lt;0.03</w:t>
                  </w:r>
                </w:p>
              </w:tc>
              <w:tc>
                <w:tcPr>
                  <w:tcW w:w="1100" w:type="dxa"/>
                  <w:tcBorders>
                    <w:tl2br w:val="nil"/>
                    <w:tr2bl w:val="nil"/>
                  </w:tcBorders>
                  <w:vAlign w:val="center"/>
                </w:tcPr>
                <w:p w14:paraId="1701ABB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eastAsia" w:ascii="Times New Roman" w:hAnsi="Times New Roman" w:eastAsia="宋体" w:cs="Times New Roman"/>
                      <w:b w:val="0"/>
                      <w:bCs w:val="0"/>
                      <w:color w:val="auto"/>
                      <w:sz w:val="18"/>
                      <w:szCs w:val="18"/>
                      <w:vertAlign w:val="baseline"/>
                      <w:lang w:val="en-US" w:eastAsia="zh-CN"/>
                    </w:rPr>
                    <w:t>0.05</w:t>
                  </w:r>
                </w:p>
              </w:tc>
              <w:tc>
                <w:tcPr>
                  <w:tcW w:w="663" w:type="dxa"/>
                  <w:tcBorders>
                    <w:tl2br w:val="nil"/>
                    <w:tr2bl w:val="nil"/>
                  </w:tcBorders>
                  <w:vAlign w:val="center"/>
                </w:tcPr>
                <w:p w14:paraId="5314BAE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超标</w:t>
                  </w:r>
                </w:p>
              </w:tc>
            </w:tr>
            <w:tr w14:paraId="5A0FAD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1" w:type="dxa"/>
                  <w:gridSpan w:val="7"/>
                  <w:tcBorders>
                    <w:tl2br w:val="nil"/>
                    <w:tr2bl w:val="nil"/>
                  </w:tcBorders>
                  <w:vAlign w:val="center"/>
                </w:tcPr>
                <w:p w14:paraId="29EC476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备注：报告数据栏中数据，当检测结果低于方法检出限时，用“&lt;检出限”表示。</w:t>
                  </w:r>
                </w:p>
              </w:tc>
            </w:tr>
          </w:tbl>
          <w:p w14:paraId="63DF04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根据上表监测结果可知，2＃井、3＃井、5＃井、6＃井浊度和镍超标，2＃井、3＃井氨氮和锰超标，2＃井、3＃井、5＃井钴超标，其余指标能达到《地下水环境质量标准》（GB14848-2017）</w:t>
            </w:r>
            <w:r>
              <w:rPr>
                <w:rFonts w:hint="default" w:ascii="Times New Roman" w:hAnsi="Times New Roman" w:eastAsia="宋体" w:cs="Times New Roman"/>
                <w:color w:val="auto"/>
                <w:sz w:val="24"/>
                <w:szCs w:val="24"/>
              </w:rPr>
              <w:t>Ⅲ类标准</w:t>
            </w:r>
            <w:r>
              <w:rPr>
                <w:rFonts w:hint="eastAsia" w:ascii="Times New Roman" w:hAnsi="Times New Roman" w:eastAsia="宋体" w:cs="Times New Roman"/>
                <w:color w:val="auto"/>
                <w:sz w:val="24"/>
                <w:szCs w:val="24"/>
                <w:lang w:val="en-US" w:eastAsia="zh-CN"/>
              </w:rPr>
              <w:t>。</w:t>
            </w:r>
          </w:p>
          <w:p w14:paraId="409F24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（2）土壤</w:t>
            </w:r>
          </w:p>
          <w:p w14:paraId="7531D9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易门铜业有限公司自行检测报告（厂区土壤、上半年）可知，2026年1月9日昆明绿岛环境科技有限公司对易门铜业厂区和厂界外土壤进行了监测，此次监测在生产厂界外设置土壤监测点位2个，分别是厂区上风向和厂区下方向</w:t>
            </w:r>
            <w:r>
              <w:rPr>
                <w:rFonts w:hint="eastAsia" w:cs="Times New Roman"/>
                <w:color w:val="auto"/>
                <w:sz w:val="24"/>
                <w:szCs w:val="24"/>
                <w:lang w:val="en-US" w:eastAsia="zh-CN"/>
              </w:rPr>
              <w:t>；厂区内设置4个监测点位；分别是厂区周界东、厂区周界南、厂区周界西以及厂区周界北、</w:t>
            </w:r>
            <w:r>
              <w:rPr>
                <w:rFonts w:hint="eastAsia" w:ascii="Times New Roman" w:hAnsi="Times New Roman" w:eastAsia="宋体" w:cs="Times New Roman"/>
                <w:color w:val="auto"/>
                <w:sz w:val="24"/>
                <w:szCs w:val="24"/>
                <w:lang w:val="en-US" w:eastAsia="zh-CN"/>
              </w:rPr>
              <w:t>点位所采集样品为表层土，采集样品区域属于工业园区用地范围，用地性质属于建设用地，其余监测点位于厂区内，土壤监测结果执行《土壤环境质量建设用地土壤污染风险管控标准（试行）》（GB36600-2018）筛选值第二类用地标准。监测结果详见下表：</w:t>
            </w:r>
          </w:p>
          <w:p w14:paraId="71B1F74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rPr>
              <w:t>表3-</w:t>
            </w:r>
            <w:r>
              <w:rPr>
                <w:rFonts w:hint="eastAsia" w:ascii="黑体" w:hAnsi="黑体" w:eastAsia="黑体" w:cs="黑体"/>
                <w:b w:val="0"/>
                <w:bCs w:val="0"/>
                <w:color w:val="auto"/>
                <w:sz w:val="21"/>
                <w:szCs w:val="21"/>
                <w:lang w:val="en-US" w:eastAsia="zh-CN"/>
              </w:rPr>
              <w:t xml:space="preserve">6  土壤检测结果评价表  </w:t>
            </w:r>
            <w:r>
              <w:rPr>
                <w:rFonts w:hint="eastAsia" w:ascii="黑体" w:hAnsi="黑体" w:eastAsia="黑体" w:cs="黑体"/>
                <w:b w:val="0"/>
                <w:bCs w:val="0"/>
                <w:color w:val="auto"/>
                <w:sz w:val="21"/>
                <w:szCs w:val="21"/>
              </w:rPr>
              <w:t>单位：</w:t>
            </w:r>
            <w:r>
              <w:rPr>
                <w:rFonts w:hint="eastAsia" w:ascii="黑体" w:hAnsi="黑体" w:eastAsia="黑体" w:cs="黑体"/>
                <w:b w:val="0"/>
                <w:bCs w:val="0"/>
                <w:color w:val="auto"/>
                <w:sz w:val="21"/>
                <w:szCs w:val="21"/>
                <w:lang w:val="en-US" w:eastAsia="zh-CN"/>
              </w:rPr>
              <w:t>mg/kg、pH除外</w:t>
            </w:r>
          </w:p>
          <w:tbl>
            <w:tblPr>
              <w:tblStyle w:val="22"/>
              <w:tblW w:w="7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780"/>
              <w:gridCol w:w="770"/>
              <w:gridCol w:w="800"/>
              <w:gridCol w:w="640"/>
              <w:gridCol w:w="790"/>
              <w:gridCol w:w="750"/>
              <w:gridCol w:w="900"/>
              <w:gridCol w:w="740"/>
              <w:gridCol w:w="588"/>
            </w:tblGrid>
            <w:tr w14:paraId="6060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l2br w:val="single" w:color="auto" w:sz="4" w:space="0"/>
                  </w:tcBorders>
                  <w:vAlign w:val="center"/>
                </w:tcPr>
                <w:p w14:paraId="45B6D32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点位</w:t>
                  </w:r>
                </w:p>
                <w:p w14:paraId="5F3049A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项目</w:t>
                  </w:r>
                </w:p>
              </w:tc>
              <w:tc>
                <w:tcPr>
                  <w:tcW w:w="780" w:type="dxa"/>
                  <w:vAlign w:val="center"/>
                </w:tcPr>
                <w:p w14:paraId="6A2DE3B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厂区上风向</w:t>
                  </w:r>
                </w:p>
              </w:tc>
              <w:tc>
                <w:tcPr>
                  <w:tcW w:w="770" w:type="dxa"/>
                  <w:vAlign w:val="center"/>
                </w:tcPr>
                <w:p w14:paraId="17A4DBC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厂区下风向</w:t>
                  </w:r>
                </w:p>
              </w:tc>
              <w:tc>
                <w:tcPr>
                  <w:tcW w:w="800" w:type="dxa"/>
                  <w:vAlign w:val="center"/>
                </w:tcPr>
                <w:p w14:paraId="0591736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厂区周界东</w:t>
                  </w:r>
                </w:p>
              </w:tc>
              <w:tc>
                <w:tcPr>
                  <w:tcW w:w="640" w:type="dxa"/>
                  <w:vAlign w:val="center"/>
                </w:tcPr>
                <w:p w14:paraId="565DD0F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厂区周界南</w:t>
                  </w:r>
                </w:p>
              </w:tc>
              <w:tc>
                <w:tcPr>
                  <w:tcW w:w="790" w:type="dxa"/>
                  <w:vAlign w:val="center"/>
                </w:tcPr>
                <w:p w14:paraId="070131C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厂区周界西</w:t>
                  </w:r>
                </w:p>
              </w:tc>
              <w:tc>
                <w:tcPr>
                  <w:tcW w:w="750" w:type="dxa"/>
                  <w:vAlign w:val="center"/>
                </w:tcPr>
                <w:p w14:paraId="63E23E4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厂区周界北</w:t>
                  </w:r>
                </w:p>
              </w:tc>
              <w:tc>
                <w:tcPr>
                  <w:tcW w:w="900" w:type="dxa"/>
                  <w:vAlign w:val="center"/>
                </w:tcPr>
                <w:p w14:paraId="48C84CC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筛选值</w:t>
                  </w:r>
                </w:p>
              </w:tc>
              <w:tc>
                <w:tcPr>
                  <w:tcW w:w="740" w:type="dxa"/>
                  <w:vAlign w:val="center"/>
                </w:tcPr>
                <w:p w14:paraId="57EA857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管控值</w:t>
                  </w:r>
                </w:p>
              </w:tc>
              <w:tc>
                <w:tcPr>
                  <w:tcW w:w="588" w:type="dxa"/>
                  <w:tcBorders>
                    <w:right w:val="nil"/>
                  </w:tcBorders>
                  <w:vAlign w:val="center"/>
                </w:tcPr>
                <w:p w14:paraId="3FB017D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达标情况</w:t>
                  </w:r>
                </w:p>
              </w:tc>
            </w:tr>
            <w:tr w14:paraId="24D5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76F1564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pH</w:t>
                  </w:r>
                </w:p>
              </w:tc>
              <w:tc>
                <w:tcPr>
                  <w:tcW w:w="780" w:type="dxa"/>
                  <w:vAlign w:val="center"/>
                </w:tcPr>
                <w:p w14:paraId="1D14CAB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7.05</w:t>
                  </w:r>
                </w:p>
              </w:tc>
              <w:tc>
                <w:tcPr>
                  <w:tcW w:w="770" w:type="dxa"/>
                  <w:vAlign w:val="center"/>
                </w:tcPr>
                <w:p w14:paraId="587213E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6.87</w:t>
                  </w:r>
                </w:p>
              </w:tc>
              <w:tc>
                <w:tcPr>
                  <w:tcW w:w="800" w:type="dxa"/>
                  <w:vAlign w:val="center"/>
                </w:tcPr>
                <w:p w14:paraId="472058F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6.84</w:t>
                  </w:r>
                </w:p>
              </w:tc>
              <w:tc>
                <w:tcPr>
                  <w:tcW w:w="640" w:type="dxa"/>
                  <w:vAlign w:val="center"/>
                </w:tcPr>
                <w:p w14:paraId="0DABD55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6.91</w:t>
                  </w:r>
                </w:p>
              </w:tc>
              <w:tc>
                <w:tcPr>
                  <w:tcW w:w="790" w:type="dxa"/>
                  <w:vAlign w:val="center"/>
                </w:tcPr>
                <w:p w14:paraId="31D0638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6.79</w:t>
                  </w:r>
                </w:p>
              </w:tc>
              <w:tc>
                <w:tcPr>
                  <w:tcW w:w="750" w:type="dxa"/>
                  <w:vAlign w:val="center"/>
                </w:tcPr>
                <w:p w14:paraId="3B7FF3F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6.91</w:t>
                  </w:r>
                </w:p>
              </w:tc>
              <w:tc>
                <w:tcPr>
                  <w:tcW w:w="900" w:type="dxa"/>
                  <w:vAlign w:val="center"/>
                </w:tcPr>
                <w:p w14:paraId="2D5EA6D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740" w:type="dxa"/>
                  <w:vAlign w:val="center"/>
                </w:tcPr>
                <w:p w14:paraId="14CE72C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588" w:type="dxa"/>
                  <w:tcBorders>
                    <w:right w:val="nil"/>
                  </w:tcBorders>
                  <w:vAlign w:val="center"/>
                </w:tcPr>
                <w:p w14:paraId="6C6F098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r>
            <w:tr w14:paraId="0B44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20E1E89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总铬</w:t>
                  </w:r>
                </w:p>
              </w:tc>
              <w:tc>
                <w:tcPr>
                  <w:tcW w:w="780" w:type="dxa"/>
                  <w:vAlign w:val="center"/>
                </w:tcPr>
                <w:p w14:paraId="7D1C651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70</w:t>
                  </w:r>
                </w:p>
              </w:tc>
              <w:tc>
                <w:tcPr>
                  <w:tcW w:w="770" w:type="dxa"/>
                  <w:vAlign w:val="center"/>
                </w:tcPr>
                <w:p w14:paraId="37397AA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84</w:t>
                  </w:r>
                </w:p>
              </w:tc>
              <w:tc>
                <w:tcPr>
                  <w:tcW w:w="800" w:type="dxa"/>
                  <w:vAlign w:val="center"/>
                </w:tcPr>
                <w:p w14:paraId="0270C84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99</w:t>
                  </w:r>
                </w:p>
              </w:tc>
              <w:tc>
                <w:tcPr>
                  <w:tcW w:w="640" w:type="dxa"/>
                  <w:vAlign w:val="center"/>
                </w:tcPr>
                <w:p w14:paraId="58E3FB2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107</w:t>
                  </w:r>
                </w:p>
              </w:tc>
              <w:tc>
                <w:tcPr>
                  <w:tcW w:w="790" w:type="dxa"/>
                  <w:vAlign w:val="center"/>
                </w:tcPr>
                <w:p w14:paraId="03C5AF4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47</w:t>
                  </w:r>
                </w:p>
              </w:tc>
              <w:tc>
                <w:tcPr>
                  <w:tcW w:w="750" w:type="dxa"/>
                  <w:vAlign w:val="center"/>
                </w:tcPr>
                <w:p w14:paraId="605E321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96</w:t>
                  </w:r>
                </w:p>
              </w:tc>
              <w:tc>
                <w:tcPr>
                  <w:tcW w:w="900" w:type="dxa"/>
                  <w:vAlign w:val="center"/>
                </w:tcPr>
                <w:p w14:paraId="296822A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740" w:type="dxa"/>
                  <w:vAlign w:val="center"/>
                </w:tcPr>
                <w:p w14:paraId="3098C2F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588" w:type="dxa"/>
                  <w:tcBorders>
                    <w:right w:val="nil"/>
                  </w:tcBorders>
                  <w:vAlign w:val="center"/>
                </w:tcPr>
                <w:p w14:paraId="43C5F4B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r>
            <w:tr w14:paraId="080F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540E68E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锑</w:t>
                  </w:r>
                </w:p>
              </w:tc>
              <w:tc>
                <w:tcPr>
                  <w:tcW w:w="780" w:type="dxa"/>
                  <w:vAlign w:val="center"/>
                </w:tcPr>
                <w:p w14:paraId="2A7DFCB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0.929</w:t>
                  </w:r>
                </w:p>
              </w:tc>
              <w:tc>
                <w:tcPr>
                  <w:tcW w:w="770" w:type="dxa"/>
                  <w:vAlign w:val="center"/>
                </w:tcPr>
                <w:p w14:paraId="0113224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0.747</w:t>
                  </w:r>
                </w:p>
              </w:tc>
              <w:tc>
                <w:tcPr>
                  <w:tcW w:w="800" w:type="dxa"/>
                  <w:vAlign w:val="center"/>
                </w:tcPr>
                <w:p w14:paraId="4BE3CD2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0.913</w:t>
                  </w:r>
                </w:p>
              </w:tc>
              <w:tc>
                <w:tcPr>
                  <w:tcW w:w="640" w:type="dxa"/>
                  <w:vAlign w:val="center"/>
                </w:tcPr>
                <w:p w14:paraId="4FCF28F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1.23</w:t>
                  </w:r>
                </w:p>
              </w:tc>
              <w:tc>
                <w:tcPr>
                  <w:tcW w:w="790" w:type="dxa"/>
                  <w:vAlign w:val="center"/>
                </w:tcPr>
                <w:p w14:paraId="5832CC6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1.72</w:t>
                  </w:r>
                </w:p>
              </w:tc>
              <w:tc>
                <w:tcPr>
                  <w:tcW w:w="750" w:type="dxa"/>
                  <w:vAlign w:val="center"/>
                </w:tcPr>
                <w:p w14:paraId="5DE234B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1.06</w:t>
                  </w:r>
                </w:p>
              </w:tc>
              <w:tc>
                <w:tcPr>
                  <w:tcW w:w="900" w:type="dxa"/>
                  <w:vAlign w:val="center"/>
                </w:tcPr>
                <w:p w14:paraId="38DBD48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180</w:t>
                  </w:r>
                </w:p>
              </w:tc>
              <w:tc>
                <w:tcPr>
                  <w:tcW w:w="740" w:type="dxa"/>
                  <w:vAlign w:val="center"/>
                </w:tcPr>
                <w:p w14:paraId="503B230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360</w:t>
                  </w:r>
                </w:p>
              </w:tc>
              <w:tc>
                <w:tcPr>
                  <w:tcW w:w="588" w:type="dxa"/>
                  <w:tcBorders>
                    <w:right w:val="nil"/>
                  </w:tcBorders>
                  <w:vAlign w:val="center"/>
                </w:tcPr>
                <w:p w14:paraId="7A12C91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7369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54B234E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锌</w:t>
                  </w:r>
                </w:p>
              </w:tc>
              <w:tc>
                <w:tcPr>
                  <w:tcW w:w="780" w:type="dxa"/>
                  <w:vAlign w:val="center"/>
                </w:tcPr>
                <w:p w14:paraId="32DB80F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45</w:t>
                  </w:r>
                </w:p>
              </w:tc>
              <w:tc>
                <w:tcPr>
                  <w:tcW w:w="770" w:type="dxa"/>
                  <w:vAlign w:val="center"/>
                </w:tcPr>
                <w:p w14:paraId="3CF8AEE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69</w:t>
                  </w:r>
                </w:p>
              </w:tc>
              <w:tc>
                <w:tcPr>
                  <w:tcW w:w="800" w:type="dxa"/>
                  <w:vAlign w:val="center"/>
                </w:tcPr>
                <w:p w14:paraId="41C0BB9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152</w:t>
                  </w:r>
                </w:p>
              </w:tc>
              <w:tc>
                <w:tcPr>
                  <w:tcW w:w="640" w:type="dxa"/>
                  <w:vAlign w:val="center"/>
                </w:tcPr>
                <w:p w14:paraId="6AED045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85</w:t>
                  </w:r>
                </w:p>
              </w:tc>
              <w:tc>
                <w:tcPr>
                  <w:tcW w:w="790" w:type="dxa"/>
                  <w:vAlign w:val="center"/>
                </w:tcPr>
                <w:p w14:paraId="70B163D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212</w:t>
                  </w:r>
                </w:p>
              </w:tc>
              <w:tc>
                <w:tcPr>
                  <w:tcW w:w="750" w:type="dxa"/>
                  <w:vAlign w:val="center"/>
                </w:tcPr>
                <w:p w14:paraId="30267A5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457</w:t>
                  </w:r>
                </w:p>
              </w:tc>
              <w:tc>
                <w:tcPr>
                  <w:tcW w:w="900" w:type="dxa"/>
                  <w:vAlign w:val="center"/>
                </w:tcPr>
                <w:p w14:paraId="4FD11A9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740" w:type="dxa"/>
                  <w:vAlign w:val="center"/>
                </w:tcPr>
                <w:p w14:paraId="47EA25E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588" w:type="dxa"/>
                  <w:tcBorders>
                    <w:right w:val="nil"/>
                  </w:tcBorders>
                  <w:vAlign w:val="center"/>
                </w:tcPr>
                <w:p w14:paraId="76996DD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r>
            <w:tr w14:paraId="59E5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592BF19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镍</w:t>
                  </w:r>
                </w:p>
              </w:tc>
              <w:tc>
                <w:tcPr>
                  <w:tcW w:w="780" w:type="dxa"/>
                  <w:vAlign w:val="center"/>
                </w:tcPr>
                <w:p w14:paraId="0310726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62</w:t>
                  </w:r>
                </w:p>
              </w:tc>
              <w:tc>
                <w:tcPr>
                  <w:tcW w:w="770" w:type="dxa"/>
                  <w:vAlign w:val="center"/>
                </w:tcPr>
                <w:p w14:paraId="718D5F2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60</w:t>
                  </w:r>
                </w:p>
              </w:tc>
              <w:tc>
                <w:tcPr>
                  <w:tcW w:w="800" w:type="dxa"/>
                  <w:vAlign w:val="center"/>
                </w:tcPr>
                <w:p w14:paraId="7E91C1B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74</w:t>
                  </w:r>
                </w:p>
              </w:tc>
              <w:tc>
                <w:tcPr>
                  <w:tcW w:w="640" w:type="dxa"/>
                  <w:vAlign w:val="center"/>
                </w:tcPr>
                <w:p w14:paraId="51C65F3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41</w:t>
                  </w:r>
                </w:p>
              </w:tc>
              <w:tc>
                <w:tcPr>
                  <w:tcW w:w="790" w:type="dxa"/>
                  <w:vAlign w:val="center"/>
                </w:tcPr>
                <w:p w14:paraId="67CF655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62</w:t>
                  </w:r>
                </w:p>
              </w:tc>
              <w:tc>
                <w:tcPr>
                  <w:tcW w:w="750" w:type="dxa"/>
                  <w:vAlign w:val="center"/>
                </w:tcPr>
                <w:p w14:paraId="489BDF5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86</w:t>
                  </w:r>
                </w:p>
              </w:tc>
              <w:tc>
                <w:tcPr>
                  <w:tcW w:w="900" w:type="dxa"/>
                  <w:vAlign w:val="center"/>
                </w:tcPr>
                <w:p w14:paraId="76B65CC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900</w:t>
                  </w:r>
                </w:p>
              </w:tc>
              <w:tc>
                <w:tcPr>
                  <w:tcW w:w="740" w:type="dxa"/>
                  <w:vAlign w:val="center"/>
                </w:tcPr>
                <w:p w14:paraId="05EF100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2000</w:t>
                  </w:r>
                </w:p>
              </w:tc>
              <w:tc>
                <w:tcPr>
                  <w:tcW w:w="588" w:type="dxa"/>
                  <w:tcBorders>
                    <w:right w:val="nil"/>
                  </w:tcBorders>
                  <w:vAlign w:val="center"/>
                </w:tcPr>
                <w:p w14:paraId="24E3348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4781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454E38C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氟化物</w:t>
                  </w:r>
                </w:p>
              </w:tc>
              <w:tc>
                <w:tcPr>
                  <w:tcW w:w="780" w:type="dxa"/>
                  <w:vAlign w:val="center"/>
                </w:tcPr>
                <w:p w14:paraId="4D9AE32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554</w:t>
                  </w:r>
                </w:p>
              </w:tc>
              <w:tc>
                <w:tcPr>
                  <w:tcW w:w="770" w:type="dxa"/>
                  <w:vAlign w:val="center"/>
                </w:tcPr>
                <w:p w14:paraId="1334144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492</w:t>
                  </w:r>
                </w:p>
              </w:tc>
              <w:tc>
                <w:tcPr>
                  <w:tcW w:w="800" w:type="dxa"/>
                  <w:vAlign w:val="center"/>
                </w:tcPr>
                <w:p w14:paraId="00E5D85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354</w:t>
                  </w:r>
                </w:p>
              </w:tc>
              <w:tc>
                <w:tcPr>
                  <w:tcW w:w="640" w:type="dxa"/>
                  <w:vAlign w:val="center"/>
                </w:tcPr>
                <w:p w14:paraId="2EB3BFC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206</w:t>
                  </w:r>
                </w:p>
              </w:tc>
              <w:tc>
                <w:tcPr>
                  <w:tcW w:w="790" w:type="dxa"/>
                  <w:vAlign w:val="center"/>
                </w:tcPr>
                <w:p w14:paraId="75869A8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412</w:t>
                  </w:r>
                </w:p>
              </w:tc>
              <w:tc>
                <w:tcPr>
                  <w:tcW w:w="750" w:type="dxa"/>
                  <w:vAlign w:val="center"/>
                </w:tcPr>
                <w:p w14:paraId="4FB64A4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658</w:t>
                  </w:r>
                </w:p>
              </w:tc>
              <w:tc>
                <w:tcPr>
                  <w:tcW w:w="900" w:type="dxa"/>
                  <w:vAlign w:val="center"/>
                </w:tcPr>
                <w:p w14:paraId="51B7DCD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740" w:type="dxa"/>
                  <w:vAlign w:val="center"/>
                </w:tcPr>
                <w:p w14:paraId="464D375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588" w:type="dxa"/>
                  <w:tcBorders>
                    <w:right w:val="nil"/>
                  </w:tcBorders>
                  <w:vAlign w:val="center"/>
                </w:tcPr>
                <w:p w14:paraId="0805D85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r>
            <w:tr w14:paraId="3724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047CD6B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铅</w:t>
                  </w:r>
                </w:p>
              </w:tc>
              <w:tc>
                <w:tcPr>
                  <w:tcW w:w="780" w:type="dxa"/>
                  <w:vAlign w:val="center"/>
                </w:tcPr>
                <w:p w14:paraId="2D407AC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63.2</w:t>
                  </w:r>
                </w:p>
              </w:tc>
              <w:tc>
                <w:tcPr>
                  <w:tcW w:w="770" w:type="dxa"/>
                  <w:vAlign w:val="center"/>
                </w:tcPr>
                <w:p w14:paraId="0CA4684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41.3</w:t>
                  </w:r>
                </w:p>
              </w:tc>
              <w:tc>
                <w:tcPr>
                  <w:tcW w:w="800" w:type="dxa"/>
                  <w:vAlign w:val="center"/>
                </w:tcPr>
                <w:p w14:paraId="04C6282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135</w:t>
                  </w:r>
                </w:p>
              </w:tc>
              <w:tc>
                <w:tcPr>
                  <w:tcW w:w="640" w:type="dxa"/>
                  <w:vAlign w:val="center"/>
                </w:tcPr>
                <w:p w14:paraId="3ECDF7D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104</w:t>
                  </w:r>
                </w:p>
              </w:tc>
              <w:tc>
                <w:tcPr>
                  <w:tcW w:w="790" w:type="dxa"/>
                  <w:vAlign w:val="center"/>
                </w:tcPr>
                <w:p w14:paraId="096E4C6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339</w:t>
                  </w:r>
                </w:p>
              </w:tc>
              <w:tc>
                <w:tcPr>
                  <w:tcW w:w="750" w:type="dxa"/>
                  <w:vAlign w:val="center"/>
                </w:tcPr>
                <w:p w14:paraId="6D28155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525</w:t>
                  </w:r>
                </w:p>
              </w:tc>
              <w:tc>
                <w:tcPr>
                  <w:tcW w:w="900" w:type="dxa"/>
                  <w:vAlign w:val="center"/>
                </w:tcPr>
                <w:p w14:paraId="7DB8AE3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800</w:t>
                  </w:r>
                </w:p>
              </w:tc>
              <w:tc>
                <w:tcPr>
                  <w:tcW w:w="740" w:type="dxa"/>
                  <w:vAlign w:val="center"/>
                </w:tcPr>
                <w:p w14:paraId="29F3E57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2500</w:t>
                  </w:r>
                </w:p>
              </w:tc>
              <w:tc>
                <w:tcPr>
                  <w:tcW w:w="588" w:type="dxa"/>
                  <w:tcBorders>
                    <w:right w:val="nil"/>
                  </w:tcBorders>
                  <w:vAlign w:val="center"/>
                </w:tcPr>
                <w:p w14:paraId="3D24D30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1EB6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265ACC3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砷</w:t>
                  </w:r>
                </w:p>
              </w:tc>
              <w:tc>
                <w:tcPr>
                  <w:tcW w:w="780" w:type="dxa"/>
                  <w:vAlign w:val="center"/>
                </w:tcPr>
                <w:p w14:paraId="19B6A88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33.8</w:t>
                  </w:r>
                </w:p>
              </w:tc>
              <w:tc>
                <w:tcPr>
                  <w:tcW w:w="770" w:type="dxa"/>
                  <w:vAlign w:val="center"/>
                </w:tcPr>
                <w:p w14:paraId="02ACD83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35.0</w:t>
                  </w:r>
                </w:p>
              </w:tc>
              <w:tc>
                <w:tcPr>
                  <w:tcW w:w="800" w:type="dxa"/>
                  <w:vAlign w:val="center"/>
                </w:tcPr>
                <w:p w14:paraId="21803A0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47.7</w:t>
                  </w:r>
                </w:p>
              </w:tc>
              <w:tc>
                <w:tcPr>
                  <w:tcW w:w="640" w:type="dxa"/>
                  <w:vAlign w:val="center"/>
                </w:tcPr>
                <w:p w14:paraId="6636A7E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25.0</w:t>
                  </w:r>
                </w:p>
              </w:tc>
              <w:tc>
                <w:tcPr>
                  <w:tcW w:w="790" w:type="dxa"/>
                  <w:vAlign w:val="center"/>
                </w:tcPr>
                <w:p w14:paraId="28B3160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43.8</w:t>
                  </w:r>
                </w:p>
              </w:tc>
              <w:tc>
                <w:tcPr>
                  <w:tcW w:w="750" w:type="dxa"/>
                  <w:vAlign w:val="center"/>
                </w:tcPr>
                <w:p w14:paraId="2F9B89C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50.9</w:t>
                  </w:r>
                </w:p>
              </w:tc>
              <w:tc>
                <w:tcPr>
                  <w:tcW w:w="900" w:type="dxa"/>
                  <w:vAlign w:val="center"/>
                </w:tcPr>
                <w:p w14:paraId="2E74D5B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60</w:t>
                  </w:r>
                </w:p>
              </w:tc>
              <w:tc>
                <w:tcPr>
                  <w:tcW w:w="740" w:type="dxa"/>
                  <w:vAlign w:val="center"/>
                </w:tcPr>
                <w:p w14:paraId="2E80656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140</w:t>
                  </w:r>
                </w:p>
              </w:tc>
              <w:tc>
                <w:tcPr>
                  <w:tcW w:w="588" w:type="dxa"/>
                  <w:tcBorders>
                    <w:right w:val="nil"/>
                  </w:tcBorders>
                  <w:vAlign w:val="center"/>
                </w:tcPr>
                <w:p w14:paraId="7428285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73B9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3556A29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汞</w:t>
                  </w:r>
                </w:p>
              </w:tc>
              <w:tc>
                <w:tcPr>
                  <w:tcW w:w="780" w:type="dxa"/>
                  <w:vAlign w:val="center"/>
                </w:tcPr>
                <w:p w14:paraId="11CD8E3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0.228</w:t>
                  </w:r>
                </w:p>
              </w:tc>
              <w:tc>
                <w:tcPr>
                  <w:tcW w:w="770" w:type="dxa"/>
                  <w:vAlign w:val="center"/>
                </w:tcPr>
                <w:p w14:paraId="5660022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0.105</w:t>
                  </w:r>
                </w:p>
              </w:tc>
              <w:tc>
                <w:tcPr>
                  <w:tcW w:w="800" w:type="dxa"/>
                  <w:vAlign w:val="center"/>
                </w:tcPr>
                <w:p w14:paraId="2420B6E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0.308</w:t>
                  </w:r>
                </w:p>
              </w:tc>
              <w:tc>
                <w:tcPr>
                  <w:tcW w:w="640" w:type="dxa"/>
                  <w:vAlign w:val="center"/>
                </w:tcPr>
                <w:p w14:paraId="54F7125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0.212</w:t>
                  </w:r>
                </w:p>
              </w:tc>
              <w:tc>
                <w:tcPr>
                  <w:tcW w:w="790" w:type="dxa"/>
                  <w:vAlign w:val="center"/>
                </w:tcPr>
                <w:p w14:paraId="6A01655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0.876</w:t>
                  </w:r>
                </w:p>
              </w:tc>
              <w:tc>
                <w:tcPr>
                  <w:tcW w:w="750" w:type="dxa"/>
                  <w:vAlign w:val="center"/>
                </w:tcPr>
                <w:p w14:paraId="35B3261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4.71</w:t>
                  </w:r>
                </w:p>
              </w:tc>
              <w:tc>
                <w:tcPr>
                  <w:tcW w:w="900" w:type="dxa"/>
                  <w:vAlign w:val="center"/>
                </w:tcPr>
                <w:p w14:paraId="06B6EF8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38</w:t>
                  </w:r>
                </w:p>
              </w:tc>
              <w:tc>
                <w:tcPr>
                  <w:tcW w:w="740" w:type="dxa"/>
                  <w:vAlign w:val="center"/>
                </w:tcPr>
                <w:p w14:paraId="4596581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82</w:t>
                  </w:r>
                </w:p>
              </w:tc>
              <w:tc>
                <w:tcPr>
                  <w:tcW w:w="588" w:type="dxa"/>
                  <w:tcBorders>
                    <w:right w:val="nil"/>
                  </w:tcBorders>
                  <w:vAlign w:val="center"/>
                </w:tcPr>
                <w:p w14:paraId="690ED09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052E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52A6DCD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铜</w:t>
                  </w:r>
                </w:p>
              </w:tc>
              <w:tc>
                <w:tcPr>
                  <w:tcW w:w="780" w:type="dxa"/>
                  <w:vAlign w:val="center"/>
                </w:tcPr>
                <w:p w14:paraId="4B1804D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76</w:t>
                  </w:r>
                </w:p>
              </w:tc>
              <w:tc>
                <w:tcPr>
                  <w:tcW w:w="770" w:type="dxa"/>
                  <w:vAlign w:val="center"/>
                </w:tcPr>
                <w:p w14:paraId="1AECAF8F">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65</w:t>
                  </w:r>
                </w:p>
              </w:tc>
              <w:tc>
                <w:tcPr>
                  <w:tcW w:w="800" w:type="dxa"/>
                  <w:vAlign w:val="center"/>
                </w:tcPr>
                <w:p w14:paraId="37E7C60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143</w:t>
                  </w:r>
                </w:p>
              </w:tc>
              <w:tc>
                <w:tcPr>
                  <w:tcW w:w="640" w:type="dxa"/>
                  <w:vAlign w:val="center"/>
                </w:tcPr>
                <w:p w14:paraId="413BCC1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96</w:t>
                  </w:r>
                </w:p>
              </w:tc>
              <w:tc>
                <w:tcPr>
                  <w:tcW w:w="790" w:type="dxa"/>
                  <w:vAlign w:val="center"/>
                </w:tcPr>
                <w:p w14:paraId="297801F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672</w:t>
                  </w:r>
                </w:p>
              </w:tc>
              <w:tc>
                <w:tcPr>
                  <w:tcW w:w="750" w:type="dxa"/>
                  <w:vAlign w:val="center"/>
                </w:tcPr>
                <w:p w14:paraId="5352333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6100</w:t>
                  </w:r>
                </w:p>
              </w:tc>
              <w:tc>
                <w:tcPr>
                  <w:tcW w:w="900" w:type="dxa"/>
                  <w:vAlign w:val="center"/>
                </w:tcPr>
                <w:p w14:paraId="11108AD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18000</w:t>
                  </w:r>
                </w:p>
              </w:tc>
              <w:tc>
                <w:tcPr>
                  <w:tcW w:w="740" w:type="dxa"/>
                  <w:vAlign w:val="center"/>
                </w:tcPr>
                <w:p w14:paraId="62D0838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36000</w:t>
                  </w:r>
                </w:p>
              </w:tc>
              <w:tc>
                <w:tcPr>
                  <w:tcW w:w="588" w:type="dxa"/>
                  <w:tcBorders>
                    <w:right w:val="nil"/>
                  </w:tcBorders>
                  <w:vAlign w:val="center"/>
                </w:tcPr>
                <w:p w14:paraId="23B930A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19DA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4A0DDDB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镉</w:t>
                  </w:r>
                </w:p>
              </w:tc>
              <w:tc>
                <w:tcPr>
                  <w:tcW w:w="780" w:type="dxa"/>
                  <w:vAlign w:val="center"/>
                </w:tcPr>
                <w:p w14:paraId="18A93A5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1.64</w:t>
                  </w:r>
                </w:p>
              </w:tc>
              <w:tc>
                <w:tcPr>
                  <w:tcW w:w="770" w:type="dxa"/>
                  <w:vAlign w:val="center"/>
                </w:tcPr>
                <w:p w14:paraId="0195863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0.30</w:t>
                  </w:r>
                </w:p>
              </w:tc>
              <w:tc>
                <w:tcPr>
                  <w:tcW w:w="800" w:type="dxa"/>
                  <w:vAlign w:val="center"/>
                </w:tcPr>
                <w:p w14:paraId="53423BD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2.93</w:t>
                  </w:r>
                </w:p>
              </w:tc>
              <w:tc>
                <w:tcPr>
                  <w:tcW w:w="640" w:type="dxa"/>
                  <w:vAlign w:val="center"/>
                </w:tcPr>
                <w:p w14:paraId="11A53B3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1.60</w:t>
                  </w:r>
                </w:p>
              </w:tc>
              <w:tc>
                <w:tcPr>
                  <w:tcW w:w="790" w:type="dxa"/>
                  <w:vAlign w:val="center"/>
                </w:tcPr>
                <w:p w14:paraId="50150E7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17.6</w:t>
                  </w:r>
                </w:p>
              </w:tc>
              <w:tc>
                <w:tcPr>
                  <w:tcW w:w="750" w:type="dxa"/>
                  <w:vAlign w:val="center"/>
                </w:tcPr>
                <w:p w14:paraId="4AEE9FE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10.9</w:t>
                  </w:r>
                </w:p>
              </w:tc>
              <w:tc>
                <w:tcPr>
                  <w:tcW w:w="900" w:type="dxa"/>
                  <w:vAlign w:val="center"/>
                </w:tcPr>
                <w:p w14:paraId="7E5A9A7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65</w:t>
                  </w:r>
                </w:p>
              </w:tc>
              <w:tc>
                <w:tcPr>
                  <w:tcW w:w="740" w:type="dxa"/>
                  <w:vAlign w:val="center"/>
                </w:tcPr>
                <w:p w14:paraId="2F1C444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172</w:t>
                  </w:r>
                </w:p>
              </w:tc>
              <w:tc>
                <w:tcPr>
                  <w:tcW w:w="588" w:type="dxa"/>
                  <w:tcBorders>
                    <w:right w:val="nil"/>
                  </w:tcBorders>
                  <w:vAlign w:val="center"/>
                </w:tcPr>
                <w:p w14:paraId="62179DD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5D87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0D15949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六价铬</w:t>
                  </w:r>
                </w:p>
              </w:tc>
              <w:tc>
                <w:tcPr>
                  <w:tcW w:w="780" w:type="dxa"/>
                  <w:vAlign w:val="center"/>
                </w:tcPr>
                <w:p w14:paraId="2656CC5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2.7</w:t>
                  </w:r>
                </w:p>
              </w:tc>
              <w:tc>
                <w:tcPr>
                  <w:tcW w:w="770" w:type="dxa"/>
                  <w:vAlign w:val="center"/>
                </w:tcPr>
                <w:p w14:paraId="602E47B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3.5</w:t>
                  </w:r>
                </w:p>
              </w:tc>
              <w:tc>
                <w:tcPr>
                  <w:tcW w:w="800" w:type="dxa"/>
                  <w:vAlign w:val="center"/>
                </w:tcPr>
                <w:p w14:paraId="2D2DCE5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3.9</w:t>
                  </w:r>
                </w:p>
              </w:tc>
              <w:tc>
                <w:tcPr>
                  <w:tcW w:w="640" w:type="dxa"/>
                  <w:vAlign w:val="center"/>
                </w:tcPr>
                <w:p w14:paraId="26C93F6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2.0</w:t>
                  </w:r>
                </w:p>
              </w:tc>
              <w:tc>
                <w:tcPr>
                  <w:tcW w:w="790" w:type="dxa"/>
                  <w:vAlign w:val="center"/>
                </w:tcPr>
                <w:p w14:paraId="44CE875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3.5</w:t>
                  </w:r>
                </w:p>
              </w:tc>
              <w:tc>
                <w:tcPr>
                  <w:tcW w:w="750" w:type="dxa"/>
                  <w:vAlign w:val="center"/>
                </w:tcPr>
                <w:p w14:paraId="41D3BDE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2.0</w:t>
                  </w:r>
                </w:p>
              </w:tc>
              <w:tc>
                <w:tcPr>
                  <w:tcW w:w="900" w:type="dxa"/>
                  <w:vAlign w:val="center"/>
                </w:tcPr>
                <w:p w14:paraId="4DDA8A8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5.7</w:t>
                  </w:r>
                </w:p>
              </w:tc>
              <w:tc>
                <w:tcPr>
                  <w:tcW w:w="740" w:type="dxa"/>
                  <w:vAlign w:val="center"/>
                </w:tcPr>
                <w:p w14:paraId="726536E2">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78</w:t>
                  </w:r>
                </w:p>
              </w:tc>
              <w:tc>
                <w:tcPr>
                  <w:tcW w:w="588" w:type="dxa"/>
                  <w:tcBorders>
                    <w:right w:val="nil"/>
                  </w:tcBorders>
                  <w:vAlign w:val="center"/>
                </w:tcPr>
                <w:p w14:paraId="2629A0A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达标</w:t>
                  </w:r>
                </w:p>
              </w:tc>
            </w:tr>
            <w:tr w14:paraId="7350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left w:val="nil"/>
                  </w:tcBorders>
                  <w:vAlign w:val="center"/>
                </w:tcPr>
                <w:p w14:paraId="17A9F7B0">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铊</w:t>
                  </w:r>
                </w:p>
              </w:tc>
              <w:tc>
                <w:tcPr>
                  <w:tcW w:w="780" w:type="dxa"/>
                  <w:vAlign w:val="center"/>
                </w:tcPr>
                <w:p w14:paraId="5645AF7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&lt;0.1</w:t>
                  </w:r>
                </w:p>
              </w:tc>
              <w:tc>
                <w:tcPr>
                  <w:tcW w:w="770" w:type="dxa"/>
                  <w:vAlign w:val="center"/>
                </w:tcPr>
                <w:p w14:paraId="58FB474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&lt;0.1</w:t>
                  </w:r>
                </w:p>
              </w:tc>
              <w:tc>
                <w:tcPr>
                  <w:tcW w:w="800" w:type="dxa"/>
                  <w:vAlign w:val="center"/>
                </w:tcPr>
                <w:p w14:paraId="22114A38">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&lt;0.1</w:t>
                  </w:r>
                </w:p>
              </w:tc>
              <w:tc>
                <w:tcPr>
                  <w:tcW w:w="640" w:type="dxa"/>
                  <w:vAlign w:val="center"/>
                </w:tcPr>
                <w:p w14:paraId="4D4FB491">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&lt;0.1</w:t>
                  </w:r>
                </w:p>
              </w:tc>
              <w:tc>
                <w:tcPr>
                  <w:tcW w:w="790" w:type="dxa"/>
                  <w:vAlign w:val="center"/>
                </w:tcPr>
                <w:p w14:paraId="69DFDA9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&lt;0.1</w:t>
                  </w:r>
                </w:p>
              </w:tc>
              <w:tc>
                <w:tcPr>
                  <w:tcW w:w="750" w:type="dxa"/>
                  <w:vAlign w:val="center"/>
                </w:tcPr>
                <w:p w14:paraId="22DB097B">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&lt;0.1</w:t>
                  </w:r>
                </w:p>
              </w:tc>
              <w:tc>
                <w:tcPr>
                  <w:tcW w:w="900" w:type="dxa"/>
                  <w:vAlign w:val="center"/>
                </w:tcPr>
                <w:p w14:paraId="175B9C95">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740" w:type="dxa"/>
                  <w:vAlign w:val="center"/>
                </w:tcPr>
                <w:p w14:paraId="54716127">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c>
                <w:tcPr>
                  <w:tcW w:w="588" w:type="dxa"/>
                  <w:tcBorders>
                    <w:right w:val="nil"/>
                  </w:tcBorders>
                  <w:vAlign w:val="center"/>
                </w:tcPr>
                <w:p w14:paraId="510E030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w:t>
                  </w:r>
                </w:p>
              </w:tc>
            </w:tr>
            <w:tr w14:paraId="7723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1" w:type="dxa"/>
                  <w:gridSpan w:val="10"/>
                  <w:tcBorders>
                    <w:left w:val="nil"/>
                    <w:right w:val="nil"/>
                  </w:tcBorders>
                  <w:shd w:val="clear" w:color="auto" w:fill="auto"/>
                  <w:vAlign w:val="center"/>
                </w:tcPr>
                <w:p w14:paraId="7DB01CE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sz w:val="18"/>
                      <w:szCs w:val="18"/>
                      <w:vertAlign w:val="baseline"/>
                      <w:lang w:val="en-US" w:eastAsia="zh-CN"/>
                    </w:rPr>
                    <w:t>备注：报告数据栏中数据，当检测结果低于方法检出限时，用“&lt;检出限”表示。</w:t>
                  </w:r>
                </w:p>
              </w:tc>
            </w:tr>
          </w:tbl>
          <w:p w14:paraId="1200E4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根据上表监测数据可知，锑、镍、铅、砷、汞、铜、镉、六价铬、铊监测结果《土壤环境质量建设用地土壤污染风险管控标准（试行）》（GB36600-2018）筛选值第二类用地标准限值。</w:t>
            </w:r>
          </w:p>
          <w:p w14:paraId="5EA400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综上所述，厂区地下水井部分指标超标，本项目改建完成后，严格执行环评提出的措施，加强监管。</w:t>
            </w:r>
          </w:p>
        </w:tc>
      </w:tr>
      <w:tr w14:paraId="5DD1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0" w:type="pct"/>
            <w:tcBorders>
              <w:tl2br w:val="nil"/>
              <w:tr2bl w:val="nil"/>
            </w:tcBorders>
            <w:noWrap w:val="0"/>
            <w:vAlign w:val="center"/>
          </w:tcPr>
          <w:p w14:paraId="36A8960E">
            <w:pPr>
              <w:pStyle w:val="38"/>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环境保护目标</w:t>
            </w:r>
          </w:p>
        </w:tc>
        <w:tc>
          <w:tcPr>
            <w:tcW w:w="4599" w:type="pct"/>
            <w:tcBorders>
              <w:tl2br w:val="nil"/>
              <w:tr2bl w:val="nil"/>
            </w:tcBorders>
            <w:noWrap w:val="0"/>
            <w:vAlign w:val="center"/>
          </w:tcPr>
          <w:p w14:paraId="4A6D520A">
            <w:pPr>
              <w:adjustRightInd w:val="0"/>
              <w:snapToGrid w:val="0"/>
              <w:spacing w:line="360" w:lineRule="auto"/>
              <w:ind w:firstLine="482" w:firstLineChars="200"/>
              <w:rPr>
                <w:rFonts w:ascii="Times New Roman" w:hAnsi="Times New Roman"/>
                <w:b/>
                <w:bCs/>
                <w:color w:val="auto"/>
                <w:sz w:val="24"/>
              </w:rPr>
            </w:pPr>
            <w:r>
              <w:rPr>
                <w:rFonts w:ascii="Times New Roman" w:hAnsi="Times New Roman"/>
                <w:b/>
                <w:bCs/>
                <w:color w:val="auto"/>
                <w:sz w:val="24"/>
              </w:rPr>
              <w:t>1</w:t>
            </w:r>
            <w:r>
              <w:rPr>
                <w:rFonts w:ascii="Times New Roman"/>
                <w:b/>
                <w:bCs/>
                <w:color w:val="auto"/>
                <w:sz w:val="24"/>
              </w:rPr>
              <w:t>、大气环境</w:t>
            </w:r>
          </w:p>
          <w:p w14:paraId="04CA21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Times New Roman"/>
                <w:color w:val="auto"/>
                <w:sz w:val="24"/>
              </w:rPr>
            </w:pPr>
            <w:r>
              <w:rPr>
                <w:rFonts w:hint="default" w:ascii="Times New Roman" w:hAnsi="Times New Roman" w:eastAsia="宋体" w:cs="Times New Roman"/>
                <w:color w:val="auto"/>
                <w:sz w:val="24"/>
                <w:szCs w:val="24"/>
              </w:rPr>
              <w:t>据</w:t>
            </w:r>
            <w:r>
              <w:rPr>
                <w:rFonts w:hint="default" w:ascii="Times New Roman" w:hAnsi="Times New Roman" w:eastAsia="宋体" w:cs="Times New Roman"/>
                <w:color w:val="auto"/>
                <w:sz w:val="24"/>
                <w:szCs w:val="24"/>
                <w:lang w:val="en-US" w:eastAsia="zh-CN"/>
              </w:rPr>
              <w:t>现场</w:t>
            </w:r>
            <w:r>
              <w:rPr>
                <w:rFonts w:hint="default" w:ascii="Times New Roman" w:hAnsi="Times New Roman" w:eastAsia="宋体" w:cs="Times New Roman"/>
                <w:color w:val="auto"/>
                <w:sz w:val="24"/>
                <w:szCs w:val="24"/>
              </w:rPr>
              <w:t>踏勘，项目厂界外500m内</w:t>
            </w:r>
            <w:r>
              <w:rPr>
                <w:rFonts w:hint="eastAsia" w:ascii="Times New Roman" w:hAnsi="Times New Roman" w:eastAsia="宋体" w:cs="Times New Roman"/>
                <w:color w:val="auto"/>
                <w:sz w:val="24"/>
                <w:szCs w:val="24"/>
                <w:lang w:val="en-US" w:eastAsia="zh-CN"/>
              </w:rPr>
              <w:t>不</w:t>
            </w:r>
            <w:r>
              <w:rPr>
                <w:rFonts w:hint="default" w:ascii="Times New Roman" w:hAnsi="Times New Roman" w:eastAsia="宋体" w:cs="Times New Roman"/>
                <w:color w:val="auto"/>
                <w:sz w:val="24"/>
                <w:szCs w:val="24"/>
              </w:rPr>
              <w:t>存在居住区环境空气保护目标。</w:t>
            </w:r>
            <w:r>
              <w:rPr>
                <w:rFonts w:ascii="Times New Roman"/>
                <w:color w:val="auto"/>
                <w:sz w:val="24"/>
              </w:rPr>
              <w:t>项目厂界外</w:t>
            </w:r>
            <w:r>
              <w:rPr>
                <w:rFonts w:ascii="Times New Roman" w:hAnsi="Times New Roman"/>
                <w:color w:val="auto"/>
                <w:sz w:val="24"/>
              </w:rPr>
              <w:t>500m</w:t>
            </w:r>
            <w:r>
              <w:rPr>
                <w:rFonts w:ascii="Times New Roman"/>
                <w:color w:val="auto"/>
                <w:sz w:val="24"/>
              </w:rPr>
              <w:t>范围内不存在自然保护区、风景名胜区、文化区等环境保护目标。</w:t>
            </w:r>
          </w:p>
          <w:p w14:paraId="69F62124">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2、地表水环境</w:t>
            </w:r>
          </w:p>
          <w:p w14:paraId="4F3D21B5">
            <w:pPr>
              <w:adjustRightInd w:val="0"/>
              <w:snapToGrid w:val="0"/>
              <w:spacing w:line="360" w:lineRule="auto"/>
              <w:ind w:firstLine="480" w:firstLineChars="200"/>
              <w:rPr>
                <w:rFonts w:hint="eastAsia" w:ascii="Times New Roman" w:hAnsi="Times New Roman" w:eastAsia="宋体"/>
                <w:b/>
                <w:bCs/>
                <w:color w:val="auto"/>
                <w:sz w:val="24"/>
                <w:lang w:eastAsia="zh-CN"/>
              </w:rPr>
            </w:pPr>
            <w:r>
              <w:rPr>
                <w:rFonts w:ascii="Times New Roman"/>
                <w:bCs/>
                <w:color w:val="auto"/>
                <w:sz w:val="24"/>
                <w:lang w:val="zh-CN"/>
              </w:rPr>
              <w:t>本项目</w:t>
            </w:r>
            <w:r>
              <w:rPr>
                <w:rFonts w:hint="eastAsia" w:ascii="Times New Roman"/>
                <w:bCs/>
                <w:color w:val="auto"/>
                <w:sz w:val="24"/>
                <w:lang w:val="en-US" w:eastAsia="zh-CN"/>
              </w:rPr>
              <w:t>地表水环境保护目标为</w:t>
            </w:r>
            <w:r>
              <w:rPr>
                <w:rFonts w:hint="eastAsia" w:cs="Times New Roman"/>
                <w:color w:val="auto"/>
                <w:sz w:val="24"/>
                <w:szCs w:val="24"/>
                <w:lang w:val="en-US" w:eastAsia="zh-CN"/>
              </w:rPr>
              <w:t>双龙河</w:t>
            </w:r>
            <w:r>
              <w:rPr>
                <w:rFonts w:hint="eastAsia" w:ascii="Times New Roman" w:hAnsi="Times New Roman"/>
                <w:color w:val="auto"/>
                <w:sz w:val="24"/>
              </w:rPr>
              <w:t>，</w:t>
            </w:r>
            <w:r>
              <w:rPr>
                <w:rFonts w:ascii="Times New Roman" w:hAnsi="Times New Roman"/>
                <w:color w:val="auto"/>
                <w:sz w:val="24"/>
              </w:rPr>
              <w:t>地表水水质执行《地表水环境质量标准》（GB3838-2002）III类标准要求</w:t>
            </w:r>
            <w:r>
              <w:rPr>
                <w:rFonts w:hint="eastAsia" w:ascii="Times New Roman" w:hAnsi="Times New Roman"/>
                <w:color w:val="auto"/>
                <w:sz w:val="24"/>
                <w:lang w:eastAsia="zh-CN"/>
              </w:rPr>
              <w:t>。</w:t>
            </w:r>
          </w:p>
          <w:p w14:paraId="7DDD32CA">
            <w:pPr>
              <w:adjustRightInd w:val="0"/>
              <w:snapToGrid w:val="0"/>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lang w:val="en-US" w:eastAsia="zh-CN"/>
              </w:rPr>
              <w:t>3</w:t>
            </w:r>
            <w:r>
              <w:rPr>
                <w:rFonts w:ascii="Times New Roman"/>
                <w:b/>
                <w:bCs/>
                <w:color w:val="auto"/>
                <w:sz w:val="24"/>
              </w:rPr>
              <w:t>、声环境</w:t>
            </w:r>
          </w:p>
          <w:p w14:paraId="3F043506">
            <w:pPr>
              <w:spacing w:line="360" w:lineRule="auto"/>
              <w:ind w:firstLine="480"/>
              <w:rPr>
                <w:rFonts w:ascii="Times New Roman" w:hAnsi="Times New Roman"/>
                <w:bCs/>
                <w:color w:val="auto"/>
                <w:sz w:val="24"/>
              </w:rPr>
            </w:pPr>
            <w:r>
              <w:rPr>
                <w:rFonts w:ascii="Times New Roman"/>
                <w:bCs/>
                <w:color w:val="auto"/>
                <w:sz w:val="24"/>
              </w:rPr>
              <w:t>项目厂界外</w:t>
            </w:r>
            <w:r>
              <w:rPr>
                <w:rFonts w:ascii="Times New Roman" w:hAnsi="Times New Roman"/>
                <w:bCs/>
                <w:color w:val="auto"/>
                <w:sz w:val="24"/>
              </w:rPr>
              <w:t>50m</w:t>
            </w:r>
            <w:r>
              <w:rPr>
                <w:rFonts w:ascii="Times New Roman"/>
                <w:bCs/>
                <w:color w:val="auto"/>
                <w:sz w:val="24"/>
              </w:rPr>
              <w:t>范围内不存在声环境保护目标。</w:t>
            </w:r>
          </w:p>
          <w:p w14:paraId="1A2AE32F">
            <w:pPr>
              <w:adjustRightInd w:val="0"/>
              <w:snapToGrid w:val="0"/>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lang w:val="en-US" w:eastAsia="zh-CN"/>
              </w:rPr>
              <w:t>4</w:t>
            </w:r>
            <w:r>
              <w:rPr>
                <w:rFonts w:ascii="Times New Roman"/>
                <w:b/>
                <w:bCs/>
                <w:color w:val="auto"/>
                <w:sz w:val="24"/>
              </w:rPr>
              <w:t>、地下水环境</w:t>
            </w:r>
          </w:p>
          <w:p w14:paraId="59EEA83B">
            <w:pPr>
              <w:pStyle w:val="15"/>
              <w:spacing w:line="360" w:lineRule="auto"/>
              <w:ind w:firstLine="480"/>
              <w:rPr>
                <w:rFonts w:ascii="Times New Roman"/>
                <w:bCs/>
                <w:color w:val="auto"/>
                <w:sz w:val="24"/>
              </w:rPr>
            </w:pPr>
            <w:r>
              <w:rPr>
                <w:rFonts w:ascii="Times New Roman"/>
                <w:bCs/>
                <w:color w:val="auto"/>
                <w:sz w:val="24"/>
              </w:rPr>
              <w:t>项目厂界外</w:t>
            </w:r>
            <w:r>
              <w:rPr>
                <w:rFonts w:ascii="Times New Roman" w:hAnsi="Times New Roman"/>
                <w:bCs/>
                <w:color w:val="auto"/>
                <w:sz w:val="24"/>
              </w:rPr>
              <w:t>500m</w:t>
            </w:r>
            <w:r>
              <w:rPr>
                <w:rFonts w:ascii="Times New Roman"/>
                <w:bCs/>
                <w:color w:val="auto"/>
                <w:sz w:val="24"/>
              </w:rPr>
              <w:t>范围内不存在地下水集中式饮用水水源和热水、矿泉水、温泉等特殊地下水资源。</w:t>
            </w:r>
          </w:p>
          <w:p w14:paraId="4B86749D">
            <w:pPr>
              <w:rPr>
                <w:rFonts w:hint="eastAsia" w:eastAsia="宋体"/>
                <w:lang w:eastAsia="zh-CN"/>
              </w:rPr>
            </w:pPr>
            <w:r>
              <w:rPr>
                <w:rFonts w:hint="eastAsia"/>
                <w:color w:val="auto"/>
                <w:sz w:val="24"/>
              </w:rPr>
              <w:t>本项目主要大气环境保护目标如下表所示</w:t>
            </w:r>
            <w:r>
              <w:rPr>
                <w:rFonts w:hint="eastAsia"/>
                <w:color w:val="auto"/>
                <w:sz w:val="24"/>
                <w:lang w:eastAsia="zh-CN"/>
              </w:rPr>
              <w:t>：</w:t>
            </w:r>
          </w:p>
          <w:p w14:paraId="08DB6B77">
            <w:pPr>
              <w:pStyle w:val="38"/>
              <w:keepNext w:val="0"/>
              <w:keepLines w:val="0"/>
              <w:pageBreakBefore w:val="0"/>
              <w:widowControl w:val="0"/>
              <w:kinsoku/>
              <w:wordWrap/>
              <w:overflowPunct/>
              <w:topLinePunct w:val="0"/>
              <w:autoSpaceDE/>
              <w:autoSpaceDN/>
              <w:bidi w:val="0"/>
              <w:spacing w:line="360" w:lineRule="auto"/>
              <w:textAlignment w:val="auto"/>
              <w:rPr>
                <w:rFonts w:hint="eastAsia" w:ascii="黑体" w:hAnsi="黑体" w:eastAsia="黑体" w:cs="黑体"/>
                <w:b w:val="0"/>
                <w:bCs w:val="0"/>
                <w:color w:val="auto"/>
              </w:rPr>
            </w:pPr>
            <w:r>
              <w:rPr>
                <w:rFonts w:hint="eastAsia" w:ascii="黑体" w:hAnsi="黑体" w:eastAsia="黑体" w:cs="黑体"/>
                <w:b w:val="0"/>
                <w:bCs w:val="0"/>
                <w:color w:val="auto"/>
              </w:rPr>
              <w:t>表3-</w:t>
            </w:r>
            <w:r>
              <w:rPr>
                <w:rFonts w:hint="eastAsia" w:ascii="黑体" w:hAnsi="黑体" w:cs="黑体"/>
                <w:b w:val="0"/>
                <w:bCs w:val="0"/>
                <w:color w:val="auto"/>
                <w:lang w:val="en-US" w:eastAsia="zh-CN"/>
              </w:rPr>
              <w:t>7</w:t>
            </w:r>
            <w:r>
              <w:rPr>
                <w:rFonts w:hint="eastAsia" w:ascii="黑体" w:hAnsi="黑体" w:eastAsia="黑体" w:cs="黑体"/>
                <w:b w:val="0"/>
                <w:bCs w:val="0"/>
                <w:color w:val="auto"/>
                <w:lang w:val="en-US" w:eastAsia="zh-CN"/>
              </w:rPr>
              <w:t xml:space="preserve"> </w:t>
            </w:r>
            <w:r>
              <w:rPr>
                <w:rFonts w:hint="eastAsia" w:ascii="黑体" w:hAnsi="黑体" w:eastAsia="黑体" w:cs="黑体"/>
                <w:b w:val="0"/>
                <w:bCs w:val="0"/>
                <w:color w:val="auto"/>
              </w:rPr>
              <w:t>项目主要环境保护目标情况表</w:t>
            </w:r>
          </w:p>
          <w:tbl>
            <w:tblPr>
              <w:tblStyle w:val="22"/>
              <w:tblW w:w="765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0"/>
              <w:gridCol w:w="1050"/>
              <w:gridCol w:w="687"/>
              <w:gridCol w:w="697"/>
              <w:gridCol w:w="1763"/>
              <w:gridCol w:w="1928"/>
            </w:tblGrid>
            <w:tr w14:paraId="0862CB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vAlign w:val="center"/>
                </w:tcPr>
                <w:p w14:paraId="02A36FC3">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项目</w:t>
                  </w:r>
                </w:p>
              </w:tc>
              <w:tc>
                <w:tcPr>
                  <w:tcW w:w="850" w:type="dxa"/>
                  <w:tcBorders>
                    <w:tl2br w:val="nil"/>
                    <w:tr2bl w:val="nil"/>
                  </w:tcBorders>
                  <w:vAlign w:val="center"/>
                </w:tcPr>
                <w:p w14:paraId="5A438457">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方位</w:t>
                  </w:r>
                </w:p>
              </w:tc>
              <w:tc>
                <w:tcPr>
                  <w:tcW w:w="1050" w:type="dxa"/>
                  <w:tcBorders>
                    <w:tl2br w:val="nil"/>
                    <w:tr2bl w:val="nil"/>
                  </w:tcBorders>
                  <w:vAlign w:val="center"/>
                </w:tcPr>
                <w:p w14:paraId="136EB1EA">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保护目标</w:t>
                  </w:r>
                </w:p>
              </w:tc>
              <w:tc>
                <w:tcPr>
                  <w:tcW w:w="687" w:type="dxa"/>
                  <w:tcBorders>
                    <w:tl2br w:val="nil"/>
                    <w:tr2bl w:val="nil"/>
                  </w:tcBorders>
                  <w:vAlign w:val="center"/>
                </w:tcPr>
                <w:p w14:paraId="67302809">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距离</w:t>
                  </w:r>
                </w:p>
              </w:tc>
              <w:tc>
                <w:tcPr>
                  <w:tcW w:w="697" w:type="dxa"/>
                  <w:tcBorders>
                    <w:tl2br w:val="nil"/>
                    <w:tr2bl w:val="nil"/>
                  </w:tcBorders>
                  <w:vAlign w:val="center"/>
                </w:tcPr>
                <w:p w14:paraId="671A2AE5">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保护内容</w:t>
                  </w:r>
                </w:p>
              </w:tc>
              <w:tc>
                <w:tcPr>
                  <w:tcW w:w="1763" w:type="dxa"/>
                  <w:tcBorders>
                    <w:tl2br w:val="nil"/>
                    <w:tr2bl w:val="nil"/>
                  </w:tcBorders>
                  <w:vAlign w:val="center"/>
                </w:tcPr>
                <w:p w14:paraId="4EFC38AE">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坐标</w:t>
                  </w:r>
                </w:p>
              </w:tc>
              <w:tc>
                <w:tcPr>
                  <w:tcW w:w="1928" w:type="dxa"/>
                  <w:tcBorders>
                    <w:tl2br w:val="nil"/>
                    <w:tr2bl w:val="nil"/>
                  </w:tcBorders>
                  <w:vAlign w:val="center"/>
                </w:tcPr>
                <w:p w14:paraId="6608DDCC">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保护级别</w:t>
                  </w:r>
                </w:p>
              </w:tc>
            </w:tr>
            <w:tr w14:paraId="42956A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vAlign w:val="center"/>
                </w:tcPr>
                <w:p w14:paraId="6903D76D">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大气环境</w:t>
                  </w:r>
                </w:p>
              </w:tc>
              <w:tc>
                <w:tcPr>
                  <w:tcW w:w="6975" w:type="dxa"/>
                  <w:gridSpan w:val="6"/>
                  <w:tcBorders>
                    <w:tl2br w:val="nil"/>
                    <w:tr2bl w:val="nil"/>
                  </w:tcBorders>
                  <w:vAlign w:val="center"/>
                </w:tcPr>
                <w:p w14:paraId="443C1B4C">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本项目周边500m范围内无大气环境保护目标</w:t>
                  </w:r>
                </w:p>
              </w:tc>
            </w:tr>
            <w:tr w14:paraId="23B078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shd w:val="clear" w:color="auto" w:fill="auto"/>
                  <w:vAlign w:val="center"/>
                </w:tcPr>
                <w:p w14:paraId="34652280">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地表水环境</w:t>
                  </w:r>
                </w:p>
              </w:tc>
              <w:tc>
                <w:tcPr>
                  <w:tcW w:w="850" w:type="dxa"/>
                  <w:tcBorders>
                    <w:tl2br w:val="nil"/>
                    <w:tr2bl w:val="nil"/>
                  </w:tcBorders>
                  <w:shd w:val="clear" w:color="auto" w:fill="auto"/>
                  <w:vAlign w:val="center"/>
                </w:tcPr>
                <w:p w14:paraId="62FF2FFD">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东南侧</w:t>
                  </w:r>
                </w:p>
              </w:tc>
              <w:tc>
                <w:tcPr>
                  <w:tcW w:w="1050" w:type="dxa"/>
                  <w:tcBorders>
                    <w:tl2br w:val="nil"/>
                    <w:tr2bl w:val="nil"/>
                  </w:tcBorders>
                  <w:shd w:val="clear" w:color="auto" w:fill="auto"/>
                  <w:vAlign w:val="center"/>
                </w:tcPr>
                <w:p w14:paraId="4E7959E9">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双龙河</w:t>
                  </w:r>
                </w:p>
              </w:tc>
              <w:tc>
                <w:tcPr>
                  <w:tcW w:w="687" w:type="dxa"/>
                  <w:tcBorders>
                    <w:tl2br w:val="nil"/>
                    <w:tr2bl w:val="nil"/>
                  </w:tcBorders>
                  <w:shd w:val="clear" w:color="auto" w:fill="auto"/>
                  <w:vAlign w:val="center"/>
                </w:tcPr>
                <w:p w14:paraId="5F26E74C">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eastAsia" w:hAnsi="Times New Roman" w:eastAsia="宋体" w:cs="Times New Roman"/>
                      <w:color w:val="auto"/>
                      <w:sz w:val="18"/>
                      <w:szCs w:val="18"/>
                      <w:highlight w:val="none"/>
                      <w:lang w:val="en-US" w:eastAsia="zh-CN"/>
                    </w:rPr>
                    <w:t>2960</w:t>
                  </w:r>
                </w:p>
              </w:tc>
              <w:tc>
                <w:tcPr>
                  <w:tcW w:w="697" w:type="dxa"/>
                  <w:tcBorders>
                    <w:tl2br w:val="nil"/>
                    <w:tr2bl w:val="nil"/>
                  </w:tcBorders>
                  <w:shd w:val="clear" w:color="auto" w:fill="auto"/>
                  <w:vAlign w:val="center"/>
                </w:tcPr>
                <w:p w14:paraId="7D5DCD2A">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河流</w:t>
                  </w:r>
                </w:p>
              </w:tc>
              <w:tc>
                <w:tcPr>
                  <w:tcW w:w="1763" w:type="dxa"/>
                  <w:tcBorders>
                    <w:tl2br w:val="nil"/>
                    <w:tr2bl w:val="nil"/>
                  </w:tcBorders>
                  <w:shd w:val="clear" w:color="auto" w:fill="auto"/>
                  <w:vAlign w:val="center"/>
                </w:tcPr>
                <w:p w14:paraId="36EA5596">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928" w:type="dxa"/>
                  <w:tcBorders>
                    <w:tl2br w:val="nil"/>
                    <w:tr2bl w:val="nil"/>
                  </w:tcBorders>
                  <w:shd w:val="clear" w:color="auto" w:fill="auto"/>
                  <w:vAlign w:val="center"/>
                </w:tcPr>
                <w:p w14:paraId="08D3C68E">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《地表水环境质量标准》（GB3838-2002）Ⅲ类标准</w:t>
                  </w:r>
                </w:p>
              </w:tc>
            </w:tr>
            <w:tr w14:paraId="2F095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vAlign w:val="center"/>
                </w:tcPr>
                <w:p w14:paraId="1795E0EF">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声环境</w:t>
                  </w:r>
                </w:p>
              </w:tc>
              <w:tc>
                <w:tcPr>
                  <w:tcW w:w="6975" w:type="dxa"/>
                  <w:gridSpan w:val="6"/>
                  <w:tcBorders>
                    <w:tl2br w:val="nil"/>
                    <w:tr2bl w:val="nil"/>
                  </w:tcBorders>
                  <w:vAlign w:val="center"/>
                </w:tcPr>
                <w:p w14:paraId="5F219307">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本项目周边50m范围内无声环境保护目标。</w:t>
                  </w:r>
                </w:p>
              </w:tc>
            </w:tr>
            <w:tr w14:paraId="3188A4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tcBorders>
                    <w:tl2br w:val="nil"/>
                    <w:tr2bl w:val="nil"/>
                  </w:tcBorders>
                  <w:vAlign w:val="center"/>
                </w:tcPr>
                <w:p w14:paraId="5FC964C5">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地下水</w:t>
                  </w:r>
                </w:p>
              </w:tc>
              <w:tc>
                <w:tcPr>
                  <w:tcW w:w="6975" w:type="dxa"/>
                  <w:gridSpan w:val="6"/>
                  <w:tcBorders>
                    <w:tl2br w:val="nil"/>
                    <w:tr2bl w:val="nil"/>
                  </w:tcBorders>
                  <w:vAlign w:val="center"/>
                </w:tcPr>
                <w:p w14:paraId="2D2FED86">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厂界外500米范围内无地下水集中式饮用水水源和热水、矿泉水、温泉等特殊地下水资源。</w:t>
                  </w:r>
                </w:p>
              </w:tc>
            </w:tr>
            <w:tr w14:paraId="122837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tcBorders>
                    <w:tl2br w:val="nil"/>
                    <w:tr2bl w:val="nil"/>
                  </w:tcBorders>
                  <w:vAlign w:val="center"/>
                </w:tcPr>
                <w:p w14:paraId="07121CEB">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生态环境</w:t>
                  </w:r>
                </w:p>
              </w:tc>
              <w:tc>
                <w:tcPr>
                  <w:tcW w:w="6975" w:type="dxa"/>
                  <w:gridSpan w:val="6"/>
                  <w:tcBorders>
                    <w:tl2br w:val="nil"/>
                    <w:tr2bl w:val="nil"/>
                  </w:tcBorders>
                  <w:vAlign w:val="center"/>
                </w:tcPr>
                <w:p w14:paraId="463A043B">
                  <w:pPr>
                    <w:pStyle w:val="41"/>
                    <w:keepNext w:val="0"/>
                    <w:keepLines w:val="0"/>
                    <w:pageBreakBefore w:val="0"/>
                    <w:widowControl w:val="0"/>
                    <w:kinsoku/>
                    <w:wordWrap/>
                    <w:overflowPunct/>
                    <w:topLinePunct w:val="0"/>
                    <w:autoSpaceDE w:val="0"/>
                    <w:autoSpaceDN w:val="0"/>
                    <w:bidi w:val="0"/>
                    <w:adjustRightInd w:val="0"/>
                    <w:snapToGrid w:val="0"/>
                    <w:spacing w:before="0" w:after="0" w:line="240" w:lineRule="auto"/>
                    <w:ind w:firstLine="0" w:firstLineChars="0"/>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本项目位于云南易门产业园区大椿树片区，本次项目改建仅在易门铜业有限公司既有厂区范围内进行改造，不新增占地。</w:t>
                  </w:r>
                </w:p>
              </w:tc>
            </w:tr>
          </w:tbl>
          <w:p w14:paraId="321FDC33">
            <w:pPr>
              <w:ind w:left="0" w:leftChars="0" w:firstLine="0" w:firstLineChars="0"/>
              <w:rPr>
                <w:rFonts w:hint="default"/>
              </w:rPr>
            </w:pPr>
          </w:p>
        </w:tc>
      </w:tr>
      <w:tr w14:paraId="097A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0" w:type="pct"/>
            <w:tcBorders>
              <w:tl2br w:val="nil"/>
              <w:tr2bl w:val="nil"/>
            </w:tcBorders>
            <w:noWrap w:val="0"/>
            <w:tcMar>
              <w:left w:w="28" w:type="dxa"/>
              <w:right w:w="28" w:type="dxa"/>
            </w:tcMar>
            <w:vAlign w:val="center"/>
          </w:tcPr>
          <w:p w14:paraId="455F4D57">
            <w:pPr>
              <w:pStyle w:val="38"/>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污染物排放控制标准</w:t>
            </w:r>
          </w:p>
        </w:tc>
        <w:tc>
          <w:tcPr>
            <w:tcW w:w="4599" w:type="pct"/>
            <w:tcBorders>
              <w:tl2br w:val="nil"/>
              <w:tr2bl w:val="nil"/>
            </w:tcBorders>
            <w:noWrap w:val="0"/>
            <w:vAlign w:val="center"/>
          </w:tcPr>
          <w:p w14:paraId="7E69988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1、大气污染物</w:t>
            </w:r>
          </w:p>
          <w:p w14:paraId="78283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bookmarkStart w:id="11" w:name="OLE_LINK2"/>
            <w:r>
              <w:rPr>
                <w:rFonts w:hint="default" w:ascii="Times New Roman" w:hAnsi="Times New Roman" w:eastAsia="宋体" w:cs="Times New Roman"/>
                <w:color w:val="auto"/>
                <w:sz w:val="24"/>
                <w:szCs w:val="24"/>
              </w:rPr>
              <w:t>（1）施工期</w:t>
            </w:r>
          </w:p>
          <w:p w14:paraId="5C43C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项目施工期无组织排放的扬尘执行《大气污染物综合排放标准》（GB16297-1996）中表2无组织排放监控浓度限值标准，标准值详见表3-</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rPr>
              <w:t>。</w:t>
            </w:r>
          </w:p>
          <w:p w14:paraId="17326A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表3-</w:t>
            </w:r>
            <w:r>
              <w:rPr>
                <w:rFonts w:hint="eastAsia" w:ascii="黑体" w:hAnsi="黑体" w:eastAsia="黑体" w:cs="黑体"/>
                <w:b w:val="0"/>
                <w:bCs w:val="0"/>
                <w:color w:val="auto"/>
                <w:sz w:val="21"/>
                <w:szCs w:val="21"/>
                <w:lang w:val="en-US" w:eastAsia="zh-CN"/>
              </w:rPr>
              <w:t>8</w:t>
            </w:r>
            <w:r>
              <w:rPr>
                <w:rFonts w:hint="eastAsia" w:ascii="黑体" w:hAnsi="黑体" w:eastAsia="黑体" w:cs="黑体"/>
                <w:b w:val="0"/>
                <w:bCs w:val="0"/>
                <w:color w:val="auto"/>
                <w:sz w:val="21"/>
                <w:szCs w:val="21"/>
              </w:rPr>
              <w:t xml:space="preserve"> 大气污染物排放限值   单位：mg/m</w:t>
            </w:r>
            <w:r>
              <w:rPr>
                <w:rFonts w:hint="eastAsia" w:ascii="黑体" w:hAnsi="黑体" w:eastAsia="黑体" w:cs="黑体"/>
                <w:b w:val="0"/>
                <w:bCs w:val="0"/>
                <w:color w:val="auto"/>
                <w:sz w:val="21"/>
                <w:szCs w:val="21"/>
                <w:vertAlign w:val="superscript"/>
              </w:rPr>
              <w:t>3</w:t>
            </w:r>
          </w:p>
          <w:tbl>
            <w:tblPr>
              <w:tblStyle w:val="2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99"/>
              <w:gridCol w:w="3719"/>
            </w:tblGrid>
            <w:tr w14:paraId="7C42BF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2559" w:type="pct"/>
                  <w:tcBorders>
                    <w:tl2br w:val="nil"/>
                    <w:tr2bl w:val="nil"/>
                  </w:tcBorders>
                  <w:noWrap w:val="0"/>
                  <w:vAlign w:val="center"/>
                </w:tcPr>
                <w:p w14:paraId="2A0A33F3">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w:t>
                  </w:r>
                </w:p>
              </w:tc>
              <w:tc>
                <w:tcPr>
                  <w:tcW w:w="2440" w:type="pct"/>
                  <w:tcBorders>
                    <w:tl2br w:val="nil"/>
                    <w:tr2bl w:val="nil"/>
                  </w:tcBorders>
                  <w:noWrap w:val="0"/>
                  <w:vAlign w:val="center"/>
                </w:tcPr>
                <w:p w14:paraId="5AA53884">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颗粒物最高允许排放浓度</w:t>
                  </w:r>
                </w:p>
              </w:tc>
            </w:tr>
            <w:tr w14:paraId="6BB1EB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2559" w:type="pct"/>
                  <w:tcBorders>
                    <w:tl2br w:val="nil"/>
                    <w:tr2bl w:val="nil"/>
                  </w:tcBorders>
                  <w:noWrap w:val="0"/>
                  <w:vAlign w:val="center"/>
                </w:tcPr>
                <w:p w14:paraId="1E4C5E04">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无组织排放监控浓度限值</w:t>
                  </w:r>
                </w:p>
              </w:tc>
              <w:tc>
                <w:tcPr>
                  <w:tcW w:w="2440" w:type="pct"/>
                  <w:tcBorders>
                    <w:tl2br w:val="nil"/>
                    <w:tr2bl w:val="nil"/>
                  </w:tcBorders>
                  <w:noWrap w:val="0"/>
                  <w:vAlign w:val="center"/>
                </w:tcPr>
                <w:p w14:paraId="17E56B1E">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bl>
          <w:p w14:paraId="6CE4CA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（2）运营期</w:t>
            </w:r>
          </w:p>
          <w:bookmarkEnd w:id="11"/>
          <w:p w14:paraId="491EFC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项目运营期</w:t>
            </w:r>
            <w:r>
              <w:rPr>
                <w:rFonts w:hint="eastAsia" w:cs="Times New Roman"/>
                <w:color w:val="auto"/>
                <w:sz w:val="24"/>
                <w:szCs w:val="24"/>
                <w:lang w:val="en-US" w:eastAsia="zh-CN"/>
              </w:rPr>
              <w:t>有组织</w:t>
            </w:r>
            <w:r>
              <w:rPr>
                <w:rFonts w:hint="default" w:ascii="Times New Roman" w:hAnsi="Times New Roman" w:eastAsia="宋体" w:cs="Times New Roman"/>
                <w:color w:val="auto"/>
                <w:sz w:val="24"/>
                <w:szCs w:val="24"/>
                <w:lang w:eastAsia="zh-CN"/>
              </w:rPr>
              <w:t>废气执行《铜、镍、钴工业污染物排放标准》（GB25467-2010）表5中涉及的采选生产类别排放标准</w:t>
            </w:r>
            <w:r>
              <w:rPr>
                <w:rFonts w:hint="eastAsia" w:cs="Times New Roman"/>
                <w:color w:val="auto"/>
                <w:sz w:val="24"/>
                <w:szCs w:val="24"/>
                <w:lang w:eastAsia="zh-CN"/>
              </w:rPr>
              <w:t>；</w:t>
            </w:r>
            <w:r>
              <w:rPr>
                <w:rFonts w:hint="eastAsia" w:cs="Times New Roman"/>
                <w:color w:val="auto"/>
                <w:sz w:val="24"/>
                <w:szCs w:val="24"/>
                <w:lang w:val="en-US" w:eastAsia="zh-CN"/>
              </w:rPr>
              <w:t>运营期无组织颗粒物排放执行</w:t>
            </w:r>
            <w:r>
              <w:rPr>
                <w:rFonts w:hint="default" w:ascii="Times New Roman" w:hAnsi="Times New Roman" w:eastAsia="宋体" w:cs="Times New Roman"/>
                <w:color w:val="auto"/>
                <w:sz w:val="24"/>
                <w:szCs w:val="24"/>
                <w:lang w:eastAsia="zh-CN"/>
              </w:rPr>
              <w:t>《铜、镍、钴工业污染物排放标准》（GB25467-2010）</w:t>
            </w:r>
            <w:r>
              <w:rPr>
                <w:rFonts w:hint="eastAsia" w:ascii="Times New Roman" w:hAnsi="Times New Roman" w:eastAsia="宋体" w:cs="Times New Roman"/>
                <w:color w:val="auto"/>
                <w:sz w:val="24"/>
                <w:szCs w:val="24"/>
                <w:lang w:val="en-US" w:eastAsia="zh-CN"/>
              </w:rPr>
              <w:t>表6浓度限值</w:t>
            </w:r>
            <w:r>
              <w:rPr>
                <w:rFonts w:hint="eastAsia" w:cs="Times New Roman"/>
                <w:color w:val="auto"/>
                <w:sz w:val="24"/>
                <w:szCs w:val="24"/>
                <w:lang w:val="en-US" w:eastAsia="zh-CN"/>
              </w:rPr>
              <w:t>。运营过程中浮选药剂产生的恶臭执行，</w:t>
            </w:r>
            <w:r>
              <w:rPr>
                <w:rFonts w:hint="eastAsia" w:ascii="Times New Roman" w:hAnsi="Times New Roman" w:eastAsia="宋体" w:cs="Times New Roman"/>
                <w:color w:val="auto"/>
                <w:sz w:val="24"/>
                <w:szCs w:val="24"/>
                <w:lang w:val="en-US" w:eastAsia="zh-CN"/>
              </w:rPr>
              <w:t>《恶臭污染物排放标准》（GB14554-93）二级（新改扩建）标准要求，</w:t>
            </w:r>
            <w:r>
              <w:rPr>
                <w:rFonts w:hint="default" w:ascii="Times New Roman" w:hAnsi="Times New Roman" w:eastAsia="宋体" w:cs="Times New Roman"/>
                <w:color w:val="auto"/>
                <w:sz w:val="24"/>
                <w:szCs w:val="24"/>
                <w:lang w:eastAsia="zh-CN"/>
              </w:rPr>
              <w:t>标准值</w:t>
            </w:r>
            <w:r>
              <w:rPr>
                <w:rFonts w:hint="default"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eastAsia="zh-CN"/>
              </w:rPr>
              <w:t>：</w:t>
            </w:r>
          </w:p>
          <w:p w14:paraId="53672CF1">
            <w:pPr>
              <w:ind w:firstLine="48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w:t>
            </w:r>
            <w:r>
              <w:rPr>
                <w:rFonts w:hint="eastAsia" w:ascii="黑体" w:hAnsi="黑体" w:eastAsia="黑体" w:cs="黑体"/>
                <w:b w:val="0"/>
                <w:bCs w:val="0"/>
                <w:color w:val="auto"/>
                <w:sz w:val="21"/>
                <w:szCs w:val="21"/>
                <w:lang w:val="en-US" w:eastAsia="zh-CN"/>
              </w:rPr>
              <w:t>3-9</w:t>
            </w:r>
            <w:r>
              <w:rPr>
                <w:rFonts w:hint="eastAsia" w:ascii="黑体" w:hAnsi="黑体" w:eastAsia="黑体" w:cs="黑体"/>
                <w:b w:val="0"/>
                <w:bCs w:val="0"/>
                <w:color w:val="auto"/>
                <w:sz w:val="21"/>
                <w:szCs w:val="21"/>
              </w:rPr>
              <w:t xml:space="preserve"> </w:t>
            </w:r>
            <w:r>
              <w:rPr>
                <w:rFonts w:hint="eastAsia" w:ascii="黑体" w:hAnsi="黑体" w:eastAsia="黑体" w:cs="黑体"/>
                <w:b w:val="0"/>
                <w:bCs w:val="0"/>
                <w:color w:val="auto"/>
                <w:sz w:val="21"/>
                <w:szCs w:val="21"/>
                <w:lang w:eastAsia="zh-CN"/>
              </w:rPr>
              <w:t>有</w:t>
            </w:r>
            <w:r>
              <w:rPr>
                <w:rFonts w:hint="eastAsia" w:ascii="黑体" w:hAnsi="黑体" w:eastAsia="黑体" w:cs="黑体"/>
                <w:b w:val="0"/>
                <w:bCs w:val="0"/>
                <w:color w:val="auto"/>
                <w:sz w:val="21"/>
                <w:szCs w:val="21"/>
                <w:lang w:val="en-US" w:eastAsia="zh-CN"/>
              </w:rPr>
              <w:t>组织废气</w:t>
            </w:r>
            <w:r>
              <w:rPr>
                <w:rFonts w:hint="eastAsia" w:ascii="黑体" w:hAnsi="黑体" w:eastAsia="黑体" w:cs="黑体"/>
                <w:b w:val="0"/>
                <w:bCs w:val="0"/>
                <w:color w:val="auto"/>
                <w:sz w:val="21"/>
                <w:szCs w:val="21"/>
              </w:rPr>
              <w:t>污染物排放限值</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532"/>
              <w:gridCol w:w="1600"/>
              <w:gridCol w:w="3293"/>
            </w:tblGrid>
            <w:tr w14:paraId="6F1EE6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83" w:type="pct"/>
                  <w:tcBorders>
                    <w:tl2br w:val="nil"/>
                    <w:tr2bl w:val="nil"/>
                  </w:tcBorders>
                  <w:noWrap w:val="0"/>
                  <w:vAlign w:val="center"/>
                </w:tcPr>
                <w:p w14:paraId="02820E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污染物</w:t>
                  </w:r>
                </w:p>
              </w:tc>
              <w:tc>
                <w:tcPr>
                  <w:tcW w:w="2055" w:type="pct"/>
                  <w:gridSpan w:val="2"/>
                  <w:tcBorders>
                    <w:tl2br w:val="nil"/>
                    <w:tr2bl w:val="nil"/>
                  </w:tcBorders>
                  <w:noWrap w:val="0"/>
                  <w:vAlign w:val="center"/>
                </w:tcPr>
                <w:p w14:paraId="08A781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最高允许排放浓度（mg/m</w:t>
                  </w:r>
                  <w:r>
                    <w:rPr>
                      <w:rFonts w:hint="default" w:ascii="Times New Roman" w:hAnsi="Times New Roman" w:eastAsia="宋体" w:cs="Times New Roman"/>
                      <w:color w:val="auto"/>
                      <w:kern w:val="24"/>
                      <w:sz w:val="18"/>
                      <w:szCs w:val="18"/>
                      <w:vertAlign w:val="superscript"/>
                    </w:rPr>
                    <w:t>3</w:t>
                  </w:r>
                  <w:r>
                    <w:rPr>
                      <w:rFonts w:hint="default" w:ascii="Times New Roman" w:hAnsi="Times New Roman" w:eastAsia="宋体" w:cs="Times New Roman"/>
                      <w:color w:val="auto"/>
                      <w:kern w:val="24"/>
                      <w:sz w:val="18"/>
                      <w:szCs w:val="18"/>
                    </w:rPr>
                    <w:t>）</w:t>
                  </w:r>
                </w:p>
              </w:tc>
              <w:tc>
                <w:tcPr>
                  <w:tcW w:w="2161" w:type="pct"/>
                  <w:tcBorders>
                    <w:tl2br w:val="nil"/>
                    <w:tr2bl w:val="nil"/>
                  </w:tcBorders>
                  <w:noWrap w:val="0"/>
                  <w:vAlign w:val="center"/>
                </w:tcPr>
                <w:p w14:paraId="3E3C7E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rPr>
                  </w:pPr>
                  <w:r>
                    <w:rPr>
                      <w:rFonts w:hint="eastAsia" w:ascii="Times New Roman" w:hAnsi="Times New Roman" w:eastAsia="宋体" w:cs="Times New Roman"/>
                      <w:color w:val="auto"/>
                      <w:kern w:val="24"/>
                      <w:sz w:val="18"/>
                      <w:szCs w:val="18"/>
                      <w:lang w:val="en-US" w:eastAsia="zh-CN"/>
                    </w:rPr>
                    <w:t>企业边界大气污染物浓度限值</w:t>
                  </w:r>
                  <w:r>
                    <w:rPr>
                      <w:rFonts w:hint="default" w:ascii="Times New Roman" w:hAnsi="Times New Roman" w:eastAsia="宋体" w:cs="Times New Roman"/>
                      <w:color w:val="auto"/>
                      <w:kern w:val="24"/>
                      <w:sz w:val="18"/>
                      <w:szCs w:val="18"/>
                    </w:rPr>
                    <w:t>（mg/m</w:t>
                  </w:r>
                  <w:r>
                    <w:rPr>
                      <w:rFonts w:hint="default" w:ascii="Times New Roman" w:hAnsi="Times New Roman" w:eastAsia="宋体" w:cs="Times New Roman"/>
                      <w:color w:val="auto"/>
                      <w:kern w:val="24"/>
                      <w:sz w:val="18"/>
                      <w:szCs w:val="18"/>
                      <w:vertAlign w:val="superscript"/>
                    </w:rPr>
                    <w:t>3</w:t>
                  </w:r>
                  <w:r>
                    <w:rPr>
                      <w:rFonts w:hint="default" w:ascii="Times New Roman" w:hAnsi="Times New Roman" w:eastAsia="宋体" w:cs="Times New Roman"/>
                      <w:color w:val="auto"/>
                      <w:kern w:val="24"/>
                      <w:sz w:val="18"/>
                      <w:szCs w:val="18"/>
                    </w:rPr>
                    <w:t>）</w:t>
                  </w:r>
                </w:p>
              </w:tc>
            </w:tr>
            <w:tr w14:paraId="618EA1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83" w:type="pct"/>
                  <w:vMerge w:val="restart"/>
                  <w:tcBorders>
                    <w:tl2br w:val="nil"/>
                    <w:tr2bl w:val="nil"/>
                  </w:tcBorders>
                  <w:noWrap w:val="0"/>
                  <w:vAlign w:val="center"/>
                </w:tcPr>
                <w:p w14:paraId="7A9CE6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颗粒物</w:t>
                  </w:r>
                </w:p>
              </w:tc>
              <w:tc>
                <w:tcPr>
                  <w:tcW w:w="1005" w:type="pct"/>
                  <w:tcBorders>
                    <w:tl2br w:val="nil"/>
                    <w:tr2bl w:val="nil"/>
                  </w:tcBorders>
                  <w:noWrap w:val="0"/>
                  <w:vAlign w:val="center"/>
                </w:tcPr>
                <w:p w14:paraId="618C8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eastAsia" w:ascii="Times New Roman" w:hAnsi="Times New Roman" w:eastAsia="宋体" w:cs="Times New Roman"/>
                      <w:color w:val="auto"/>
                      <w:kern w:val="24"/>
                      <w:sz w:val="18"/>
                      <w:szCs w:val="18"/>
                      <w:lang w:val="en-US" w:eastAsia="zh-CN"/>
                    </w:rPr>
                    <w:t>破碎、筛分</w:t>
                  </w:r>
                </w:p>
              </w:tc>
              <w:tc>
                <w:tcPr>
                  <w:tcW w:w="1050" w:type="pct"/>
                  <w:tcBorders>
                    <w:tl2br w:val="nil"/>
                    <w:tr2bl w:val="nil"/>
                  </w:tcBorders>
                  <w:noWrap w:val="0"/>
                  <w:vAlign w:val="center"/>
                </w:tcPr>
                <w:p w14:paraId="5D9DB9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eastAsia" w:ascii="Times New Roman" w:hAnsi="Times New Roman" w:eastAsia="宋体" w:cs="Times New Roman"/>
                      <w:color w:val="auto"/>
                      <w:kern w:val="24"/>
                      <w:sz w:val="18"/>
                      <w:szCs w:val="18"/>
                      <w:lang w:val="en-US" w:eastAsia="zh-CN"/>
                    </w:rPr>
                    <w:t>100</w:t>
                  </w:r>
                </w:p>
              </w:tc>
              <w:tc>
                <w:tcPr>
                  <w:tcW w:w="2161" w:type="pct"/>
                  <w:tcBorders>
                    <w:tl2br w:val="nil"/>
                    <w:tr2bl w:val="nil"/>
                  </w:tcBorders>
                  <w:noWrap w:val="0"/>
                  <w:vAlign w:val="center"/>
                </w:tcPr>
                <w:p w14:paraId="4BE58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eastAsia" w:ascii="Times New Roman" w:hAnsi="Times New Roman" w:eastAsia="宋体" w:cs="Times New Roman"/>
                      <w:color w:val="auto"/>
                      <w:kern w:val="24"/>
                      <w:sz w:val="18"/>
                      <w:szCs w:val="18"/>
                      <w:lang w:val="en-US" w:eastAsia="zh-CN"/>
                    </w:rPr>
                    <w:t>1.0</w:t>
                  </w:r>
                </w:p>
              </w:tc>
            </w:tr>
            <w:tr w14:paraId="391633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83" w:type="pct"/>
                  <w:vMerge w:val="continue"/>
                  <w:tcBorders>
                    <w:tl2br w:val="nil"/>
                    <w:tr2bl w:val="nil"/>
                  </w:tcBorders>
                  <w:noWrap w:val="0"/>
                  <w:vAlign w:val="center"/>
                </w:tcPr>
                <w:p w14:paraId="3B3AEA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4"/>
                      <w:sz w:val="18"/>
                      <w:szCs w:val="18"/>
                    </w:rPr>
                  </w:pPr>
                </w:p>
              </w:tc>
              <w:tc>
                <w:tcPr>
                  <w:tcW w:w="1005" w:type="pct"/>
                  <w:tcBorders>
                    <w:tl2br w:val="nil"/>
                    <w:tr2bl w:val="nil"/>
                  </w:tcBorders>
                  <w:noWrap w:val="0"/>
                  <w:vAlign w:val="center"/>
                </w:tcPr>
                <w:p w14:paraId="0D7F8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eastAsia" w:ascii="Times New Roman" w:hAnsi="Times New Roman" w:cs="Times New Roman"/>
                      <w:color w:val="auto"/>
                      <w:kern w:val="24"/>
                      <w:sz w:val="18"/>
                      <w:szCs w:val="18"/>
                      <w:lang w:val="en-US" w:eastAsia="zh-CN"/>
                    </w:rPr>
                    <w:t>其他</w:t>
                  </w:r>
                </w:p>
              </w:tc>
              <w:tc>
                <w:tcPr>
                  <w:tcW w:w="1050" w:type="pct"/>
                  <w:tcBorders>
                    <w:tl2br w:val="nil"/>
                    <w:tr2bl w:val="nil"/>
                  </w:tcBorders>
                  <w:noWrap w:val="0"/>
                  <w:vAlign w:val="center"/>
                </w:tcPr>
                <w:p w14:paraId="4250E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eastAsia" w:ascii="Times New Roman" w:hAnsi="Times New Roman" w:eastAsia="宋体" w:cs="Times New Roman"/>
                      <w:color w:val="auto"/>
                      <w:kern w:val="24"/>
                      <w:sz w:val="18"/>
                      <w:szCs w:val="18"/>
                      <w:lang w:val="en-US" w:eastAsia="zh-CN"/>
                    </w:rPr>
                    <w:t>80</w:t>
                  </w:r>
                </w:p>
              </w:tc>
              <w:tc>
                <w:tcPr>
                  <w:tcW w:w="2161" w:type="pct"/>
                  <w:tcBorders>
                    <w:tl2br w:val="nil"/>
                    <w:tr2bl w:val="nil"/>
                  </w:tcBorders>
                  <w:noWrap w:val="0"/>
                  <w:vAlign w:val="center"/>
                </w:tcPr>
                <w:p w14:paraId="3460F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kern w:val="24"/>
                      <w:sz w:val="18"/>
                      <w:szCs w:val="18"/>
                    </w:rPr>
                    <w:t>1.0</w:t>
                  </w:r>
                </w:p>
              </w:tc>
            </w:tr>
          </w:tbl>
          <w:p w14:paraId="5DE772C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rPr>
              <w:t>表</w:t>
            </w:r>
            <w:r>
              <w:rPr>
                <w:rFonts w:hint="eastAsia" w:ascii="黑体" w:hAnsi="黑体" w:eastAsia="黑体" w:cs="黑体"/>
                <w:b w:val="0"/>
                <w:bCs w:val="0"/>
                <w:color w:val="auto"/>
                <w:sz w:val="21"/>
                <w:szCs w:val="21"/>
                <w:lang w:val="en-US" w:eastAsia="zh-CN"/>
              </w:rPr>
              <w:t>3-10</w:t>
            </w:r>
            <w:r>
              <w:rPr>
                <w:rFonts w:hint="eastAsia" w:ascii="黑体" w:hAnsi="黑体" w:eastAsia="黑体" w:cs="黑体"/>
                <w:b w:val="0"/>
                <w:bCs w:val="0"/>
                <w:color w:val="auto"/>
                <w:sz w:val="21"/>
                <w:szCs w:val="21"/>
              </w:rPr>
              <w:t xml:space="preserve"> </w:t>
            </w:r>
            <w:r>
              <w:rPr>
                <w:rFonts w:hint="eastAsia" w:ascii="黑体" w:hAnsi="黑体" w:eastAsia="黑体" w:cs="黑体"/>
                <w:b w:val="0"/>
                <w:bCs w:val="0"/>
                <w:color w:val="auto"/>
                <w:sz w:val="21"/>
                <w:szCs w:val="21"/>
                <w:lang w:val="en-US" w:eastAsia="zh-CN"/>
              </w:rPr>
              <w:t>恶臭污染物厂界标准值  单位：无量纲</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4"/>
              <w:gridCol w:w="3293"/>
            </w:tblGrid>
            <w:tr w14:paraId="5A99DB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838" w:type="pct"/>
                  <w:tcBorders>
                    <w:tl2br w:val="nil"/>
                    <w:tr2bl w:val="nil"/>
                  </w:tcBorders>
                  <w:noWrap w:val="0"/>
                  <w:vAlign w:val="center"/>
                </w:tcPr>
                <w:p w14:paraId="1C16D1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18"/>
                      <w:szCs w:val="18"/>
                      <w:lang w:val="en-US" w:eastAsia="zh-CN"/>
                    </w:rPr>
                  </w:pPr>
                  <w:r>
                    <w:rPr>
                      <w:rFonts w:hint="eastAsia" w:ascii="Times New Roman" w:hAnsi="Times New Roman" w:eastAsia="宋体" w:cs="Times New Roman"/>
                      <w:color w:val="auto"/>
                      <w:kern w:val="24"/>
                      <w:sz w:val="18"/>
                      <w:szCs w:val="18"/>
                      <w:lang w:val="en-US" w:eastAsia="zh-CN"/>
                    </w:rPr>
                    <w:t>标准</w:t>
                  </w:r>
                </w:p>
              </w:tc>
              <w:tc>
                <w:tcPr>
                  <w:tcW w:w="2161" w:type="pct"/>
                  <w:tcBorders>
                    <w:tl2br w:val="nil"/>
                    <w:tr2bl w:val="nil"/>
                  </w:tcBorders>
                  <w:noWrap w:val="0"/>
                  <w:vAlign w:val="center"/>
                </w:tcPr>
                <w:p w14:paraId="0E0D42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eastAsia" w:ascii="Times New Roman" w:hAnsi="Times New Roman" w:eastAsia="宋体" w:cs="Times New Roman"/>
                      <w:color w:val="auto"/>
                      <w:kern w:val="24"/>
                      <w:sz w:val="18"/>
                      <w:szCs w:val="18"/>
                      <w:lang w:val="en-US" w:eastAsia="zh-CN"/>
                    </w:rPr>
                    <w:t>臭气浓度</w:t>
                  </w:r>
                </w:p>
              </w:tc>
            </w:tr>
            <w:tr w14:paraId="56AD49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838" w:type="pct"/>
                  <w:tcBorders>
                    <w:tl2br w:val="nil"/>
                    <w:tr2bl w:val="nil"/>
                  </w:tcBorders>
                  <w:noWrap w:val="0"/>
                  <w:vAlign w:val="center"/>
                </w:tcPr>
                <w:p w14:paraId="726384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eastAsia" w:ascii="Times New Roman" w:hAnsi="Times New Roman" w:eastAsia="宋体" w:cs="Times New Roman"/>
                      <w:color w:val="auto"/>
                      <w:kern w:val="24"/>
                      <w:sz w:val="18"/>
                      <w:szCs w:val="18"/>
                      <w:lang w:val="en-US" w:eastAsia="zh-CN"/>
                    </w:rPr>
                    <w:t>《恶臭污染物排放标准》（GB14554-93）二级</w:t>
                  </w:r>
                </w:p>
              </w:tc>
              <w:tc>
                <w:tcPr>
                  <w:tcW w:w="2161" w:type="pct"/>
                  <w:tcBorders>
                    <w:tl2br w:val="nil"/>
                    <w:tr2bl w:val="nil"/>
                  </w:tcBorders>
                  <w:noWrap w:val="0"/>
                  <w:vAlign w:val="center"/>
                </w:tcPr>
                <w:p w14:paraId="2103D3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w:t>
                  </w:r>
                  <w:r>
                    <w:rPr>
                      <w:rFonts w:hint="eastAsia" w:ascii="Times New Roman" w:hAnsi="Times New Roman" w:eastAsia="宋体" w:cs="Times New Roman"/>
                      <w:color w:val="auto"/>
                      <w:kern w:val="24"/>
                      <w:sz w:val="18"/>
                      <w:szCs w:val="18"/>
                      <w:lang w:val="en-US" w:eastAsia="zh-CN"/>
                    </w:rPr>
                    <w:t>20</w:t>
                  </w:r>
                </w:p>
              </w:tc>
            </w:tr>
          </w:tbl>
          <w:p w14:paraId="54D7B9C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2、水污染物</w:t>
            </w:r>
          </w:p>
          <w:p w14:paraId="2EF40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（1）施工期</w:t>
            </w:r>
          </w:p>
          <w:p w14:paraId="0BF463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项目施工期废水为施工工具的清洗水及施工人员生活污水，施工工具清洗水产生量较少，通过临时沉淀池处理后直接回用于洒水降尘及绿化，不外排；施工人员生活污水</w:t>
            </w:r>
            <w:r>
              <w:rPr>
                <w:rFonts w:hint="default" w:ascii="Times New Roman" w:hAnsi="Times New Roman" w:eastAsia="宋体" w:cs="Times New Roman"/>
                <w:color w:val="auto"/>
                <w:sz w:val="24"/>
                <w:szCs w:val="24"/>
                <w:lang w:val="en-US" w:eastAsia="zh-CN"/>
              </w:rPr>
              <w:t>依托厂区现有</w:t>
            </w:r>
            <w:r>
              <w:rPr>
                <w:rFonts w:hint="default" w:ascii="Times New Roman" w:hAnsi="Times New Roman" w:eastAsia="宋体" w:cs="Times New Roman"/>
                <w:color w:val="auto"/>
                <w:sz w:val="24"/>
                <w:szCs w:val="24"/>
              </w:rPr>
              <w:t>化粪池处理后</w:t>
            </w:r>
            <w:r>
              <w:rPr>
                <w:rFonts w:hint="eastAsia" w:ascii="Times New Roman" w:hAnsi="Times New Roman" w:eastAsia="宋体" w:cs="Times New Roman"/>
                <w:color w:val="auto"/>
                <w:sz w:val="24"/>
                <w:szCs w:val="24"/>
                <w:lang w:val="en-US" w:eastAsia="zh-CN"/>
              </w:rPr>
              <w:t>回用厂区绿化或道路洒水降尘，不外排</w:t>
            </w:r>
            <w:r>
              <w:rPr>
                <w:rFonts w:hint="default" w:ascii="Times New Roman" w:hAnsi="Times New Roman" w:eastAsia="宋体" w:cs="Times New Roman"/>
                <w:color w:val="auto"/>
                <w:sz w:val="24"/>
                <w:szCs w:val="24"/>
              </w:rPr>
              <w:t>。</w:t>
            </w:r>
          </w:p>
          <w:p w14:paraId="54CA6F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（2）运营期</w:t>
            </w:r>
          </w:p>
          <w:p w14:paraId="332178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项目实施</w:t>
            </w:r>
            <w:r>
              <w:rPr>
                <w:rFonts w:hint="eastAsia" w:cs="Times New Roman"/>
                <w:color w:val="auto"/>
                <w:sz w:val="24"/>
                <w:szCs w:val="24"/>
                <w:lang w:eastAsia="zh-CN"/>
              </w:rPr>
              <w:t>“</w:t>
            </w:r>
            <w:r>
              <w:rPr>
                <w:rFonts w:hint="eastAsia" w:cs="Times New Roman"/>
                <w:color w:val="auto"/>
                <w:sz w:val="24"/>
                <w:szCs w:val="24"/>
                <w:lang w:val="en-US" w:eastAsia="zh-CN"/>
              </w:rPr>
              <w:t>雨污分流</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生产废水循环使用，不外排</w:t>
            </w:r>
            <w:r>
              <w:rPr>
                <w:rFonts w:hint="eastAsia" w:cs="Times New Roman"/>
                <w:color w:val="auto"/>
                <w:sz w:val="24"/>
                <w:szCs w:val="24"/>
                <w:lang w:val="en-US" w:eastAsia="zh-CN"/>
              </w:rPr>
              <w:t>，</w:t>
            </w:r>
            <w:r>
              <w:rPr>
                <w:sz w:val="24"/>
                <w:szCs w:val="24"/>
              </w:rPr>
              <w:t>项目生产废水回用执行</w:t>
            </w:r>
            <w:r>
              <w:rPr>
                <w:rFonts w:hint="eastAsia"/>
                <w:sz w:val="24"/>
                <w:szCs w:val="24"/>
                <w:lang w:eastAsia="zh-CN"/>
              </w:rPr>
              <w:t>《</w:t>
            </w:r>
            <w:r>
              <w:rPr>
                <w:rFonts w:hint="eastAsia"/>
                <w:sz w:val="24"/>
                <w:szCs w:val="24"/>
              </w:rPr>
              <w:t>铜选矿厂废水回收利用规范</w:t>
            </w:r>
            <w:r>
              <w:rPr>
                <w:rFonts w:hint="eastAsia"/>
                <w:sz w:val="24"/>
                <w:szCs w:val="24"/>
                <w:lang w:eastAsia="zh-CN"/>
              </w:rPr>
              <w:t>》（</w:t>
            </w:r>
            <w:r>
              <w:rPr>
                <w:rFonts w:hint="eastAsia"/>
                <w:sz w:val="24"/>
                <w:szCs w:val="24"/>
                <w:lang w:val="en-US" w:eastAsia="zh-CN"/>
              </w:rPr>
              <w:t>GB/T29773</w:t>
            </w:r>
            <w:r>
              <w:rPr>
                <w:sz w:val="24"/>
                <w:szCs w:val="24"/>
              </w:rPr>
              <w:t>-</w:t>
            </w:r>
            <w:r>
              <w:rPr>
                <w:rFonts w:hint="eastAsia"/>
                <w:sz w:val="24"/>
                <w:szCs w:val="24"/>
                <w:lang w:val="en-US" w:eastAsia="zh-CN"/>
              </w:rPr>
              <w:t>2013</w:t>
            </w:r>
            <w:r>
              <w:rPr>
                <w:rFonts w:hint="eastAsia"/>
                <w:sz w:val="24"/>
                <w:szCs w:val="24"/>
                <w:lang w:eastAsia="zh-CN"/>
              </w:rPr>
              <w:t>）</w:t>
            </w:r>
            <w:r>
              <w:rPr>
                <w:rFonts w:hint="default" w:ascii="Times New Roman" w:hAnsi="Times New Roman" w:eastAsia="宋体" w:cs="Times New Roman"/>
                <w:color w:val="auto"/>
                <w:sz w:val="24"/>
                <w:szCs w:val="24"/>
                <w:lang w:val="en-US" w:eastAsia="zh-CN"/>
              </w:rPr>
              <w:t>；初期雨水依托全厂的初期雨水收集池，收集后作为厂区生产补充水，不外排；</w:t>
            </w:r>
            <w:r>
              <w:rPr>
                <w:rFonts w:hint="eastAsia" w:ascii="Times New Roman" w:hAnsi="Times New Roman" w:eastAsia="宋体" w:cs="Times New Roman"/>
                <w:color w:val="000000"/>
                <w:kern w:val="0"/>
                <w:sz w:val="24"/>
                <w:szCs w:val="24"/>
                <w:lang w:val="en-US" w:eastAsia="zh-CN" w:bidi="ar"/>
              </w:rPr>
              <w:t>生活污水收集后进入生活污水处理站（200m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auto"/>
                <w:sz w:val="24"/>
                <w:szCs w:val="24"/>
                <w:lang w:val="en-US" w:eastAsia="zh-CN"/>
              </w:rPr>
              <w:t>处理达到《城市污水再生利用 城市杂用水水质》（</w:t>
            </w:r>
            <w:r>
              <w:rPr>
                <w:rFonts w:hint="default" w:ascii="Times New Roman" w:hAnsi="Times New Roman" w:eastAsia="宋体" w:cs="Times New Roman"/>
                <w:color w:val="auto"/>
                <w:sz w:val="24"/>
                <w:szCs w:val="24"/>
                <w:lang w:val="en-US" w:eastAsia="zh-CN"/>
              </w:rPr>
              <w:t>GB/T18920-2020</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标准中的绿化和道路清扫水质标准后，回用于厂区绿化及道路</w:t>
            </w:r>
            <w:r>
              <w:rPr>
                <w:rFonts w:hint="eastAsia" w:cs="Times New Roman"/>
                <w:color w:val="auto"/>
                <w:sz w:val="24"/>
                <w:szCs w:val="24"/>
                <w:lang w:val="en-US" w:eastAsia="zh-CN"/>
              </w:rPr>
              <w:t>洒水降尘</w:t>
            </w:r>
            <w:r>
              <w:rPr>
                <w:rFonts w:hint="eastAsia" w:ascii="Times New Roman" w:hAnsi="Times New Roman" w:eastAsia="宋体" w:cs="Times New Roman"/>
                <w:color w:val="auto"/>
                <w:sz w:val="24"/>
                <w:szCs w:val="24"/>
                <w:lang w:val="en-US" w:eastAsia="zh-CN"/>
              </w:rPr>
              <w:t>。标准详见下表。</w:t>
            </w:r>
          </w:p>
          <w:p w14:paraId="52587D4C">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 xml:space="preserve">表3-11 </w:t>
            </w:r>
            <w:r>
              <w:rPr>
                <w:rFonts w:hint="eastAsia" w:ascii="黑体" w:hAnsi="黑体" w:eastAsia="黑体" w:cs="黑体"/>
                <w:b w:val="0"/>
                <w:bCs w:val="0"/>
                <w:color w:val="auto"/>
                <w:sz w:val="21"/>
                <w:szCs w:val="21"/>
                <w:lang w:eastAsia="zh-CN"/>
              </w:rPr>
              <w:t>《</w:t>
            </w:r>
            <w:r>
              <w:rPr>
                <w:rFonts w:hint="eastAsia" w:ascii="黑体" w:hAnsi="黑体" w:eastAsia="黑体" w:cs="黑体"/>
                <w:b w:val="0"/>
                <w:bCs w:val="0"/>
                <w:color w:val="auto"/>
                <w:sz w:val="21"/>
                <w:szCs w:val="21"/>
              </w:rPr>
              <w:t>铜选矿厂废水回收利用规范</w:t>
            </w:r>
            <w:r>
              <w:rPr>
                <w:rFonts w:hint="eastAsia" w:ascii="黑体" w:hAnsi="黑体" w:eastAsia="黑体" w:cs="黑体"/>
                <w:b w:val="0"/>
                <w:bCs w:val="0"/>
                <w:color w:val="auto"/>
                <w:sz w:val="21"/>
                <w:szCs w:val="21"/>
                <w:lang w:eastAsia="zh-CN"/>
              </w:rPr>
              <w:t>》</w:t>
            </w:r>
            <w:r>
              <w:rPr>
                <w:rFonts w:hint="eastAsia" w:ascii="黑体" w:hAnsi="黑体" w:eastAsia="黑体" w:cs="黑体"/>
                <w:b w:val="0"/>
                <w:bCs w:val="0"/>
                <w:color w:val="auto"/>
                <w:sz w:val="21"/>
                <w:szCs w:val="21"/>
                <w:lang w:val="en-US" w:eastAsia="zh-CN"/>
              </w:rPr>
              <w:t>回水水质标准</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2492"/>
              <w:gridCol w:w="3266"/>
            </w:tblGrid>
            <w:tr w14:paraId="287C0F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7" w:type="pct"/>
                  <w:gridSpan w:val="2"/>
                  <w:tcBorders>
                    <w:tl2br w:val="nil"/>
                    <w:tr2bl w:val="nil"/>
                  </w:tcBorders>
                  <w:noWrap w:val="0"/>
                  <w:vAlign w:val="center"/>
                </w:tcPr>
                <w:p w14:paraId="296D92F1">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控制项目</w:t>
                  </w:r>
                </w:p>
              </w:tc>
              <w:tc>
                <w:tcPr>
                  <w:tcW w:w="2142" w:type="pct"/>
                  <w:vMerge w:val="restart"/>
                  <w:tcBorders>
                    <w:tl2br w:val="nil"/>
                    <w:tr2bl w:val="nil"/>
                  </w:tcBorders>
                  <w:noWrap w:val="0"/>
                  <w:vAlign w:val="center"/>
                </w:tcPr>
                <w:p w14:paraId="4B2F86B1">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工艺用水</w:t>
                  </w:r>
                </w:p>
              </w:tc>
            </w:tr>
            <w:tr w14:paraId="1CD3A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2" w:type="pct"/>
                  <w:tcBorders>
                    <w:tl2br w:val="nil"/>
                    <w:tr2bl w:val="nil"/>
                  </w:tcBorders>
                  <w:noWrap w:val="0"/>
                  <w:vAlign w:val="center"/>
                </w:tcPr>
                <w:p w14:paraId="3239C28D">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指标</w:t>
                  </w:r>
                </w:p>
              </w:tc>
              <w:tc>
                <w:tcPr>
                  <w:tcW w:w="1634" w:type="pct"/>
                  <w:tcBorders>
                    <w:tl2br w:val="nil"/>
                    <w:tr2bl w:val="nil"/>
                  </w:tcBorders>
                  <w:noWrap w:val="0"/>
                  <w:vAlign w:val="center"/>
                </w:tcPr>
                <w:p w14:paraId="38B183C4">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单位</w:t>
                  </w:r>
                </w:p>
              </w:tc>
              <w:tc>
                <w:tcPr>
                  <w:tcW w:w="2142" w:type="pct"/>
                  <w:vMerge w:val="continue"/>
                  <w:tcBorders>
                    <w:tl2br w:val="nil"/>
                    <w:tr2bl w:val="nil"/>
                  </w:tcBorders>
                  <w:noWrap w:val="0"/>
                  <w:vAlign w:val="center"/>
                </w:tcPr>
                <w:p w14:paraId="30F9C6D0">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p>
              </w:tc>
            </w:tr>
            <w:tr w14:paraId="4491FC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2593F7C3">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b w:val="0"/>
                      <w:bCs/>
                      <w:color w:val="auto"/>
                      <w:sz w:val="18"/>
                      <w:szCs w:val="18"/>
                    </w:rPr>
                    <w:t>pH</w:t>
                  </w:r>
                </w:p>
              </w:tc>
              <w:tc>
                <w:tcPr>
                  <w:tcW w:w="1634" w:type="pct"/>
                  <w:tcBorders>
                    <w:tl2br w:val="nil"/>
                    <w:tr2bl w:val="nil"/>
                  </w:tcBorders>
                  <w:noWrap w:val="0"/>
                  <w:vAlign w:val="center"/>
                </w:tcPr>
                <w:p w14:paraId="2F1FDA78">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无量纲</w:t>
                  </w:r>
                </w:p>
              </w:tc>
              <w:tc>
                <w:tcPr>
                  <w:tcW w:w="2142" w:type="pct"/>
                  <w:tcBorders>
                    <w:tl2br w:val="nil"/>
                    <w:tr2bl w:val="nil"/>
                  </w:tcBorders>
                  <w:noWrap w:val="0"/>
                  <w:vAlign w:val="center"/>
                </w:tcPr>
                <w:p w14:paraId="7CFFF902">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宋体" w:cs="Times New Roman"/>
                      <w:color w:val="auto"/>
                      <w:kern w:val="2"/>
                      <w:sz w:val="18"/>
                      <w:szCs w:val="18"/>
                      <w:vertAlign w:val="baseline"/>
                      <w:lang w:val="en-US" w:eastAsia="zh-CN" w:bidi="ar-SA"/>
                    </w:rPr>
                    <w:t>6-9</w:t>
                  </w:r>
                </w:p>
              </w:tc>
            </w:tr>
            <w:tr w14:paraId="1AF1AF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12D8F202">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悬浮物</w:t>
                  </w:r>
                </w:p>
              </w:tc>
              <w:tc>
                <w:tcPr>
                  <w:tcW w:w="1634" w:type="pct"/>
                  <w:tcBorders>
                    <w:tl2br w:val="nil"/>
                    <w:tr2bl w:val="nil"/>
                  </w:tcBorders>
                  <w:noWrap w:val="0"/>
                  <w:vAlign w:val="center"/>
                </w:tcPr>
                <w:p w14:paraId="6AD2A98A">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2A03B91F">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≤30</w:t>
                  </w:r>
                  <w:r>
                    <w:rPr>
                      <w:rFonts w:hint="eastAsia" w:ascii="Times New Roman" w:hAnsi="Times New Roman" w:eastAsia="宋体" w:cs="Times New Roman"/>
                      <w:color w:val="auto"/>
                      <w:kern w:val="2"/>
                      <w:sz w:val="18"/>
                      <w:szCs w:val="18"/>
                      <w:vertAlign w:val="baseline"/>
                      <w:lang w:val="en-US" w:eastAsia="zh-CN" w:bidi="ar-SA"/>
                    </w:rPr>
                    <w:t>0</w:t>
                  </w:r>
                </w:p>
              </w:tc>
            </w:tr>
            <w:tr w14:paraId="075833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1222" w:type="pct"/>
                  <w:tcBorders>
                    <w:tl2br w:val="nil"/>
                    <w:tr2bl w:val="nil"/>
                  </w:tcBorders>
                  <w:noWrap w:val="0"/>
                  <w:vAlign w:val="center"/>
                </w:tcPr>
                <w:p w14:paraId="6F05D4A6">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总硬度</w:t>
                  </w:r>
                </w:p>
              </w:tc>
              <w:tc>
                <w:tcPr>
                  <w:tcW w:w="1634" w:type="pct"/>
                  <w:tcBorders>
                    <w:tl2br w:val="nil"/>
                    <w:tr2bl w:val="nil"/>
                  </w:tcBorders>
                  <w:noWrap w:val="0"/>
                  <w:vAlign w:val="center"/>
                </w:tcPr>
                <w:p w14:paraId="7B4C159E">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0C1D809F">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450</w:t>
                  </w:r>
                </w:p>
              </w:tc>
            </w:tr>
            <w:tr w14:paraId="2E0E31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1399314D">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氨氮（以氮计）</w:t>
                  </w:r>
                </w:p>
              </w:tc>
              <w:tc>
                <w:tcPr>
                  <w:tcW w:w="1634" w:type="pct"/>
                  <w:tcBorders>
                    <w:tl2br w:val="nil"/>
                    <w:tr2bl w:val="nil"/>
                  </w:tcBorders>
                  <w:noWrap w:val="0"/>
                  <w:vAlign w:val="center"/>
                </w:tcPr>
                <w:p w14:paraId="28C446FB">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174CB718">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25</w:t>
                  </w:r>
                </w:p>
              </w:tc>
            </w:tr>
            <w:tr w14:paraId="2C830F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222B97CE">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石油类</w:t>
                  </w:r>
                </w:p>
              </w:tc>
              <w:tc>
                <w:tcPr>
                  <w:tcW w:w="1634" w:type="pct"/>
                  <w:tcBorders>
                    <w:tl2br w:val="nil"/>
                    <w:tr2bl w:val="nil"/>
                  </w:tcBorders>
                  <w:noWrap w:val="0"/>
                  <w:vAlign w:val="center"/>
                </w:tcPr>
                <w:p w14:paraId="7F0E93CE">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50A96435">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10</w:t>
                  </w:r>
                </w:p>
              </w:tc>
            </w:tr>
            <w:tr w14:paraId="79DA05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19CDF605">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氰化物</w:t>
                  </w:r>
                </w:p>
              </w:tc>
              <w:tc>
                <w:tcPr>
                  <w:tcW w:w="1634" w:type="pct"/>
                  <w:tcBorders>
                    <w:tl2br w:val="nil"/>
                    <w:tr2bl w:val="nil"/>
                  </w:tcBorders>
                  <w:noWrap w:val="0"/>
                  <w:vAlign w:val="center"/>
                </w:tcPr>
                <w:p w14:paraId="3FDBA847">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4AA56C75">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0.5</w:t>
                  </w:r>
                </w:p>
              </w:tc>
            </w:tr>
            <w:tr w14:paraId="7664E6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0E83A3A1">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Cu</w:t>
                  </w:r>
                </w:p>
              </w:tc>
              <w:tc>
                <w:tcPr>
                  <w:tcW w:w="1634" w:type="pct"/>
                  <w:tcBorders>
                    <w:tl2br w:val="nil"/>
                    <w:tr2bl w:val="nil"/>
                  </w:tcBorders>
                  <w:noWrap w:val="0"/>
                  <w:vAlign w:val="center"/>
                </w:tcPr>
                <w:p w14:paraId="5BB90C1E">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3622B5F9">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1.0</w:t>
                  </w:r>
                </w:p>
              </w:tc>
            </w:tr>
            <w:tr w14:paraId="5CC508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3D73D8BF">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Pb</w:t>
                  </w:r>
                </w:p>
              </w:tc>
              <w:tc>
                <w:tcPr>
                  <w:tcW w:w="1634" w:type="pct"/>
                  <w:tcBorders>
                    <w:tl2br w:val="nil"/>
                    <w:tr2bl w:val="nil"/>
                  </w:tcBorders>
                  <w:noWrap w:val="0"/>
                  <w:vAlign w:val="center"/>
                </w:tcPr>
                <w:p w14:paraId="6E46ED31">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35E29C58">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1.0</w:t>
                  </w:r>
                </w:p>
              </w:tc>
            </w:tr>
            <w:tr w14:paraId="24FF7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5CE1D17A">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Cd</w:t>
                  </w:r>
                </w:p>
              </w:tc>
              <w:tc>
                <w:tcPr>
                  <w:tcW w:w="1634" w:type="pct"/>
                  <w:tcBorders>
                    <w:tl2br w:val="nil"/>
                    <w:tr2bl w:val="nil"/>
                  </w:tcBorders>
                  <w:noWrap w:val="0"/>
                  <w:vAlign w:val="center"/>
                </w:tcPr>
                <w:p w14:paraId="5F4B104D">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4535C251">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0.1</w:t>
                  </w:r>
                </w:p>
              </w:tc>
            </w:tr>
            <w:tr w14:paraId="749995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34F9594A">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As</w:t>
                  </w:r>
                </w:p>
              </w:tc>
              <w:tc>
                <w:tcPr>
                  <w:tcW w:w="1634" w:type="pct"/>
                  <w:tcBorders>
                    <w:tl2br w:val="nil"/>
                    <w:tr2bl w:val="nil"/>
                  </w:tcBorders>
                  <w:noWrap w:val="0"/>
                  <w:vAlign w:val="center"/>
                </w:tcPr>
                <w:p w14:paraId="0F7C76B8">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2FEC956E">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0.5</w:t>
                  </w:r>
                </w:p>
              </w:tc>
            </w:tr>
            <w:tr w14:paraId="56B1D2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519CDC92">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Hg</w:t>
                  </w:r>
                </w:p>
              </w:tc>
              <w:tc>
                <w:tcPr>
                  <w:tcW w:w="1634" w:type="pct"/>
                  <w:tcBorders>
                    <w:tl2br w:val="nil"/>
                    <w:tr2bl w:val="nil"/>
                  </w:tcBorders>
                  <w:noWrap w:val="0"/>
                  <w:vAlign w:val="center"/>
                </w:tcPr>
                <w:p w14:paraId="417F184A">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4D5B01F4">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0.05</w:t>
                  </w:r>
                </w:p>
              </w:tc>
            </w:tr>
          </w:tbl>
          <w:p w14:paraId="08796D49">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黑体" w:hAnsi="黑体" w:eastAsia="黑体" w:cs="黑体"/>
                <w:b w:val="0"/>
                <w:bCs w:val="0"/>
                <w:color w:val="auto"/>
                <w:sz w:val="21"/>
                <w:szCs w:val="21"/>
                <w:lang w:val="en-US"/>
              </w:rPr>
            </w:pPr>
            <w:r>
              <w:rPr>
                <w:rFonts w:hint="eastAsia" w:ascii="黑体" w:hAnsi="黑体" w:eastAsia="黑体" w:cs="黑体"/>
                <w:b w:val="0"/>
                <w:bCs w:val="0"/>
                <w:color w:val="auto"/>
                <w:sz w:val="21"/>
                <w:szCs w:val="21"/>
              </w:rPr>
              <w:t>表3-</w:t>
            </w:r>
            <w:r>
              <w:rPr>
                <w:rFonts w:hint="eastAsia" w:ascii="黑体" w:hAnsi="黑体" w:eastAsia="黑体" w:cs="黑体"/>
                <w:b w:val="0"/>
                <w:bCs w:val="0"/>
                <w:color w:val="auto"/>
                <w:sz w:val="21"/>
                <w:szCs w:val="21"/>
                <w:lang w:val="en-US" w:eastAsia="zh-CN"/>
              </w:rPr>
              <w:t>12   城市污水再生利用城市杂用水水质标准</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2492"/>
              <w:gridCol w:w="3266"/>
            </w:tblGrid>
            <w:tr w14:paraId="33FBD3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7" w:type="pct"/>
                  <w:gridSpan w:val="2"/>
                  <w:tcBorders>
                    <w:tl2br w:val="nil"/>
                    <w:tr2bl w:val="nil"/>
                  </w:tcBorders>
                  <w:noWrap w:val="0"/>
                  <w:vAlign w:val="center"/>
                </w:tcPr>
                <w:p w14:paraId="7CD1F142">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控制项目</w:t>
                  </w:r>
                </w:p>
              </w:tc>
              <w:tc>
                <w:tcPr>
                  <w:tcW w:w="2142" w:type="pct"/>
                  <w:vMerge w:val="restart"/>
                  <w:tcBorders>
                    <w:tl2br w:val="nil"/>
                    <w:tr2bl w:val="nil"/>
                  </w:tcBorders>
                  <w:noWrap w:val="0"/>
                  <w:vAlign w:val="center"/>
                </w:tcPr>
                <w:p w14:paraId="64267259">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城市绿化、道路清扫、消防、建筑施工</w:t>
                  </w:r>
                </w:p>
              </w:tc>
            </w:tr>
            <w:tr w14:paraId="57937F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2" w:type="pct"/>
                  <w:tcBorders>
                    <w:tl2br w:val="nil"/>
                    <w:tr2bl w:val="nil"/>
                  </w:tcBorders>
                  <w:noWrap w:val="0"/>
                  <w:vAlign w:val="center"/>
                </w:tcPr>
                <w:p w14:paraId="0C4E8AE0">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指标</w:t>
                  </w:r>
                </w:p>
              </w:tc>
              <w:tc>
                <w:tcPr>
                  <w:tcW w:w="1634" w:type="pct"/>
                  <w:tcBorders>
                    <w:tl2br w:val="nil"/>
                    <w:tr2bl w:val="nil"/>
                  </w:tcBorders>
                  <w:noWrap w:val="0"/>
                  <w:vAlign w:val="center"/>
                </w:tcPr>
                <w:p w14:paraId="56DD59D5">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单位</w:t>
                  </w:r>
                </w:p>
              </w:tc>
              <w:tc>
                <w:tcPr>
                  <w:tcW w:w="2142" w:type="pct"/>
                  <w:vMerge w:val="continue"/>
                  <w:tcBorders>
                    <w:tl2br w:val="nil"/>
                    <w:tr2bl w:val="nil"/>
                  </w:tcBorders>
                  <w:noWrap w:val="0"/>
                  <w:vAlign w:val="center"/>
                </w:tcPr>
                <w:p w14:paraId="6BCA99D6">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p>
              </w:tc>
            </w:tr>
            <w:tr w14:paraId="5EEB98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08C2E700">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b w:val="0"/>
                      <w:bCs/>
                      <w:color w:val="auto"/>
                      <w:sz w:val="18"/>
                      <w:szCs w:val="18"/>
                    </w:rPr>
                    <w:t>pH</w:t>
                  </w:r>
                </w:p>
              </w:tc>
              <w:tc>
                <w:tcPr>
                  <w:tcW w:w="1634" w:type="pct"/>
                  <w:tcBorders>
                    <w:tl2br w:val="nil"/>
                    <w:tr2bl w:val="nil"/>
                  </w:tcBorders>
                  <w:noWrap w:val="0"/>
                  <w:vAlign w:val="center"/>
                </w:tcPr>
                <w:p w14:paraId="357609A4">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无量纲</w:t>
                  </w:r>
                </w:p>
              </w:tc>
              <w:tc>
                <w:tcPr>
                  <w:tcW w:w="2142" w:type="pct"/>
                  <w:tcBorders>
                    <w:tl2br w:val="nil"/>
                    <w:tr2bl w:val="nil"/>
                  </w:tcBorders>
                  <w:noWrap w:val="0"/>
                  <w:vAlign w:val="center"/>
                </w:tcPr>
                <w:p w14:paraId="7CCA2F65">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宋体" w:cs="Times New Roman"/>
                      <w:color w:val="auto"/>
                      <w:kern w:val="2"/>
                      <w:sz w:val="18"/>
                      <w:szCs w:val="18"/>
                      <w:vertAlign w:val="baseline"/>
                      <w:lang w:val="en-US" w:eastAsia="zh-CN" w:bidi="ar-SA"/>
                    </w:rPr>
                    <w:t>6-9</w:t>
                  </w:r>
                </w:p>
              </w:tc>
            </w:tr>
            <w:tr w14:paraId="4BA4AA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5E474DDF">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色度</w:t>
                  </w:r>
                </w:p>
              </w:tc>
              <w:tc>
                <w:tcPr>
                  <w:tcW w:w="1634" w:type="pct"/>
                  <w:tcBorders>
                    <w:tl2br w:val="nil"/>
                    <w:tr2bl w:val="nil"/>
                  </w:tcBorders>
                  <w:noWrap w:val="0"/>
                  <w:vAlign w:val="center"/>
                </w:tcPr>
                <w:p w14:paraId="55D547B4">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b w:val="0"/>
                      <w:bCs/>
                      <w:color w:val="auto"/>
                      <w:sz w:val="18"/>
                      <w:szCs w:val="18"/>
                      <w:lang w:val="en-US" w:eastAsia="zh-CN"/>
                    </w:rPr>
                    <w:t>铂钴色度单位</w:t>
                  </w:r>
                </w:p>
              </w:tc>
              <w:tc>
                <w:tcPr>
                  <w:tcW w:w="2142" w:type="pct"/>
                  <w:tcBorders>
                    <w:tl2br w:val="nil"/>
                    <w:tr2bl w:val="nil"/>
                  </w:tcBorders>
                  <w:noWrap w:val="0"/>
                  <w:vAlign w:val="center"/>
                </w:tcPr>
                <w:p w14:paraId="285AD00C">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≤30</w:t>
                  </w:r>
                </w:p>
              </w:tc>
            </w:tr>
            <w:tr w14:paraId="1CFF96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6D746837">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嗅</w:t>
                  </w:r>
                </w:p>
              </w:tc>
              <w:tc>
                <w:tcPr>
                  <w:tcW w:w="1634" w:type="pct"/>
                  <w:tcBorders>
                    <w:tl2br w:val="nil"/>
                    <w:tr2bl w:val="nil"/>
                  </w:tcBorders>
                  <w:noWrap w:val="0"/>
                  <w:vAlign w:val="center"/>
                </w:tcPr>
                <w:p w14:paraId="3313999F">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w:t>
                  </w:r>
                </w:p>
              </w:tc>
              <w:tc>
                <w:tcPr>
                  <w:tcW w:w="2142" w:type="pct"/>
                  <w:tcBorders>
                    <w:tl2br w:val="nil"/>
                    <w:tr2bl w:val="nil"/>
                  </w:tcBorders>
                  <w:noWrap w:val="0"/>
                  <w:vAlign w:val="center"/>
                </w:tcPr>
                <w:p w14:paraId="09BFB7CA">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宋体" w:cs="Times New Roman"/>
                      <w:color w:val="auto"/>
                      <w:kern w:val="2"/>
                      <w:sz w:val="18"/>
                      <w:szCs w:val="18"/>
                      <w:vertAlign w:val="baseline"/>
                      <w:lang w:val="en-US" w:eastAsia="zh-CN" w:bidi="ar-SA"/>
                    </w:rPr>
                    <w:t>无不快感</w:t>
                  </w:r>
                </w:p>
              </w:tc>
            </w:tr>
            <w:tr w14:paraId="33B9FA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47B93D46">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浊度</w:t>
                  </w:r>
                </w:p>
              </w:tc>
              <w:tc>
                <w:tcPr>
                  <w:tcW w:w="1634" w:type="pct"/>
                  <w:tcBorders>
                    <w:tl2br w:val="nil"/>
                    <w:tr2bl w:val="nil"/>
                  </w:tcBorders>
                  <w:noWrap w:val="0"/>
                  <w:vAlign w:val="center"/>
                </w:tcPr>
                <w:p w14:paraId="76D0E28C">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NTU</w:t>
                  </w:r>
                </w:p>
              </w:tc>
              <w:tc>
                <w:tcPr>
                  <w:tcW w:w="2142" w:type="pct"/>
                  <w:tcBorders>
                    <w:tl2br w:val="nil"/>
                    <w:tr2bl w:val="nil"/>
                  </w:tcBorders>
                  <w:noWrap w:val="0"/>
                  <w:vAlign w:val="center"/>
                </w:tcPr>
                <w:p w14:paraId="56F944AE">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10</w:t>
                  </w:r>
                </w:p>
              </w:tc>
            </w:tr>
            <w:tr w14:paraId="7F47C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66A50112">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BOD</w:t>
                  </w:r>
                  <w:r>
                    <w:rPr>
                      <w:rFonts w:hint="eastAsia" w:ascii="Times New Roman" w:hAnsi="Times New Roman" w:eastAsia="宋体" w:cs="Times New Roman"/>
                      <w:b w:val="0"/>
                      <w:bCs/>
                      <w:color w:val="auto"/>
                      <w:sz w:val="18"/>
                      <w:szCs w:val="18"/>
                      <w:vertAlign w:val="subscript"/>
                      <w:lang w:val="en-US" w:eastAsia="zh-CN"/>
                    </w:rPr>
                    <w:t>5</w:t>
                  </w:r>
                </w:p>
              </w:tc>
              <w:tc>
                <w:tcPr>
                  <w:tcW w:w="1634" w:type="pct"/>
                  <w:tcBorders>
                    <w:tl2br w:val="nil"/>
                    <w:tr2bl w:val="nil"/>
                  </w:tcBorders>
                  <w:noWrap w:val="0"/>
                  <w:vAlign w:val="center"/>
                </w:tcPr>
                <w:p w14:paraId="35B1BEEA">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6D093043">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10</w:t>
                  </w:r>
                </w:p>
              </w:tc>
            </w:tr>
            <w:tr w14:paraId="2AC784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5FD6B961">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b w:val="0"/>
                      <w:bCs/>
                      <w:color w:val="auto"/>
                      <w:sz w:val="18"/>
                      <w:szCs w:val="18"/>
                    </w:rPr>
                    <w:t>NH</w:t>
                  </w:r>
                  <w:r>
                    <w:rPr>
                      <w:rFonts w:hint="default" w:ascii="Times New Roman" w:hAnsi="Times New Roman" w:eastAsia="宋体" w:cs="Times New Roman"/>
                      <w:b w:val="0"/>
                      <w:bCs/>
                      <w:color w:val="auto"/>
                      <w:sz w:val="18"/>
                      <w:szCs w:val="18"/>
                      <w:vertAlign w:val="subscript"/>
                    </w:rPr>
                    <w:t>3</w:t>
                  </w:r>
                  <w:r>
                    <w:rPr>
                      <w:rFonts w:hint="default" w:ascii="Times New Roman" w:hAnsi="Times New Roman" w:eastAsia="宋体" w:cs="Times New Roman"/>
                      <w:b w:val="0"/>
                      <w:bCs/>
                      <w:color w:val="auto"/>
                      <w:sz w:val="18"/>
                      <w:szCs w:val="18"/>
                    </w:rPr>
                    <w:t>-N</w:t>
                  </w:r>
                </w:p>
              </w:tc>
              <w:tc>
                <w:tcPr>
                  <w:tcW w:w="1634" w:type="pct"/>
                  <w:tcBorders>
                    <w:tl2br w:val="nil"/>
                    <w:tr2bl w:val="nil"/>
                  </w:tcBorders>
                  <w:noWrap w:val="0"/>
                  <w:vAlign w:val="center"/>
                </w:tcPr>
                <w:p w14:paraId="6BC6D407">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28E9AFD0">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8</w:t>
                  </w:r>
                </w:p>
              </w:tc>
            </w:tr>
            <w:tr w14:paraId="20F2E9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4C17226F">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b w:val="0"/>
                      <w:bCs/>
                      <w:color w:val="auto"/>
                      <w:sz w:val="18"/>
                      <w:szCs w:val="18"/>
                      <w:lang w:val="en-US" w:eastAsia="zh-CN"/>
                    </w:rPr>
                    <w:t>阴离子表面活性剂</w:t>
                  </w:r>
                </w:p>
              </w:tc>
              <w:tc>
                <w:tcPr>
                  <w:tcW w:w="1634" w:type="pct"/>
                  <w:tcBorders>
                    <w:tl2br w:val="nil"/>
                    <w:tr2bl w:val="nil"/>
                  </w:tcBorders>
                  <w:noWrap w:val="0"/>
                  <w:vAlign w:val="center"/>
                </w:tcPr>
                <w:p w14:paraId="0F1BBC2F">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552E8324">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0.5</w:t>
                  </w:r>
                </w:p>
              </w:tc>
            </w:tr>
            <w:tr w14:paraId="35AB5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2C1D5341">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铁</w:t>
                  </w:r>
                </w:p>
              </w:tc>
              <w:tc>
                <w:tcPr>
                  <w:tcW w:w="1634" w:type="pct"/>
                  <w:tcBorders>
                    <w:tl2br w:val="nil"/>
                    <w:tr2bl w:val="nil"/>
                  </w:tcBorders>
                  <w:noWrap w:val="0"/>
                  <w:vAlign w:val="center"/>
                </w:tcPr>
                <w:p w14:paraId="18EC6B98">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20B52874">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宋体" w:cs="Times New Roman"/>
                      <w:color w:val="auto"/>
                      <w:kern w:val="2"/>
                      <w:sz w:val="18"/>
                      <w:szCs w:val="18"/>
                      <w:vertAlign w:val="baseline"/>
                      <w:lang w:val="en-US" w:eastAsia="zh-CN" w:bidi="ar-SA"/>
                    </w:rPr>
                    <w:t>—</w:t>
                  </w:r>
                </w:p>
              </w:tc>
            </w:tr>
            <w:tr w14:paraId="3DF036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4DF1DEBE">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猛</w:t>
                  </w:r>
                </w:p>
              </w:tc>
              <w:tc>
                <w:tcPr>
                  <w:tcW w:w="1634" w:type="pct"/>
                  <w:tcBorders>
                    <w:tl2br w:val="nil"/>
                    <w:tr2bl w:val="nil"/>
                  </w:tcBorders>
                  <w:noWrap w:val="0"/>
                  <w:vAlign w:val="center"/>
                </w:tcPr>
                <w:p w14:paraId="4437EBB3">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0CA7A229">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宋体" w:cs="Times New Roman"/>
                      <w:color w:val="auto"/>
                      <w:kern w:val="2"/>
                      <w:sz w:val="18"/>
                      <w:szCs w:val="18"/>
                      <w:vertAlign w:val="baseline"/>
                      <w:lang w:val="en-US" w:eastAsia="zh-CN" w:bidi="ar-SA"/>
                    </w:rPr>
                    <w:t>—</w:t>
                  </w:r>
                </w:p>
              </w:tc>
            </w:tr>
            <w:tr w14:paraId="3710B4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5C49D804">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溶解性总固体</w:t>
                  </w:r>
                </w:p>
              </w:tc>
              <w:tc>
                <w:tcPr>
                  <w:tcW w:w="1634" w:type="pct"/>
                  <w:tcBorders>
                    <w:tl2br w:val="nil"/>
                    <w:tr2bl w:val="nil"/>
                  </w:tcBorders>
                  <w:noWrap w:val="0"/>
                  <w:vAlign w:val="center"/>
                </w:tcPr>
                <w:p w14:paraId="4C443993">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4E804956">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1000（2000）</w:t>
                  </w:r>
                  <w:r>
                    <w:rPr>
                      <w:rFonts w:hint="eastAsia" w:ascii="Times New Roman" w:hAnsi="Times New Roman" w:eastAsia="宋体" w:cs="Times New Roman"/>
                      <w:color w:val="auto"/>
                      <w:kern w:val="2"/>
                      <w:sz w:val="18"/>
                      <w:szCs w:val="18"/>
                      <w:vertAlign w:val="superscript"/>
                      <w:lang w:val="en-US" w:eastAsia="zh-CN" w:bidi="ar-SA"/>
                    </w:rPr>
                    <w:t>a</w:t>
                  </w:r>
                </w:p>
              </w:tc>
            </w:tr>
            <w:tr w14:paraId="639EAC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7A28B369">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溶解氧</w:t>
                  </w:r>
                </w:p>
              </w:tc>
              <w:tc>
                <w:tcPr>
                  <w:tcW w:w="1634" w:type="pct"/>
                  <w:tcBorders>
                    <w:tl2br w:val="nil"/>
                    <w:tr2bl w:val="nil"/>
                  </w:tcBorders>
                  <w:noWrap w:val="0"/>
                  <w:vAlign w:val="center"/>
                </w:tcPr>
                <w:p w14:paraId="7E286064">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6039A4E1">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2"/>
                      <w:sz w:val="18"/>
                      <w:szCs w:val="18"/>
                      <w:vertAlign w:val="baseline"/>
                      <w:lang w:val="en-US" w:eastAsia="zh-CN" w:bidi="ar-SA"/>
                    </w:rPr>
                    <w:t>≥</w:t>
                  </w:r>
                  <w:r>
                    <w:rPr>
                      <w:rFonts w:hint="eastAsia" w:ascii="Times New Roman" w:hAnsi="Times New Roman" w:eastAsia="宋体" w:cs="Times New Roman"/>
                      <w:color w:val="auto"/>
                      <w:kern w:val="2"/>
                      <w:sz w:val="18"/>
                      <w:szCs w:val="18"/>
                      <w:vertAlign w:val="baseline"/>
                      <w:lang w:val="en-US" w:eastAsia="zh-CN" w:bidi="ar-SA"/>
                    </w:rPr>
                    <w:t>2.0</w:t>
                  </w:r>
                </w:p>
              </w:tc>
            </w:tr>
            <w:tr w14:paraId="691B81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22" w:type="pct"/>
                  <w:tcBorders>
                    <w:tl2br w:val="nil"/>
                    <w:tr2bl w:val="nil"/>
                  </w:tcBorders>
                  <w:noWrap w:val="0"/>
                  <w:vAlign w:val="center"/>
                </w:tcPr>
                <w:p w14:paraId="662377B1">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总氯</w:t>
                  </w:r>
                </w:p>
              </w:tc>
              <w:tc>
                <w:tcPr>
                  <w:tcW w:w="1634" w:type="pct"/>
                  <w:tcBorders>
                    <w:tl2br w:val="nil"/>
                    <w:tr2bl w:val="nil"/>
                  </w:tcBorders>
                  <w:noWrap w:val="0"/>
                  <w:vAlign w:val="center"/>
                </w:tcPr>
                <w:p w14:paraId="6BD9E62A">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lang w:val="en-US" w:eastAsia="zh-CN"/>
                    </w:rPr>
                    <w:t>mg/L</w:t>
                  </w:r>
                </w:p>
              </w:tc>
              <w:tc>
                <w:tcPr>
                  <w:tcW w:w="2142" w:type="pct"/>
                  <w:tcBorders>
                    <w:tl2br w:val="nil"/>
                    <w:tr2bl w:val="nil"/>
                  </w:tcBorders>
                  <w:noWrap w:val="0"/>
                  <w:vAlign w:val="center"/>
                </w:tcPr>
                <w:p w14:paraId="134791EE">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2"/>
                      <w:sz w:val="18"/>
                      <w:szCs w:val="18"/>
                      <w:vertAlign w:val="baseline"/>
                      <w:lang w:val="en-US" w:eastAsia="zh-CN" w:bidi="ar-SA"/>
                    </w:rPr>
                    <w:t>≥1.0</w:t>
                  </w:r>
                  <w:r>
                    <w:rPr>
                      <w:rFonts w:hint="eastAsia" w:ascii="Times New Roman" w:hAnsi="Times New Roman" w:eastAsia="宋体" w:cs="Times New Roman"/>
                      <w:color w:val="auto"/>
                      <w:kern w:val="2"/>
                      <w:sz w:val="18"/>
                      <w:szCs w:val="18"/>
                      <w:vertAlign w:val="baseline"/>
                      <w:lang w:val="en-US" w:eastAsia="zh-CN" w:bidi="ar-SA"/>
                    </w:rPr>
                    <w:t>（出厂），</w:t>
                  </w:r>
                  <w:r>
                    <w:rPr>
                      <w:rFonts w:hint="default" w:ascii="Times New Roman" w:hAnsi="Times New Roman" w:eastAsia="宋体" w:cs="Times New Roman"/>
                      <w:color w:val="auto"/>
                      <w:kern w:val="2"/>
                      <w:sz w:val="18"/>
                      <w:szCs w:val="18"/>
                      <w:vertAlign w:val="baseline"/>
                      <w:lang w:val="en-US" w:eastAsia="zh-CN" w:bidi="ar-SA"/>
                    </w:rPr>
                    <w:t>0.2</w:t>
                  </w:r>
                  <w:r>
                    <w:rPr>
                      <w:rFonts w:hint="default" w:ascii="Times New Roman" w:hAnsi="Times New Roman" w:eastAsia="宋体" w:cs="Times New Roman"/>
                      <w:color w:val="auto"/>
                      <w:kern w:val="2"/>
                      <w:sz w:val="18"/>
                      <w:szCs w:val="18"/>
                      <w:vertAlign w:val="superscript"/>
                      <w:lang w:val="en-US" w:eastAsia="zh-CN" w:bidi="ar-SA"/>
                    </w:rPr>
                    <w:t>b</w:t>
                  </w:r>
                  <w:r>
                    <w:rPr>
                      <w:rFonts w:hint="eastAsia" w:ascii="Times New Roman" w:hAnsi="Times New Roman" w:eastAsia="宋体" w:cs="Times New Roman"/>
                      <w:color w:val="auto"/>
                      <w:kern w:val="2"/>
                      <w:sz w:val="18"/>
                      <w:szCs w:val="18"/>
                      <w:vertAlign w:val="baseline"/>
                      <w:lang w:val="en-US" w:eastAsia="zh-CN" w:bidi="ar-SA"/>
                    </w:rPr>
                    <w:t>（管网末端）</w:t>
                  </w:r>
                </w:p>
              </w:tc>
            </w:tr>
            <w:tr w14:paraId="623016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1222" w:type="pct"/>
                  <w:tcBorders>
                    <w:tl2br w:val="nil"/>
                    <w:tr2bl w:val="nil"/>
                  </w:tcBorders>
                  <w:noWrap w:val="0"/>
                  <w:vAlign w:val="center"/>
                </w:tcPr>
                <w:p w14:paraId="1F0FF5A3">
                  <w:pPr>
                    <w:pStyle w:val="12"/>
                    <w:keepNext w:val="0"/>
                    <w:keepLines w:val="0"/>
                    <w:pageBreakBefore w:val="0"/>
                    <w:widowControl w:val="0"/>
                    <w:kinsoku/>
                    <w:wordWrap/>
                    <w:overflowPunct/>
                    <w:topLinePunct/>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大肠埃希氏菌</w:t>
                  </w:r>
                </w:p>
              </w:tc>
              <w:tc>
                <w:tcPr>
                  <w:tcW w:w="1634" w:type="pct"/>
                  <w:tcBorders>
                    <w:tl2br w:val="nil"/>
                    <w:tr2bl w:val="nil"/>
                  </w:tcBorders>
                  <w:noWrap w:val="0"/>
                  <w:vAlign w:val="center"/>
                </w:tcPr>
                <w:p w14:paraId="2B7540A3">
                  <w:pPr>
                    <w:keepNext w:val="0"/>
                    <w:keepLines w:val="0"/>
                    <w:pageBreakBefore w:val="0"/>
                    <w:widowControl w:val="0"/>
                    <w:kinsoku/>
                    <w:wordWrap/>
                    <w:overflowPunct/>
                    <w:topLinePunct/>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vertAlign w:val="baseline"/>
                      <w:lang w:val="en-US" w:eastAsia="zh-CN"/>
                    </w:rPr>
                    <w:t>MPN/100m</w:t>
                  </w:r>
                  <w:r>
                    <w:rPr>
                      <w:rFonts w:hint="eastAsia" w:ascii="Times New Roman" w:hAnsi="Times New Roman" w:eastAsia="宋体" w:cs="Times New Roman"/>
                      <w:color w:val="auto"/>
                      <w:sz w:val="18"/>
                      <w:szCs w:val="18"/>
                      <w:vertAlign w:val="baseline"/>
                      <w:lang w:val="en-US" w:eastAsia="zh-CN"/>
                    </w:rPr>
                    <w:t>或</w:t>
                  </w:r>
                  <w:r>
                    <w:rPr>
                      <w:rFonts w:hint="default" w:ascii="Times New Roman" w:hAnsi="Times New Roman" w:eastAsia="宋体" w:cs="Times New Roman"/>
                      <w:color w:val="auto"/>
                      <w:sz w:val="18"/>
                      <w:szCs w:val="18"/>
                      <w:vertAlign w:val="baseline"/>
                      <w:lang w:val="en-US" w:eastAsia="zh-CN"/>
                    </w:rPr>
                    <w:t>CFU/100mL</w:t>
                  </w:r>
                </w:p>
              </w:tc>
              <w:tc>
                <w:tcPr>
                  <w:tcW w:w="2142" w:type="pct"/>
                  <w:tcBorders>
                    <w:tl2br w:val="nil"/>
                    <w:tr2bl w:val="nil"/>
                  </w:tcBorders>
                  <w:noWrap w:val="0"/>
                  <w:vAlign w:val="center"/>
                </w:tcPr>
                <w:p w14:paraId="3D8463B0">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宋体" w:cs="Times New Roman"/>
                      <w:color w:val="auto"/>
                      <w:kern w:val="2"/>
                      <w:sz w:val="18"/>
                      <w:szCs w:val="18"/>
                      <w:vertAlign w:val="baseline"/>
                      <w:lang w:val="en-US" w:eastAsia="zh-CN" w:bidi="ar-SA"/>
                    </w:rPr>
                    <w:t>无</w:t>
                  </w:r>
                  <w:r>
                    <w:rPr>
                      <w:rFonts w:hint="default" w:ascii="Times New Roman" w:hAnsi="Times New Roman" w:eastAsia="宋体" w:cs="Times New Roman"/>
                      <w:color w:val="auto"/>
                      <w:kern w:val="2"/>
                      <w:sz w:val="18"/>
                      <w:szCs w:val="18"/>
                      <w:vertAlign w:val="superscript"/>
                      <w:lang w:val="en-US" w:eastAsia="zh-CN" w:bidi="ar-SA"/>
                    </w:rPr>
                    <w:t>c</w:t>
                  </w:r>
                </w:p>
              </w:tc>
            </w:tr>
            <w:tr w14:paraId="6A640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5000" w:type="pct"/>
                  <w:gridSpan w:val="3"/>
                  <w:tcBorders>
                    <w:tl2br w:val="nil"/>
                    <w:tr2bl w:val="nil"/>
                  </w:tcBorders>
                  <w:noWrap w:val="0"/>
                  <w:vAlign w:val="center"/>
                </w:tcPr>
                <w:p w14:paraId="1AC833AD">
                  <w:pPr>
                    <w:keepNext w:val="0"/>
                    <w:keepLines w:val="0"/>
                    <w:widowControl/>
                    <w:suppressLineNumbers w:val="0"/>
                    <w:jc w:val="left"/>
                    <w:rPr>
                      <w:rFonts w:hint="eastAsia" w:ascii="Times New Roman" w:hAnsi="Times New Roman" w:eastAsia="宋体" w:cs="Times New Roman"/>
                      <w:color w:val="auto"/>
                      <w:kern w:val="2"/>
                      <w:sz w:val="18"/>
                      <w:szCs w:val="18"/>
                      <w:vertAlign w:val="baseline"/>
                      <w:lang w:val="en-US" w:eastAsia="zh-CN" w:bidi="ar-SA"/>
                    </w:rPr>
                  </w:pPr>
                  <w:r>
                    <w:rPr>
                      <w:rFonts w:hint="eastAsia" w:ascii="宋体" w:hAnsi="宋体" w:eastAsia="宋体" w:cs="宋体"/>
                      <w:color w:val="000000"/>
                      <w:kern w:val="0"/>
                      <w:sz w:val="20"/>
                      <w:szCs w:val="20"/>
                      <w:lang w:val="en-US" w:eastAsia="zh-CN" w:bidi="ar"/>
                    </w:rPr>
                    <w:t>注：“—”表示对此项无要求。</w:t>
                  </w:r>
                </w:p>
              </w:tc>
            </w:tr>
            <w:tr w14:paraId="69231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7" w:hRule="exact"/>
                <w:jc w:val="center"/>
              </w:trPr>
              <w:tc>
                <w:tcPr>
                  <w:tcW w:w="5000" w:type="pct"/>
                  <w:gridSpan w:val="3"/>
                  <w:tcBorders>
                    <w:tl2br w:val="nil"/>
                    <w:tr2bl w:val="nil"/>
                  </w:tcBorders>
                  <w:noWrap w:val="0"/>
                  <w:vAlign w:val="center"/>
                </w:tcPr>
                <w:p w14:paraId="240E0EC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vertAlign w:val="superscript"/>
                      <w:lang w:val="en-US" w:eastAsia="zh-CN" w:bidi="ar"/>
                    </w:rPr>
                    <w:t>a</w:t>
                  </w:r>
                  <w:r>
                    <w:rPr>
                      <w:rFonts w:hint="default" w:ascii="Times New Roman" w:hAnsi="Times New Roman" w:eastAsia="宋体" w:cs="Times New Roman"/>
                      <w:color w:val="000000"/>
                      <w:kern w:val="0"/>
                      <w:sz w:val="18"/>
                      <w:szCs w:val="18"/>
                      <w:lang w:val="en-US" w:eastAsia="zh-CN" w:bidi="ar"/>
                    </w:rPr>
                    <w:t>括号内指标值为沿海及本地水源中溶解性固体含量较高的区域的指标。</w:t>
                  </w:r>
                </w:p>
                <w:p w14:paraId="21010E68">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vertAlign w:val="superscript"/>
                      <w:lang w:val="en-US" w:eastAsia="zh-CN" w:bidi="ar"/>
                    </w:rPr>
                    <w:t>b</w:t>
                  </w:r>
                  <w:r>
                    <w:rPr>
                      <w:rFonts w:hint="default" w:ascii="Times New Roman" w:hAnsi="Times New Roman" w:eastAsia="宋体" w:cs="Times New Roman"/>
                      <w:color w:val="000000"/>
                      <w:kern w:val="0"/>
                      <w:sz w:val="18"/>
                      <w:szCs w:val="18"/>
                      <w:lang w:val="en-US" w:eastAsia="zh-CN" w:bidi="ar"/>
                    </w:rPr>
                    <w:t>用于城市绿化时，不应超过2.5mg/L。</w:t>
                  </w:r>
                </w:p>
                <w:p w14:paraId="12ED9FD5">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color w:val="000000"/>
                      <w:kern w:val="0"/>
                      <w:sz w:val="18"/>
                      <w:szCs w:val="18"/>
                      <w:lang w:val="en-US" w:eastAsia="zh-CN" w:bidi="ar"/>
                    </w:rPr>
                  </w:pPr>
                  <w:r>
                    <w:rPr>
                      <w:rFonts w:hint="eastAsia" w:ascii="Times New Roman" w:hAnsi="Times New Roman" w:eastAsia="宋体" w:cs="Times New Roman"/>
                      <w:color w:val="000000"/>
                      <w:kern w:val="0"/>
                      <w:sz w:val="18"/>
                      <w:szCs w:val="18"/>
                      <w:vertAlign w:val="superscript"/>
                      <w:lang w:val="en-US" w:eastAsia="zh-CN" w:bidi="ar"/>
                    </w:rPr>
                    <w:t>c</w:t>
                  </w:r>
                  <w:r>
                    <w:rPr>
                      <w:rFonts w:hint="default" w:ascii="Times New Roman" w:hAnsi="Times New Roman" w:eastAsia="宋体" w:cs="Times New Roman"/>
                      <w:color w:val="000000"/>
                      <w:kern w:val="0"/>
                      <w:sz w:val="18"/>
                      <w:szCs w:val="18"/>
                      <w:lang w:val="en-US" w:eastAsia="zh-CN" w:bidi="ar"/>
                    </w:rPr>
                    <w:t>大肠埃希氏菌不应检出。</w:t>
                  </w:r>
                </w:p>
              </w:tc>
            </w:tr>
          </w:tbl>
          <w:p w14:paraId="093A664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3、噪声</w:t>
            </w:r>
          </w:p>
          <w:p w14:paraId="0F4A99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（1）施工期</w:t>
            </w:r>
          </w:p>
          <w:p w14:paraId="5D7B41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施工现场噪声排放执行《</w:t>
            </w:r>
            <w:r>
              <w:rPr>
                <w:rFonts w:hint="eastAsia" w:ascii="Times New Roman" w:hAnsi="Times New Roman" w:eastAsia="宋体" w:cs="Times New Roman"/>
                <w:color w:val="auto"/>
                <w:sz w:val="24"/>
                <w:szCs w:val="24"/>
                <w:lang w:val="en-US" w:eastAsia="zh-CN"/>
              </w:rPr>
              <w:t>建筑施工噪声</w:t>
            </w:r>
            <w:r>
              <w:rPr>
                <w:rFonts w:hint="default" w:ascii="Times New Roman" w:hAnsi="Times New Roman" w:eastAsia="宋体" w:cs="Times New Roman"/>
                <w:color w:val="auto"/>
                <w:sz w:val="24"/>
                <w:szCs w:val="24"/>
              </w:rPr>
              <w:t>排放标准》（GB12523-20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），标准值详见下表。</w:t>
            </w:r>
          </w:p>
          <w:p w14:paraId="43AB6E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表3-13  建筑施工场界环境噪声排放限值  单位：dB（A）</w:t>
            </w:r>
          </w:p>
          <w:tbl>
            <w:tblPr>
              <w:tblStyle w:val="21"/>
              <w:tblW w:w="4999"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19"/>
              <w:gridCol w:w="3599"/>
            </w:tblGrid>
            <w:tr w14:paraId="5F9085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638" w:type="pct"/>
                  <w:tcBorders>
                    <w:tl2br w:val="nil"/>
                    <w:tr2bl w:val="nil"/>
                  </w:tcBorders>
                  <w:noWrap w:val="0"/>
                  <w:vAlign w:val="center"/>
                </w:tcPr>
                <w:p w14:paraId="690A3E16">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昼间</w:t>
                  </w:r>
                </w:p>
              </w:tc>
              <w:tc>
                <w:tcPr>
                  <w:tcW w:w="2361" w:type="pct"/>
                  <w:tcBorders>
                    <w:tl2br w:val="nil"/>
                    <w:tr2bl w:val="nil"/>
                  </w:tcBorders>
                  <w:noWrap w:val="0"/>
                  <w:vAlign w:val="center"/>
                </w:tcPr>
                <w:p w14:paraId="1669A828">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夜间</w:t>
                  </w:r>
                </w:p>
              </w:tc>
            </w:tr>
            <w:tr w14:paraId="5815B1A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638" w:type="pct"/>
                  <w:tcBorders>
                    <w:tl2br w:val="nil"/>
                    <w:tr2bl w:val="nil"/>
                  </w:tcBorders>
                  <w:noWrap w:val="0"/>
                  <w:vAlign w:val="center"/>
                </w:tcPr>
                <w:p w14:paraId="758FC00B">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2361" w:type="pct"/>
                  <w:tcBorders>
                    <w:tl2br w:val="nil"/>
                    <w:tr2bl w:val="nil"/>
                  </w:tcBorders>
                  <w:noWrap w:val="0"/>
                  <w:vAlign w:val="center"/>
                </w:tcPr>
                <w:p w14:paraId="77554459">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r>
          </w:tbl>
          <w:p w14:paraId="1E61FC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（2）运营期</w:t>
            </w:r>
          </w:p>
          <w:p w14:paraId="0B90CC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项目运营期厂界噪声排放标准执行《工业企业厂界环境噪声排放标准》（GB12348-2008）3类标准。</w:t>
            </w:r>
          </w:p>
          <w:p w14:paraId="0B022F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表3-14  工业企业厂界噪声排放限值  单位：dB(A)</w:t>
            </w:r>
          </w:p>
          <w:tbl>
            <w:tblPr>
              <w:tblStyle w:val="2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2539"/>
              <w:gridCol w:w="2541"/>
            </w:tblGrid>
            <w:tr w14:paraId="699742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tcBorders>
                    <w:tl2br w:val="nil"/>
                    <w:tr2bl w:val="nil"/>
                  </w:tcBorders>
                  <w:noWrap w:val="0"/>
                  <w:vAlign w:val="center"/>
                </w:tcPr>
                <w:p w14:paraId="5CAE7081">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类别</w:t>
                  </w:r>
                </w:p>
              </w:tc>
              <w:tc>
                <w:tcPr>
                  <w:tcW w:w="1666" w:type="pct"/>
                  <w:tcBorders>
                    <w:tl2br w:val="nil"/>
                    <w:tr2bl w:val="nil"/>
                  </w:tcBorders>
                  <w:noWrap w:val="0"/>
                  <w:vAlign w:val="center"/>
                </w:tcPr>
                <w:p w14:paraId="34B3C646">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昼间</w:t>
                  </w:r>
                </w:p>
              </w:tc>
              <w:tc>
                <w:tcPr>
                  <w:tcW w:w="1667" w:type="pct"/>
                  <w:tcBorders>
                    <w:tl2br w:val="nil"/>
                    <w:tr2bl w:val="nil"/>
                  </w:tcBorders>
                  <w:noWrap w:val="0"/>
                  <w:vAlign w:val="center"/>
                </w:tcPr>
                <w:p w14:paraId="3AF581EA">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夜间</w:t>
                  </w:r>
                </w:p>
              </w:tc>
            </w:tr>
            <w:tr w14:paraId="023C2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tcBorders>
                    <w:tl2br w:val="nil"/>
                    <w:tr2bl w:val="nil"/>
                  </w:tcBorders>
                  <w:noWrap w:val="0"/>
                  <w:vAlign w:val="center"/>
                </w:tcPr>
                <w:p w14:paraId="291D10EB">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3类</w:t>
                  </w:r>
                </w:p>
              </w:tc>
              <w:tc>
                <w:tcPr>
                  <w:tcW w:w="1666" w:type="pct"/>
                  <w:tcBorders>
                    <w:tl2br w:val="nil"/>
                    <w:tr2bl w:val="nil"/>
                  </w:tcBorders>
                  <w:noWrap w:val="0"/>
                  <w:vAlign w:val="center"/>
                </w:tcPr>
                <w:p w14:paraId="558C859C">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c>
                <w:tcPr>
                  <w:tcW w:w="1667" w:type="pct"/>
                  <w:tcBorders>
                    <w:tl2br w:val="nil"/>
                    <w:tr2bl w:val="nil"/>
                  </w:tcBorders>
                  <w:noWrap w:val="0"/>
                  <w:vAlign w:val="center"/>
                </w:tcPr>
                <w:p w14:paraId="554B4DD8">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r>
          </w:tbl>
          <w:p w14:paraId="6FB7765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4、固体废弃物</w:t>
            </w:r>
          </w:p>
          <w:p w14:paraId="50EFA9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一般工业固废执行《一般工业固体废物贮存和填埋污染控制</w:t>
            </w:r>
            <w:r>
              <w:rPr>
                <w:rFonts w:hint="eastAsia" w:cs="Times New Roman"/>
                <w:color w:val="000000"/>
                <w:kern w:val="0"/>
                <w:sz w:val="24"/>
                <w:szCs w:val="24"/>
                <w:lang w:val="en-US" w:eastAsia="zh-CN" w:bidi="ar"/>
              </w:rPr>
              <w:t>标准</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GB18599-2020</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w:t>
            </w:r>
          </w:p>
          <w:p w14:paraId="433F3C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eastAsia" w:cs="Times New Roman"/>
                <w:color w:val="000000"/>
                <w:kern w:val="0"/>
                <w:sz w:val="24"/>
                <w:szCs w:val="24"/>
                <w:lang w:val="en-US" w:eastAsia="zh-CN" w:bidi="ar"/>
              </w:rPr>
              <w:t>危险废物按《国家危险废物名录（2025年版）》</w:t>
            </w:r>
            <w:r>
              <w:rPr>
                <w:rFonts w:hint="eastAsia" w:ascii="Times New Roman" w:hAnsi="Times New Roman" w:eastAsia="宋体" w:cs="Times New Roman"/>
                <w:color w:val="000000"/>
                <w:kern w:val="0"/>
                <w:sz w:val="24"/>
                <w:szCs w:val="24"/>
                <w:lang w:val="en-US" w:eastAsia="zh-CN" w:bidi="ar"/>
              </w:rPr>
              <w:t>进行分类，其暂存、管理贮存执行《危险废物贮存污染控制标准》（</w:t>
            </w:r>
            <w:r>
              <w:rPr>
                <w:rFonts w:hint="default" w:ascii="Times New Roman" w:hAnsi="Times New Roman" w:eastAsia="宋体" w:cs="Times New Roman"/>
                <w:color w:val="000000"/>
                <w:kern w:val="0"/>
                <w:sz w:val="24"/>
                <w:szCs w:val="24"/>
                <w:lang w:val="en-US" w:eastAsia="zh-CN" w:bidi="ar"/>
              </w:rPr>
              <w:t>GB18597-2023</w:t>
            </w:r>
            <w:r>
              <w:rPr>
                <w:rFonts w:hint="eastAsia" w:ascii="Times New Roman" w:hAnsi="Times New Roman" w:eastAsia="宋体" w:cs="Times New Roman"/>
                <w:color w:val="000000"/>
                <w:kern w:val="0"/>
                <w:sz w:val="24"/>
                <w:szCs w:val="24"/>
                <w:lang w:val="en-US" w:eastAsia="zh-CN" w:bidi="ar"/>
              </w:rPr>
              <w:t>）。</w:t>
            </w:r>
          </w:p>
        </w:tc>
      </w:tr>
      <w:tr w14:paraId="0041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0" w:type="pct"/>
            <w:tcBorders>
              <w:tl2br w:val="nil"/>
              <w:tr2bl w:val="nil"/>
            </w:tcBorders>
            <w:noWrap w:val="0"/>
            <w:tcMar>
              <w:left w:w="28" w:type="dxa"/>
              <w:right w:w="28" w:type="dxa"/>
            </w:tcMar>
            <w:vAlign w:val="center"/>
          </w:tcPr>
          <w:p w14:paraId="45982779">
            <w:pPr>
              <w:pStyle w:val="38"/>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总量</w:t>
            </w:r>
          </w:p>
          <w:p w14:paraId="31183B1E">
            <w:pPr>
              <w:pStyle w:val="38"/>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控制</w:t>
            </w:r>
          </w:p>
          <w:p w14:paraId="7983C3B4">
            <w:pPr>
              <w:pStyle w:val="38"/>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指标</w:t>
            </w:r>
          </w:p>
        </w:tc>
        <w:tc>
          <w:tcPr>
            <w:tcW w:w="4599" w:type="pct"/>
            <w:tcBorders>
              <w:tl2br w:val="nil"/>
              <w:tr2bl w:val="nil"/>
            </w:tcBorders>
            <w:noWrap w:val="0"/>
            <w:vAlign w:val="center"/>
          </w:tcPr>
          <w:p w14:paraId="230815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本项目具体情况如下：</w:t>
            </w:r>
          </w:p>
          <w:p w14:paraId="3448B9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本项目实施雨污分流，初期雨水依托公司厂区</w:t>
            </w:r>
            <w:r>
              <w:rPr>
                <w:rFonts w:hint="eastAsia" w:cs="Times New Roman"/>
                <w:color w:val="000000"/>
                <w:kern w:val="0"/>
                <w:sz w:val="24"/>
                <w:szCs w:val="24"/>
                <w:lang w:val="en-US" w:eastAsia="zh-CN" w:bidi="ar"/>
              </w:rPr>
              <w:t>初期雨水收集池</w:t>
            </w:r>
            <w:r>
              <w:rPr>
                <w:rFonts w:hint="default" w:ascii="Times New Roman" w:hAnsi="Times New Roman" w:eastAsia="宋体" w:cs="Times New Roman"/>
                <w:color w:val="000000"/>
                <w:kern w:val="0"/>
                <w:sz w:val="24"/>
                <w:szCs w:val="24"/>
                <w:lang w:val="en-US" w:eastAsia="zh-CN" w:bidi="ar"/>
              </w:rPr>
              <w:t>，经截排水沟进入初期雨水处理系统处理达标后回用于生产工序，不外排</w:t>
            </w:r>
            <w:r>
              <w:rPr>
                <w:rFonts w:hint="eastAsia" w:ascii="Times New Roman" w:hAnsi="Times New Roman" w:eastAsia="宋体" w:cs="Times New Roman"/>
                <w:color w:val="000000"/>
                <w:kern w:val="0"/>
                <w:sz w:val="24"/>
                <w:szCs w:val="24"/>
                <w:lang w:val="en-US" w:eastAsia="zh-CN" w:bidi="ar"/>
              </w:rPr>
              <w:t>；生活污水收集后进入生活污水处理站（200m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/d），处理后回用于厂区绿化、道路洒水，不外排。</w:t>
            </w:r>
          </w:p>
          <w:p w14:paraId="714F13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本项目固体废弃物均妥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善处置，处置率达100%，不设总量控制指标。</w:t>
            </w:r>
          </w:p>
          <w:p w14:paraId="603506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本项目有组织排放颗粒物为</w:t>
            </w:r>
            <w:r>
              <w:rPr>
                <w:rFonts w:hint="eastAsia" w:cs="Times New Roman"/>
                <w:color w:val="000000" w:themeColor="text1"/>
                <w:kern w:val="0"/>
                <w:sz w:val="24"/>
                <w:szCs w:val="24"/>
                <w:lang w:val="en-US" w:eastAsia="zh-CN" w:bidi="ar"/>
                <w14:textFill>
                  <w14:solidFill>
                    <w14:schemeClr w14:val="tx1"/>
                  </w14:solidFill>
                </w14:textFill>
              </w:rPr>
              <w:t>3.15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t/a，无组织粉尘排放量为：</w:t>
            </w:r>
            <w:r>
              <w:rPr>
                <w:rFonts w:hint="eastAsia" w:cs="Times New Roman"/>
                <w:color w:val="000000" w:themeColor="text1"/>
                <w:kern w:val="0"/>
                <w:sz w:val="24"/>
                <w:szCs w:val="24"/>
                <w:lang w:val="en-US" w:eastAsia="zh-CN" w:bidi="ar"/>
                <w14:textFill>
                  <w14:solidFill>
                    <w14:schemeClr w14:val="tx1"/>
                  </w14:solidFill>
                </w14:textFill>
              </w:rPr>
              <w:t>10.73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p>
          <w:p w14:paraId="31CDBF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p>
          <w:p w14:paraId="3B60F1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p>
          <w:p w14:paraId="3DB3A6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p>
          <w:p w14:paraId="7BF37C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p>
          <w:p w14:paraId="44454D8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p>
          <w:p w14:paraId="72A14C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p>
          <w:p w14:paraId="7C34FE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p>
          <w:p w14:paraId="5FED9F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p>
          <w:p w14:paraId="762576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p>
          <w:p w14:paraId="365D89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p>
          <w:p w14:paraId="5583D6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p>
          <w:p w14:paraId="220444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kern w:val="0"/>
                <w:sz w:val="24"/>
                <w:szCs w:val="24"/>
                <w:lang w:val="en-US" w:eastAsia="zh-CN" w:bidi="ar"/>
              </w:rPr>
            </w:pPr>
          </w:p>
          <w:p w14:paraId="363EE5D2">
            <w:pPr>
              <w:ind w:left="0" w:leftChars="0" w:firstLine="0" w:firstLineChars="0"/>
              <w:rPr>
                <w:rFonts w:hint="eastAsia" w:ascii="Times New Roman" w:hAnsi="Times New Roman" w:eastAsia="宋体" w:cs="Times New Roman"/>
                <w:color w:val="auto"/>
                <w:lang w:eastAsia="zh-CN"/>
              </w:rPr>
            </w:pPr>
          </w:p>
        </w:tc>
      </w:tr>
    </w:tbl>
    <w:p w14:paraId="20D5DA75">
      <w:pPr>
        <w:pStyle w:val="3"/>
        <w:keepNext/>
        <w:keepLines w:val="0"/>
        <w:pageBreakBefore w:val="0"/>
        <w:widowControl w:val="0"/>
        <w:kinsoku/>
        <w:wordWrap/>
        <w:overflowPunct w:val="0"/>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lang w:val="en-US" w:eastAsia="zh-CN"/>
        </w:rPr>
      </w:pPr>
      <w:bookmarkStart w:id="12" w:name="_Toc20060"/>
      <w:bookmarkStart w:id="13" w:name="_Toc30406"/>
      <w:bookmarkStart w:id="14" w:name="_Toc77324394"/>
      <w:r>
        <w:rPr>
          <w:rFonts w:hint="eastAsia" w:ascii="Times New Roman" w:hAnsi="Times New Roman" w:eastAsia="宋体" w:cs="Times New Roman"/>
          <w:color w:val="auto"/>
          <w:lang w:val="en-US" w:eastAsia="zh-CN"/>
        </w:rPr>
        <w:t>四、主要环境影响和保护措施</w:t>
      </w:r>
      <w:bookmarkEnd w:id="12"/>
      <w:bookmarkEnd w:id="13"/>
      <w:bookmarkEnd w:id="1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7969"/>
      </w:tblGrid>
      <w:tr w14:paraId="67FB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0" w:type="dxa"/>
            <w:vAlign w:val="center"/>
          </w:tcPr>
          <w:p w14:paraId="005A7B92">
            <w:pPr>
              <w:ind w:left="0" w:leftChars="0" w:right="0" w:rightChars="0" w:firstLine="0" w:firstLineChars="0"/>
              <w:jc w:val="center"/>
              <w:rPr>
                <w:rFonts w:hint="default"/>
                <w:sz w:val="24"/>
                <w:szCs w:val="24"/>
                <w:vertAlign w:val="baseline"/>
                <w:lang w:val="en-US" w:eastAsia="zh-CN"/>
              </w:rPr>
            </w:pPr>
            <w:r>
              <w:rPr>
                <w:rFonts w:hint="eastAsia"/>
                <w:b/>
                <w:bCs/>
                <w:sz w:val="24"/>
                <w:szCs w:val="24"/>
                <w:vertAlign w:val="baseline"/>
                <w:lang w:val="en-US" w:eastAsia="zh-CN"/>
              </w:rPr>
              <w:t>施工期环境保护措施</w:t>
            </w:r>
          </w:p>
        </w:tc>
        <w:tc>
          <w:tcPr>
            <w:tcW w:w="7952" w:type="dxa"/>
          </w:tcPr>
          <w:p w14:paraId="1E210B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本项目为改建项目，施工期主要内容包括依托现有磨浮车间新增再浮选作业浮选机，改造浮选机平台及基础；依托现有尾矿过滤厂房新增陶瓷过滤机及操作平台；在磨浮车间北侧新建塔磨机车间，</w:t>
            </w:r>
            <w:r>
              <w:rPr>
                <w:rFonts w:hint="default" w:ascii="Times New Roman" w:hAnsi="Times New Roman" w:eastAsia="宋体" w:cs="Times New Roman"/>
                <w:bCs/>
                <w:color w:val="auto"/>
                <w:sz w:val="24"/>
                <w:lang w:val="en-US" w:eastAsia="zh-CN"/>
              </w:rPr>
              <w:t>新建设备基础及配套设施安装等</w:t>
            </w:r>
            <w:r>
              <w:rPr>
                <w:rFonts w:hint="eastAsia" w:ascii="Times New Roman" w:hAnsi="Times New Roman" w:eastAsia="宋体" w:cs="Times New Roman"/>
                <w:bCs/>
                <w:color w:val="auto"/>
                <w:sz w:val="24"/>
                <w:lang w:val="en-US" w:eastAsia="zh-CN"/>
              </w:rPr>
              <w:t>。</w:t>
            </w:r>
          </w:p>
          <w:p w14:paraId="0D7D53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施工期环境影响及环境保护措施如下：</w:t>
            </w:r>
          </w:p>
          <w:p w14:paraId="79A44BC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1、大气污染防治措施</w:t>
            </w:r>
          </w:p>
          <w:p w14:paraId="48752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项目施工期大气污染主要为施工扬尘、机械废气污染影响。</w:t>
            </w:r>
          </w:p>
          <w:p w14:paraId="5E66D0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（1）施工扬尘防治措施</w:t>
            </w:r>
          </w:p>
          <w:p w14:paraId="4B542C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施工扬尘主要来源于极少量的基坑开挖以及原材料运输、堆放等作业，主要污染物为TSP，不含有毒有害的特殊污染物质，对施工环境及周边环境保护目标有一定的污染。施工扬尘呈无组织排放，其产生强度与施工方式、气象条件有关，一般风大时产生扬尘量较多。本次环评提出如下降尘措施：</w:t>
            </w:r>
          </w:p>
          <w:p w14:paraId="401B50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①在施工工作面，配套洒水设备，专人负责，定期洒水，在大风干燥日要加大洒水量和洒水次数，降低扬尘产生量，减轻扬尘污染对周边环境保护目标的影响。</w:t>
            </w:r>
          </w:p>
          <w:p w14:paraId="71B12C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②施工现场内运输道路应洒水降尘，运输车辆经过居民区时应尽量减缓车速，以减少汽车行驶扬尘。</w:t>
            </w:r>
          </w:p>
          <w:p w14:paraId="5B91E6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③使用商品混凝土。</w:t>
            </w:r>
          </w:p>
          <w:p w14:paraId="31FD54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④施工过程中使用的细颗粒散装原料应贮存于库房内或密闭存放，避免露天堆放。细颗粒物料运输应采用密闭式槽车运输，装卸时要采取措施减少扬尘量。</w:t>
            </w:r>
          </w:p>
          <w:p w14:paraId="6D6631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⑤运输车辆尽可能采用密闭车斗，并保证物料不遗撒外漏。无密闭车斗的，物料的装载高度不超过车辆槽帮上沿，车斗用苫布遮盖严实等。</w:t>
            </w:r>
          </w:p>
          <w:p w14:paraId="55A645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综上所述，经采取以上防治措施后，项目施工期扬尘对周围环境及周边环境保护目标影响较小，且项目施工工期较短，施工扬尘影响将随着施工期结束而结束。</w:t>
            </w:r>
          </w:p>
          <w:p w14:paraId="4D1D2F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（2）机械废气防治措施</w:t>
            </w:r>
          </w:p>
          <w:p w14:paraId="646BF4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施工中施工机械运行产生的废气、运输车辆运输产生的尾气均是动力燃料柴油和汽油燃烧后所产生，是影响空气环境的主要污染物之一，主要成分是碳氢类化合物、CO和NOX，属无组织排放，产生量较小，主要通过自然扩散形式排放，对周边环境影响较小。</w:t>
            </w:r>
          </w:p>
          <w:p w14:paraId="327207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2、废水处置措施</w:t>
            </w:r>
          </w:p>
          <w:p w14:paraId="76C96F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项目施工期拟使用的混凝土均为商品混凝土，无施工废水产生。因此，项目施工期废水主要为施工人员产生的少量生活污水。</w:t>
            </w:r>
          </w:p>
          <w:p w14:paraId="6D928C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本项目施工期最大施工人员数量约为20人，均不在项目区内食宿，产生的少量生活污水主要为个人清洁用水，用水量按10L/（人·d）计，用水量为0.2m3/d，废水产生系数按80%计，</w:t>
            </w:r>
            <w:r>
              <w:rPr>
                <w:rFonts w:hint="default" w:ascii="Times New Roman" w:hAnsi="Times New Roman" w:eastAsia="宋体" w:cs="Times New Roman"/>
                <w:bCs/>
                <w:color w:val="auto"/>
                <w:sz w:val="24"/>
                <w:lang w:val="en-US" w:eastAsia="zh-CN"/>
              </w:rPr>
              <w:t>生活</w:t>
            </w:r>
            <w:r>
              <w:rPr>
                <w:rFonts w:hint="eastAsia" w:ascii="Times New Roman" w:hAnsi="Times New Roman" w:eastAsia="宋体" w:cs="Times New Roman"/>
                <w:bCs/>
                <w:color w:val="auto"/>
                <w:sz w:val="24"/>
                <w:lang w:val="en-US" w:eastAsia="zh-CN"/>
              </w:rPr>
              <w:t>污</w:t>
            </w:r>
            <w:r>
              <w:rPr>
                <w:rFonts w:hint="default" w:ascii="Times New Roman" w:hAnsi="Times New Roman" w:eastAsia="宋体" w:cs="Times New Roman"/>
                <w:bCs/>
                <w:color w:val="auto"/>
                <w:sz w:val="24"/>
                <w:lang w:val="en-US" w:eastAsia="zh-CN"/>
              </w:rPr>
              <w:t>水</w:t>
            </w:r>
            <w:r>
              <w:rPr>
                <w:rFonts w:hint="eastAsia" w:ascii="Times New Roman" w:hAnsi="Times New Roman" w:eastAsia="宋体" w:cs="Times New Roman"/>
                <w:bCs/>
                <w:color w:val="auto"/>
                <w:sz w:val="24"/>
                <w:lang w:val="en-US" w:eastAsia="zh-CN"/>
              </w:rPr>
              <w:t>产生量为0.16m3/d，经施工场地设置的临时沉淀池沉淀预处理后回用于场地洒水降尘。因此，项目施工期无废水外排，对周边地表水环境影响较小。</w:t>
            </w:r>
          </w:p>
          <w:p w14:paraId="125CFC6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3、噪声污染防治措施</w:t>
            </w:r>
          </w:p>
          <w:p w14:paraId="0770F1E1">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项目施工期噪声主要来源于各类施工机械，项目改造施工期间由于使用电锯、电钻等施工机械，产生一定的噪声污染，源强约为75～95dB（A），其特点是突发性和间歇性。施工机械操作运转时有一定的工作间距，因此各工场的施工机械噪声可近似作为点声源处理。根据点声源噪声传播衰减模式，可估算施工期间离噪声声源不同距离处的噪声值。噪声源强为点声源，预测模式如下：</w:t>
            </w:r>
          </w:p>
          <w:p w14:paraId="3B571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施工机械中除各种运输车辆外，一般可视为固定声源。在不考虑其他因素情况下，不同距离处施工机械噪声预测模式如下：</w:t>
            </w:r>
          </w:p>
          <w:p w14:paraId="60E060CF">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left="0" w:right="0"/>
              <w:jc w:val="center"/>
              <w:textAlignment w:val="auto"/>
              <w:rPr>
                <w:rFonts w:hint="default" w:ascii="Times New Roman" w:hAnsi="Times New Roman" w:eastAsia="宋体" w:cs="Times New Roman"/>
                <w:color w:val="auto"/>
                <w:sz w:val="24"/>
                <w:szCs w:val="24"/>
                <w:highlight w:val="none"/>
                <w:lang w:val="pt-BR"/>
              </w:rPr>
            </w:pPr>
            <w:r>
              <w:rPr>
                <w:rFonts w:hint="default" w:ascii="Times New Roman" w:hAnsi="Times New Roman" w:eastAsia="宋体" w:cs="Times New Roman"/>
                <w:i/>
                <w:iCs/>
                <w:color w:val="auto"/>
                <w:sz w:val="24"/>
                <w:szCs w:val="24"/>
                <w:highlight w:val="none"/>
                <w:lang w:val="pt-BR" w:bidi="ar"/>
              </w:rPr>
              <w:t>L</w:t>
            </w:r>
            <w:r>
              <w:rPr>
                <w:rFonts w:hint="default" w:ascii="Times New Roman" w:hAnsi="Times New Roman" w:eastAsia="宋体" w:cs="Times New Roman"/>
                <w:i/>
                <w:iCs/>
                <w:color w:val="auto"/>
                <w:sz w:val="24"/>
                <w:szCs w:val="24"/>
                <w:highlight w:val="none"/>
                <w:lang w:val="en-US" w:eastAsia="zh-CN" w:bidi="ar"/>
              </w:rPr>
              <w:t>p</w:t>
            </w:r>
            <w:r>
              <w:rPr>
                <w:rFonts w:hint="default" w:ascii="Times New Roman" w:hAnsi="Times New Roman" w:eastAsia="宋体" w:cs="Times New Roman"/>
                <w:i/>
                <w:iCs/>
                <w:color w:val="auto"/>
                <w:sz w:val="24"/>
                <w:szCs w:val="24"/>
                <w:highlight w:val="none"/>
                <w:lang w:val="pt-BR" w:bidi="ar"/>
              </w:rPr>
              <w:t>(r)</w:t>
            </w:r>
            <w:r>
              <w:rPr>
                <w:rFonts w:hint="default" w:ascii="Times New Roman" w:hAnsi="Times New Roman" w:eastAsia="宋体" w:cs="Times New Roman"/>
                <w:color w:val="auto"/>
                <w:sz w:val="24"/>
                <w:szCs w:val="24"/>
                <w:highlight w:val="none"/>
                <w:lang w:val="pt-BR" w:bidi="ar"/>
              </w:rPr>
              <w:t>=</w:t>
            </w:r>
            <w:r>
              <w:rPr>
                <w:rFonts w:hint="default" w:ascii="Times New Roman" w:hAnsi="Times New Roman" w:eastAsia="宋体" w:cs="Times New Roman"/>
                <w:i/>
                <w:iCs/>
                <w:color w:val="auto"/>
                <w:sz w:val="24"/>
                <w:szCs w:val="24"/>
                <w:highlight w:val="none"/>
                <w:lang w:val="pt-BR" w:bidi="ar"/>
              </w:rPr>
              <w:t>Lr</w:t>
            </w:r>
            <w:r>
              <w:rPr>
                <w:rFonts w:hint="default" w:ascii="Times New Roman" w:hAnsi="Times New Roman" w:eastAsia="宋体" w:cs="Times New Roman"/>
                <w:i/>
                <w:iCs/>
                <w:color w:val="auto"/>
                <w:sz w:val="24"/>
                <w:szCs w:val="24"/>
                <w:highlight w:val="none"/>
                <w:vertAlign w:val="subscript"/>
                <w:lang w:val="pt-BR" w:bidi="ar"/>
              </w:rPr>
              <w:t>0</w:t>
            </w:r>
            <w:r>
              <w:rPr>
                <w:rFonts w:hint="default" w:ascii="Times New Roman" w:hAnsi="Times New Roman" w:eastAsia="宋体" w:cs="Times New Roman"/>
                <w:color w:val="auto"/>
                <w:sz w:val="24"/>
                <w:szCs w:val="24"/>
                <w:highlight w:val="none"/>
                <w:lang w:val="pt-BR" w:bidi="ar"/>
              </w:rPr>
              <w:t>-20l</w:t>
            </w:r>
            <w:r>
              <w:rPr>
                <w:rFonts w:hint="default" w:ascii="Times New Roman" w:hAnsi="Times New Roman" w:eastAsia="宋体" w:cs="Times New Roman"/>
                <w:i w:val="0"/>
                <w:iCs w:val="0"/>
                <w:color w:val="auto"/>
                <w:sz w:val="24"/>
                <w:szCs w:val="24"/>
                <w:highlight w:val="none"/>
                <w:lang w:val="pt-BR" w:bidi="ar"/>
              </w:rPr>
              <w:t>g</w:t>
            </w:r>
            <w:r>
              <w:rPr>
                <w:rFonts w:hint="default" w:ascii="Times New Roman" w:hAnsi="Times New Roman" w:eastAsia="宋体" w:cs="Times New Roman"/>
                <w:i/>
                <w:iCs/>
                <w:color w:val="auto"/>
                <w:sz w:val="24"/>
                <w:szCs w:val="24"/>
                <w:highlight w:val="none"/>
                <w:lang w:val="pt-BR" w:bidi="ar"/>
              </w:rPr>
              <w:t>(r/r</w:t>
            </w:r>
            <w:r>
              <w:rPr>
                <w:rFonts w:hint="default" w:ascii="Times New Roman" w:hAnsi="Times New Roman" w:eastAsia="宋体" w:cs="Times New Roman"/>
                <w:i/>
                <w:iCs/>
                <w:color w:val="auto"/>
                <w:sz w:val="24"/>
                <w:szCs w:val="24"/>
                <w:highlight w:val="none"/>
                <w:vertAlign w:val="subscript"/>
                <w:lang w:val="pt-BR" w:bidi="ar"/>
              </w:rPr>
              <w:t>0</w:t>
            </w:r>
            <w:r>
              <w:rPr>
                <w:rFonts w:hint="default" w:ascii="Times New Roman" w:hAnsi="Times New Roman" w:eastAsia="宋体" w:cs="Times New Roman"/>
                <w:i/>
                <w:iCs/>
                <w:color w:val="auto"/>
                <w:sz w:val="24"/>
                <w:szCs w:val="24"/>
                <w:highlight w:val="none"/>
                <w:lang w:val="pt-BR" w:bidi="ar"/>
              </w:rPr>
              <w:t>)</w:t>
            </w:r>
          </w:p>
          <w:p w14:paraId="73C691A0">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式中：</w:t>
            </w:r>
            <w:r>
              <w:rPr>
                <w:rFonts w:hint="default" w:ascii="Times New Roman" w:hAnsi="Times New Roman" w:eastAsia="宋体" w:cs="Times New Roman"/>
                <w:i/>
                <w:iCs/>
                <w:color w:val="auto"/>
                <w:sz w:val="24"/>
                <w:szCs w:val="24"/>
                <w:highlight w:val="none"/>
                <w:lang w:val="pt-BR" w:bidi="ar"/>
              </w:rPr>
              <w:t>L</w:t>
            </w:r>
            <w:r>
              <w:rPr>
                <w:rFonts w:hint="default" w:ascii="Times New Roman" w:hAnsi="Times New Roman" w:eastAsia="宋体" w:cs="Times New Roman"/>
                <w:i/>
                <w:iCs/>
                <w:color w:val="auto"/>
                <w:sz w:val="24"/>
                <w:szCs w:val="24"/>
                <w:highlight w:val="none"/>
                <w:lang w:val="en-US" w:eastAsia="zh-CN" w:bidi="ar"/>
              </w:rPr>
              <w:t>p</w:t>
            </w:r>
            <w:r>
              <w:rPr>
                <w:rFonts w:hint="default" w:ascii="Times New Roman" w:hAnsi="Times New Roman" w:eastAsia="宋体" w:cs="Times New Roman"/>
                <w:i/>
                <w:iCs/>
                <w:color w:val="auto"/>
                <w:sz w:val="24"/>
                <w:szCs w:val="24"/>
                <w:highlight w:val="none"/>
                <w:lang w:val="pt-BR" w:bidi="ar"/>
              </w:rPr>
              <w:t>(r)</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预测点处声压级，dB；</w:t>
            </w:r>
          </w:p>
          <w:p w14:paraId="3521CA72">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left="0" w:right="0" w:firstLine="1200" w:firstLineChars="5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color w:val="auto"/>
                <w:sz w:val="24"/>
                <w:szCs w:val="24"/>
                <w:highlight w:val="none"/>
                <w:lang w:val="pt-BR" w:bidi="ar"/>
              </w:rPr>
              <w:t>Lr</w:t>
            </w:r>
            <w:r>
              <w:rPr>
                <w:rFonts w:hint="default" w:ascii="Times New Roman" w:hAnsi="Times New Roman" w:eastAsia="宋体" w:cs="Times New Roman"/>
                <w:i/>
                <w:iCs/>
                <w:color w:val="auto"/>
                <w:sz w:val="24"/>
                <w:szCs w:val="24"/>
                <w:highlight w:val="none"/>
                <w:vertAlign w:val="subscript"/>
                <w:lang w:val="pt-BR" w:bidi="ar"/>
              </w:rPr>
              <w:t>0</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参考位置r0处的声压级，dB；</w:t>
            </w:r>
          </w:p>
          <w:p w14:paraId="5E188378">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auto"/>
              <w:ind w:left="0" w:right="0" w:firstLine="1200" w:firstLineChars="5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color w:val="auto"/>
                <w:sz w:val="24"/>
                <w:szCs w:val="24"/>
                <w:highlight w:val="none"/>
                <w:lang w:bidi="ar"/>
              </w:rPr>
              <w:t>r</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预测点距声源的距离；</w:t>
            </w:r>
          </w:p>
          <w:p w14:paraId="20D1544F">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360" w:lineRule="auto"/>
              <w:ind w:left="0" w:right="0" w:firstLine="1200" w:firstLineChars="5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i/>
                <w:iCs/>
                <w:color w:val="auto"/>
                <w:sz w:val="24"/>
                <w:szCs w:val="24"/>
                <w:highlight w:val="none"/>
                <w:lang w:bidi="ar"/>
              </w:rPr>
              <w:t>r</w:t>
            </w:r>
            <w:r>
              <w:rPr>
                <w:rFonts w:hint="default" w:ascii="Times New Roman" w:hAnsi="Times New Roman" w:eastAsia="宋体" w:cs="Times New Roman"/>
                <w:i/>
                <w:iCs/>
                <w:color w:val="auto"/>
                <w:sz w:val="24"/>
                <w:szCs w:val="24"/>
                <w:highlight w:val="none"/>
                <w:vertAlign w:val="subscript"/>
                <w:lang w:bidi="ar"/>
              </w:rPr>
              <w:t>0</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参考位置距声源的距离；</w:t>
            </w:r>
          </w:p>
          <w:p w14:paraId="2E2C03B8">
            <w:pPr>
              <w:pStyle w:val="49"/>
              <w:keepNext w:val="0"/>
              <w:keepLines w:val="0"/>
              <w:pageBreakBefore w:val="0"/>
              <w:widowControl w:val="0"/>
              <w:suppressLineNumbers w:val="0"/>
              <w:kinsoku/>
              <w:wordWrap/>
              <w:overflowPunct/>
              <w:topLinePunct w:val="0"/>
              <w:bidi w:val="0"/>
              <w:adjustRightInd/>
              <w:snapToGrid/>
              <w:spacing w:beforeAutospacing="0" w:afterAutospacing="0" w:line="360" w:lineRule="auto"/>
              <w:ind w:left="0" w:right="0"/>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各声源在某一预测点产生的合成声级采用以下计算模式：</w:t>
            </w:r>
          </w:p>
          <w:p w14:paraId="56B59310">
            <w:pPr>
              <w:pStyle w:val="49"/>
              <w:keepNext w:val="0"/>
              <w:keepLines w:val="0"/>
              <w:pageBreakBefore w:val="0"/>
              <w:widowControl w:val="0"/>
              <w:suppressLineNumbers w:val="0"/>
              <w:kinsoku/>
              <w:wordWrap/>
              <w:overflowPunct/>
              <w:topLinePunct w:val="0"/>
              <w:bidi w:val="0"/>
              <w:adjustRightInd/>
              <w:snapToGrid/>
              <w:spacing w:beforeAutospacing="0" w:afterAutospacing="0" w:line="360" w:lineRule="auto"/>
              <w:ind w:left="0" w:right="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position w:val="-34"/>
                <w:sz w:val="24"/>
                <w:szCs w:val="24"/>
                <w:highlight w:val="none"/>
              </w:rPr>
              <w:object>
                <v:shape id="_x0000_i1031" o:spt="75" type="#_x0000_t75" style="height:40pt;width:98pt;" o:ole="t" filled="f" o:preferrelative="t" stroked="f" coordsize="21600,21600">
                  <v:path/>
                  <v:fill on="f" focussize="0,0"/>
                  <v:stroke on="f"/>
                  <v:imagedata r:id="rId20" o:title=""/>
                  <o:lock v:ext="edit" aspectratio="t"/>
                  <w10:wrap type="none"/>
                  <w10:anchorlock/>
                </v:shape>
                <o:OLEObject Type="Embed" ProgID="Equation.3" ShapeID="_x0000_i1031" DrawAspect="Content" ObjectID="_1468075731" r:id="rId19">
                  <o:LockedField>false</o:LockedField>
                </o:OLEObject>
              </w:object>
            </w:r>
          </w:p>
          <w:p w14:paraId="607051A4">
            <w:pPr>
              <w:pStyle w:val="48"/>
              <w:spacing w:before="183" w:line="220" w:lineRule="auto"/>
              <w:ind w:left="590"/>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2"/>
                <w:sz w:val="15"/>
                <w:szCs w:val="15"/>
              </w:rPr>
              <w:t>TP</w:t>
            </w:r>
            <w:r>
              <w:rPr>
                <w:rFonts w:ascii="Times New Roman" w:hAnsi="Times New Roman" w:eastAsia="Times New Roman" w:cs="Times New Roman"/>
                <w:spacing w:val="-2"/>
              </w:rPr>
              <w:t>——</w:t>
            </w:r>
            <w:r>
              <w:rPr>
                <w:spacing w:val="-2"/>
              </w:rPr>
              <w:t>多台施工机械在某一点处产生的合成噪声级；</w:t>
            </w:r>
          </w:p>
          <w:p w14:paraId="278B0BFA">
            <w:pPr>
              <w:pStyle w:val="48"/>
              <w:spacing w:before="184" w:line="220" w:lineRule="auto"/>
              <w:ind w:left="1301"/>
            </w:pPr>
            <w:r>
              <w:rPr>
                <w:rFonts w:ascii="Times New Roman" w:hAnsi="Times New Roman" w:eastAsia="Times New Roman" w:cs="Times New Roman"/>
                <w:spacing w:val="-2"/>
              </w:rPr>
              <w:t>L</w:t>
            </w:r>
            <w:r>
              <w:rPr>
                <w:rFonts w:ascii="Times New Roman" w:hAnsi="Times New Roman" w:eastAsia="Times New Roman" w:cs="Times New Roman"/>
                <w:spacing w:val="-2"/>
                <w:position w:val="-2"/>
                <w:sz w:val="15"/>
                <w:szCs w:val="15"/>
              </w:rPr>
              <w:t>Pi</w:t>
            </w:r>
            <w:r>
              <w:rPr>
                <w:rFonts w:ascii="Times New Roman" w:hAnsi="Times New Roman" w:eastAsia="Times New Roman" w:cs="Times New Roman"/>
                <w:spacing w:val="-2"/>
              </w:rPr>
              <w:t>——</w:t>
            </w:r>
            <w:r>
              <w:rPr>
                <w:spacing w:val="-2"/>
              </w:rPr>
              <w:t>每种施工机械在某一点处的噪声级。</w:t>
            </w:r>
          </w:p>
          <w:p w14:paraId="05E05A39">
            <w:pPr>
              <w:pStyle w:val="48"/>
              <w:spacing w:before="179" w:line="355" w:lineRule="auto"/>
              <w:ind w:left="116" w:right="114" w:firstLine="468"/>
              <w:rPr>
                <w:rFonts w:hint="default" w:ascii="Times New Roman" w:hAnsi="Times New Roman" w:eastAsia="宋体" w:cs="Times New Roman"/>
              </w:rPr>
            </w:pPr>
            <w:r>
              <w:rPr>
                <w:rFonts w:hint="default" w:ascii="Times New Roman" w:hAnsi="Times New Roman" w:eastAsia="宋体" w:cs="Times New Roman"/>
                <w:spacing w:val="-3"/>
              </w:rPr>
              <w:t>假定一般</w:t>
            </w:r>
            <w:r>
              <w:rPr>
                <w:rFonts w:hint="default" w:ascii="Times New Roman" w:hAnsi="Times New Roman" w:eastAsia="宋体" w:cs="Times New Roman"/>
                <w:spacing w:val="-3"/>
                <w:lang w:val="en-US" w:eastAsia="zh-CN"/>
              </w:rPr>
              <w:t>3～5</w:t>
            </w:r>
            <w:r>
              <w:rPr>
                <w:rFonts w:hint="default" w:ascii="Times New Roman" w:hAnsi="Times New Roman" w:eastAsia="宋体" w:cs="Times New Roman"/>
                <w:spacing w:val="-3"/>
              </w:rPr>
              <w:t>个施工设备同时施工，源强约为</w:t>
            </w:r>
            <w:r>
              <w:rPr>
                <w:rFonts w:hint="eastAsia" w:ascii="Times New Roman" w:hAnsi="Times New Roman" w:eastAsia="宋体" w:cs="Times New Roman"/>
                <w:spacing w:val="-3"/>
                <w:lang w:val="en-US" w:eastAsia="zh-CN"/>
              </w:rPr>
              <w:t>75</w:t>
            </w:r>
            <w:r>
              <w:rPr>
                <w:rFonts w:hint="default" w:ascii="Times New Roman" w:hAnsi="Times New Roman" w:eastAsia="宋体" w:cs="Times New Roman"/>
                <w:spacing w:val="-3"/>
                <w:lang w:val="en-US" w:eastAsia="zh-CN"/>
              </w:rPr>
              <w:t>～</w:t>
            </w:r>
            <w:r>
              <w:rPr>
                <w:rFonts w:hint="eastAsia" w:ascii="Times New Roman" w:hAnsi="Times New Roman" w:eastAsia="宋体" w:cs="Times New Roman"/>
                <w:spacing w:val="-3"/>
                <w:lang w:val="en-US" w:eastAsia="zh-CN"/>
              </w:rPr>
              <w:t>95</w:t>
            </w:r>
            <w:r>
              <w:rPr>
                <w:rFonts w:hint="default" w:ascii="Times New Roman" w:hAnsi="Times New Roman" w:eastAsia="宋体" w:cs="Times New Roman"/>
                <w:spacing w:val="-3"/>
              </w:rPr>
              <w:t>dB（A</w:t>
            </w:r>
            <w:r>
              <w:rPr>
                <w:rFonts w:hint="default" w:ascii="Times New Roman" w:hAnsi="Times New Roman" w:eastAsia="宋体" w:cs="Times New Roman"/>
                <w:spacing w:val="-61"/>
                <w:w w:val="97"/>
              </w:rPr>
              <w:t>），</w:t>
            </w:r>
            <w:r>
              <w:rPr>
                <w:rFonts w:hint="default" w:ascii="Times New Roman" w:hAnsi="Times New Roman" w:eastAsia="宋体" w:cs="Times New Roman"/>
                <w:spacing w:val="-3"/>
              </w:rPr>
              <w:t>叠加后的施工噪声源强约</w:t>
            </w:r>
            <w:r>
              <w:rPr>
                <w:rFonts w:hint="eastAsia" w:ascii="Times New Roman" w:hAnsi="Times New Roman" w:cs="Times New Roman"/>
                <w:spacing w:val="-3"/>
                <w:lang w:val="en-US" w:eastAsia="zh-CN"/>
              </w:rPr>
              <w:t>98dB</w:t>
            </w:r>
            <w:r>
              <w:rPr>
                <w:rFonts w:hint="default" w:ascii="Times New Roman" w:hAnsi="Times New Roman" w:eastAsia="宋体" w:cs="Times New Roman"/>
                <w:spacing w:val="-3"/>
              </w:rPr>
              <w:t>（A</w:t>
            </w:r>
            <w:r>
              <w:rPr>
                <w:rFonts w:hint="default" w:ascii="Times New Roman" w:hAnsi="Times New Roman" w:eastAsia="宋体" w:cs="Times New Roman"/>
                <w:spacing w:val="11"/>
              </w:rPr>
              <w:t>），</w:t>
            </w:r>
            <w:r>
              <w:rPr>
                <w:rFonts w:hint="default" w:ascii="Times New Roman" w:hAnsi="Times New Roman" w:eastAsia="宋体" w:cs="Times New Roman"/>
                <w:spacing w:val="-3"/>
              </w:rPr>
              <w:t>不同距离的噪声预测结果见</w:t>
            </w:r>
            <w:r>
              <w:rPr>
                <w:rFonts w:hint="eastAsia" w:ascii="Times New Roman" w:hAnsi="Times New Roman" w:cs="Times New Roman"/>
                <w:spacing w:val="-3"/>
                <w:lang w:val="en-US" w:eastAsia="zh-CN"/>
              </w:rPr>
              <w:t>下</w:t>
            </w:r>
            <w:r>
              <w:rPr>
                <w:rFonts w:hint="default" w:ascii="Times New Roman" w:hAnsi="Times New Roman" w:eastAsia="宋体" w:cs="Times New Roman"/>
                <w:spacing w:val="-3"/>
              </w:rPr>
              <w:t>表。</w:t>
            </w:r>
          </w:p>
          <w:p w14:paraId="41635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黑体" w:hAnsi="黑体" w:eastAsia="黑体" w:cs="黑体"/>
                <w:b w:val="0"/>
                <w:bCs w:val="0"/>
                <w:color w:val="auto"/>
                <w:kern w:val="0"/>
                <w:sz w:val="21"/>
                <w:szCs w:val="21"/>
                <w:highlight w:val="none"/>
                <w:lang w:val="en-US" w:eastAsia="zh-CN" w:bidi="ar"/>
              </w:rPr>
            </w:pPr>
            <w:r>
              <w:rPr>
                <w:rFonts w:hint="eastAsia" w:ascii="黑体" w:hAnsi="黑体" w:eastAsia="黑体" w:cs="黑体"/>
                <w:b w:val="0"/>
                <w:bCs w:val="0"/>
                <w:color w:val="auto"/>
                <w:kern w:val="0"/>
                <w:sz w:val="21"/>
                <w:szCs w:val="21"/>
                <w:highlight w:val="none"/>
                <w:lang w:val="en-US" w:eastAsia="zh-CN" w:bidi="ar"/>
              </w:rPr>
              <w:t>表4-1  距声源不同距离处的噪声值预测结果一览表 单位：dB（A）</w:t>
            </w:r>
          </w:p>
          <w:tbl>
            <w:tblPr>
              <w:tblStyle w:val="22"/>
              <w:tblW w:w="77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807"/>
              <w:gridCol w:w="540"/>
              <w:gridCol w:w="639"/>
              <w:gridCol w:w="537"/>
              <w:gridCol w:w="634"/>
              <w:gridCol w:w="596"/>
              <w:gridCol w:w="777"/>
              <w:gridCol w:w="627"/>
              <w:gridCol w:w="734"/>
              <w:gridCol w:w="636"/>
            </w:tblGrid>
            <w:tr w14:paraId="4A3265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l2br w:val="nil"/>
                    <w:tr2bl w:val="nil"/>
                  </w:tcBorders>
                  <w:vAlign w:val="center"/>
                </w:tcPr>
                <w:p w14:paraId="11700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设备名称</w:t>
                  </w:r>
                </w:p>
              </w:tc>
              <w:tc>
                <w:tcPr>
                  <w:tcW w:w="781" w:type="dxa"/>
                  <w:tcBorders>
                    <w:tl2br w:val="nil"/>
                    <w:tr2bl w:val="nil"/>
                  </w:tcBorders>
                  <w:vAlign w:val="center"/>
                </w:tcPr>
                <w:p w14:paraId="144F6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源强（1m）</w:t>
                  </w:r>
                </w:p>
              </w:tc>
              <w:tc>
                <w:tcPr>
                  <w:tcW w:w="546" w:type="dxa"/>
                  <w:tcBorders>
                    <w:tl2br w:val="nil"/>
                    <w:tr2bl w:val="nil"/>
                  </w:tcBorders>
                  <w:vAlign w:val="center"/>
                </w:tcPr>
                <w:p w14:paraId="4F29E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5m</w:t>
                  </w:r>
                </w:p>
              </w:tc>
              <w:tc>
                <w:tcPr>
                  <w:tcW w:w="645" w:type="dxa"/>
                  <w:tcBorders>
                    <w:tl2br w:val="nil"/>
                    <w:tr2bl w:val="nil"/>
                  </w:tcBorders>
                  <w:vAlign w:val="center"/>
                </w:tcPr>
                <w:p w14:paraId="2FFC1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10m</w:t>
                  </w:r>
                </w:p>
              </w:tc>
              <w:tc>
                <w:tcPr>
                  <w:tcW w:w="530" w:type="dxa"/>
                  <w:tcBorders>
                    <w:tl2br w:val="nil"/>
                    <w:tr2bl w:val="nil"/>
                  </w:tcBorders>
                  <w:vAlign w:val="center"/>
                </w:tcPr>
                <w:p w14:paraId="01AFA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20m</w:t>
                  </w:r>
                </w:p>
              </w:tc>
              <w:tc>
                <w:tcPr>
                  <w:tcW w:w="640" w:type="dxa"/>
                  <w:tcBorders>
                    <w:tl2br w:val="nil"/>
                    <w:tr2bl w:val="nil"/>
                  </w:tcBorders>
                  <w:vAlign w:val="center"/>
                </w:tcPr>
                <w:p w14:paraId="5230C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40m</w:t>
                  </w:r>
                </w:p>
              </w:tc>
              <w:tc>
                <w:tcPr>
                  <w:tcW w:w="599" w:type="dxa"/>
                  <w:tcBorders>
                    <w:tl2br w:val="nil"/>
                    <w:tr2bl w:val="nil"/>
                  </w:tcBorders>
                  <w:vAlign w:val="center"/>
                </w:tcPr>
                <w:p w14:paraId="446C2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50m</w:t>
                  </w:r>
                </w:p>
              </w:tc>
              <w:tc>
                <w:tcPr>
                  <w:tcW w:w="786" w:type="dxa"/>
                  <w:tcBorders>
                    <w:tl2br w:val="nil"/>
                    <w:tr2bl w:val="nil"/>
                  </w:tcBorders>
                  <w:vAlign w:val="center"/>
                </w:tcPr>
                <w:p w14:paraId="63538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100m</w:t>
                  </w:r>
                </w:p>
              </w:tc>
              <w:tc>
                <w:tcPr>
                  <w:tcW w:w="587" w:type="dxa"/>
                  <w:tcBorders>
                    <w:tl2br w:val="nil"/>
                    <w:tr2bl w:val="nil"/>
                  </w:tcBorders>
                  <w:vAlign w:val="center"/>
                </w:tcPr>
                <w:p w14:paraId="65226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150m</w:t>
                  </w:r>
                </w:p>
              </w:tc>
              <w:tc>
                <w:tcPr>
                  <w:tcW w:w="740" w:type="dxa"/>
                  <w:tcBorders>
                    <w:tl2br w:val="nil"/>
                    <w:tr2bl w:val="nil"/>
                  </w:tcBorders>
                  <w:vAlign w:val="center"/>
                </w:tcPr>
                <w:p w14:paraId="305CE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200m</w:t>
                  </w:r>
                </w:p>
              </w:tc>
              <w:tc>
                <w:tcPr>
                  <w:tcW w:w="637" w:type="dxa"/>
                  <w:tcBorders>
                    <w:tl2br w:val="nil"/>
                    <w:tr2bl w:val="nil"/>
                  </w:tcBorders>
                  <w:vAlign w:val="center"/>
                </w:tcPr>
                <w:p w14:paraId="2F32C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300m</w:t>
                  </w:r>
                </w:p>
              </w:tc>
            </w:tr>
            <w:tr w14:paraId="15EAC6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l2br w:val="nil"/>
                    <w:tr2bl w:val="nil"/>
                  </w:tcBorders>
                  <w:vAlign w:val="center"/>
                </w:tcPr>
                <w:p w14:paraId="30F02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ascii="Times New Roman" w:hAnsi="Times New Roman" w:eastAsia="宋体" w:cs="Times New Roman"/>
                      <w:color w:val="auto"/>
                      <w:kern w:val="0"/>
                      <w:sz w:val="18"/>
                      <w:szCs w:val="18"/>
                      <w:highlight w:val="none"/>
                      <w:vertAlign w:val="baseline"/>
                      <w:lang w:val="en-US" w:eastAsia="zh-CN" w:bidi="ar"/>
                    </w:rPr>
                    <w:t>电钻、电锯等叠加值</w:t>
                  </w:r>
                </w:p>
              </w:tc>
              <w:tc>
                <w:tcPr>
                  <w:tcW w:w="781" w:type="dxa"/>
                  <w:tcBorders>
                    <w:tl2br w:val="nil"/>
                    <w:tr2bl w:val="nil"/>
                  </w:tcBorders>
                  <w:vAlign w:val="center"/>
                </w:tcPr>
                <w:p w14:paraId="38B74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default" w:ascii="Times New Roman" w:hAnsi="Times New Roman" w:eastAsia="宋体" w:cs="Times New Roman"/>
                      <w:color w:val="auto"/>
                      <w:kern w:val="0"/>
                      <w:sz w:val="18"/>
                      <w:szCs w:val="18"/>
                      <w:highlight w:val="none"/>
                      <w:vertAlign w:val="baseline"/>
                      <w:lang w:val="en-US" w:eastAsia="zh-CN" w:bidi="ar"/>
                    </w:rPr>
                    <w:t>85</w:t>
                  </w:r>
                </w:p>
              </w:tc>
              <w:tc>
                <w:tcPr>
                  <w:tcW w:w="546" w:type="dxa"/>
                  <w:tcBorders>
                    <w:tl2br w:val="nil"/>
                    <w:tr2bl w:val="nil"/>
                  </w:tcBorders>
                  <w:vAlign w:val="center"/>
                </w:tcPr>
                <w:p w14:paraId="21524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default" w:ascii="Times New Roman" w:hAnsi="Times New Roman" w:eastAsia="宋体" w:cs="Times New Roman"/>
                      <w:color w:val="auto"/>
                      <w:kern w:val="0"/>
                      <w:sz w:val="18"/>
                      <w:szCs w:val="18"/>
                      <w:highlight w:val="none"/>
                      <w:vertAlign w:val="baseline"/>
                      <w:lang w:val="en-US" w:eastAsia="zh-CN" w:bidi="ar"/>
                    </w:rPr>
                    <w:t>71</w:t>
                  </w:r>
                </w:p>
              </w:tc>
              <w:tc>
                <w:tcPr>
                  <w:tcW w:w="645" w:type="dxa"/>
                  <w:tcBorders>
                    <w:tl2br w:val="nil"/>
                    <w:tr2bl w:val="nil"/>
                  </w:tcBorders>
                  <w:vAlign w:val="center"/>
                </w:tcPr>
                <w:p w14:paraId="15180A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65</w:t>
                  </w:r>
                </w:p>
              </w:tc>
              <w:tc>
                <w:tcPr>
                  <w:tcW w:w="530" w:type="dxa"/>
                  <w:tcBorders>
                    <w:tl2br w:val="nil"/>
                    <w:tr2bl w:val="nil"/>
                  </w:tcBorders>
                  <w:vAlign w:val="center"/>
                </w:tcPr>
                <w:p w14:paraId="167EAD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60</w:t>
                  </w:r>
                </w:p>
              </w:tc>
              <w:tc>
                <w:tcPr>
                  <w:tcW w:w="640" w:type="dxa"/>
                  <w:tcBorders>
                    <w:tl2br w:val="nil"/>
                    <w:tr2bl w:val="nil"/>
                  </w:tcBorders>
                  <w:vAlign w:val="center"/>
                </w:tcPr>
                <w:p w14:paraId="435DC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53</w:t>
                  </w:r>
                </w:p>
              </w:tc>
              <w:tc>
                <w:tcPr>
                  <w:tcW w:w="599" w:type="dxa"/>
                  <w:tcBorders>
                    <w:tl2br w:val="nil"/>
                    <w:tr2bl w:val="nil"/>
                  </w:tcBorders>
                  <w:vAlign w:val="center"/>
                </w:tcPr>
                <w:p w14:paraId="37D5F0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51</w:t>
                  </w:r>
                </w:p>
              </w:tc>
              <w:tc>
                <w:tcPr>
                  <w:tcW w:w="786" w:type="dxa"/>
                  <w:tcBorders>
                    <w:tl2br w:val="nil"/>
                    <w:tr2bl w:val="nil"/>
                  </w:tcBorders>
                  <w:vAlign w:val="center"/>
                </w:tcPr>
                <w:p w14:paraId="5E7E4B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3"/>
                      <w:sz w:val="18"/>
                      <w:szCs w:val="18"/>
                      <w:highlight w:val="none"/>
                    </w:rPr>
                    <w:t>45</w:t>
                  </w:r>
                </w:p>
              </w:tc>
              <w:tc>
                <w:tcPr>
                  <w:tcW w:w="587" w:type="dxa"/>
                  <w:tcBorders>
                    <w:tl2br w:val="nil"/>
                    <w:tr2bl w:val="nil"/>
                  </w:tcBorders>
                  <w:vAlign w:val="center"/>
                </w:tcPr>
                <w:p w14:paraId="06475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41</w:t>
                  </w:r>
                </w:p>
              </w:tc>
              <w:tc>
                <w:tcPr>
                  <w:tcW w:w="740" w:type="dxa"/>
                  <w:tcBorders>
                    <w:tl2br w:val="nil"/>
                    <w:tr2bl w:val="nil"/>
                  </w:tcBorders>
                  <w:vAlign w:val="center"/>
                </w:tcPr>
                <w:p w14:paraId="4FB154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39</w:t>
                  </w:r>
                </w:p>
              </w:tc>
              <w:tc>
                <w:tcPr>
                  <w:tcW w:w="637" w:type="dxa"/>
                  <w:tcBorders>
                    <w:tl2br w:val="nil"/>
                    <w:tr2bl w:val="nil"/>
                  </w:tcBorders>
                  <w:vAlign w:val="center"/>
                </w:tcPr>
                <w:p w14:paraId="23950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
                    </w:rPr>
                  </w:pPr>
                  <w:r>
                    <w:rPr>
                      <w:rFonts w:hint="eastAsia" w:cs="Times New Roman"/>
                      <w:color w:val="auto"/>
                      <w:kern w:val="0"/>
                      <w:sz w:val="18"/>
                      <w:szCs w:val="18"/>
                      <w:highlight w:val="none"/>
                      <w:vertAlign w:val="baseline"/>
                      <w:lang w:val="en-US" w:eastAsia="zh-CN" w:bidi="ar"/>
                    </w:rPr>
                    <w:t>35</w:t>
                  </w:r>
                </w:p>
              </w:tc>
            </w:tr>
          </w:tbl>
          <w:p w14:paraId="742AA606">
            <w:pPr>
              <w:pStyle w:val="48"/>
              <w:spacing w:before="37" w:line="359" w:lineRule="auto"/>
              <w:ind w:left="105" w:right="100" w:firstLine="470"/>
              <w:jc w:val="both"/>
            </w:pPr>
            <w:r>
              <w:rPr>
                <w:spacing w:val="-4"/>
              </w:rPr>
              <w:t>根据《建筑施工噪声排放标准》（</w:t>
            </w:r>
            <w:r>
              <w:rPr>
                <w:rFonts w:ascii="Times New Roman" w:hAnsi="Times New Roman" w:eastAsia="Times New Roman" w:cs="Times New Roman"/>
                <w:spacing w:val="-4"/>
              </w:rPr>
              <w:t>GB12523-</w:t>
            </w:r>
            <w:r>
              <w:rPr>
                <w:rFonts w:hint="eastAsia" w:ascii="Times New Roman" w:hAnsi="Times New Roman" w:eastAsia="宋体" w:cs="Times New Roman"/>
                <w:spacing w:val="-4"/>
                <w:lang w:val="en-US" w:eastAsia="zh-CN"/>
              </w:rPr>
              <w:t>2025</w:t>
            </w:r>
            <w:r>
              <w:rPr>
                <w:spacing w:val="-61"/>
              </w:rPr>
              <w:t>），</w:t>
            </w:r>
            <w:r>
              <w:rPr>
                <w:spacing w:val="-4"/>
              </w:rPr>
              <w:t>昼间噪声限值为</w:t>
            </w:r>
            <w:r>
              <w:rPr>
                <w:rFonts w:ascii="Times New Roman" w:hAnsi="Times New Roman" w:eastAsia="Times New Roman" w:cs="Times New Roman"/>
                <w:spacing w:val="-6"/>
              </w:rPr>
              <w:t>70dB</w:t>
            </w:r>
            <w:r>
              <w:rPr>
                <w:spacing w:val="-6"/>
              </w:rPr>
              <w:t>（</w:t>
            </w:r>
            <w:r>
              <w:rPr>
                <w:rFonts w:ascii="Times New Roman" w:hAnsi="Times New Roman" w:eastAsia="Times New Roman" w:cs="Times New Roman"/>
                <w:spacing w:val="-6"/>
              </w:rPr>
              <w:t>A</w:t>
            </w:r>
            <w:r>
              <w:rPr>
                <w:spacing w:val="-60"/>
                <w:w w:val="95"/>
              </w:rPr>
              <w:t>），</w:t>
            </w:r>
            <w:r>
              <w:rPr>
                <w:spacing w:val="-6"/>
              </w:rPr>
              <w:t>夜间限值为</w:t>
            </w:r>
            <w:r>
              <w:rPr>
                <w:rFonts w:ascii="Times New Roman" w:hAnsi="Times New Roman" w:eastAsia="Times New Roman" w:cs="Times New Roman"/>
                <w:spacing w:val="-6"/>
              </w:rPr>
              <w:t>55dB</w:t>
            </w:r>
            <w:r>
              <w:rPr>
                <w:spacing w:val="-6"/>
              </w:rPr>
              <w:t>（</w:t>
            </w:r>
            <w:r>
              <w:rPr>
                <w:rFonts w:ascii="Times New Roman" w:hAnsi="Times New Roman" w:eastAsia="Times New Roman" w:cs="Times New Roman"/>
                <w:spacing w:val="-6"/>
              </w:rPr>
              <w:t>A</w:t>
            </w:r>
            <w:r>
              <w:rPr>
                <w:spacing w:val="-6"/>
              </w:rPr>
              <w:t>）。从</w:t>
            </w:r>
            <w:r>
              <w:rPr>
                <w:rFonts w:hint="eastAsia"/>
                <w:spacing w:val="-6"/>
                <w:lang w:val="en-US" w:eastAsia="zh-CN"/>
              </w:rPr>
              <w:t>上表</w:t>
            </w:r>
            <w:r>
              <w:rPr>
                <w:spacing w:val="-7"/>
              </w:rPr>
              <w:t>可以看出，昼间施工噪声在距声源</w:t>
            </w:r>
            <w:r>
              <w:rPr>
                <w:rFonts w:ascii="Times New Roman" w:hAnsi="Times New Roman" w:eastAsia="Times New Roman" w:cs="Times New Roman"/>
                <w:spacing w:val="-7"/>
              </w:rPr>
              <w:t>30m</w:t>
            </w:r>
            <w:r>
              <w:t>以外区域可达标准限值要求，夜间施工机械噪声在</w:t>
            </w:r>
            <w:r>
              <w:rPr>
                <w:spacing w:val="-1"/>
              </w:rPr>
              <w:t>距声源</w:t>
            </w:r>
            <w:r>
              <w:rPr>
                <w:rFonts w:ascii="Times New Roman" w:hAnsi="Times New Roman" w:eastAsia="Times New Roman" w:cs="Times New Roman"/>
                <w:spacing w:val="-1"/>
              </w:rPr>
              <w:t>150m</w:t>
            </w:r>
            <w:r>
              <w:rPr>
                <w:spacing w:val="-1"/>
              </w:rPr>
              <w:t>以外区域可达标准</w:t>
            </w:r>
            <w:r>
              <w:t>限值要求。项目夜间不施工，由于项目施工过程中工程量</w:t>
            </w:r>
            <w:r>
              <w:rPr>
                <w:spacing w:val="-1"/>
              </w:rPr>
              <w:t>较小，且周边敏感点较</w:t>
            </w:r>
            <w:r>
              <w:t>远，项目施工噪声不会对周边环境产生长期影响，随着项</w:t>
            </w:r>
            <w:r>
              <w:rPr>
                <w:spacing w:val="-1"/>
              </w:rPr>
              <w:t>目施工结束，施工噪声</w:t>
            </w:r>
            <w:r>
              <w:t>污染将随之消失，在严格执行上述措施的前提下，项目施</w:t>
            </w:r>
            <w:r>
              <w:rPr>
                <w:spacing w:val="-1"/>
              </w:rPr>
              <w:t>工噪声对周边环境产生</w:t>
            </w:r>
            <w:r>
              <w:rPr>
                <w:spacing w:val="-4"/>
              </w:rPr>
              <w:t>的影响是可以接受的。</w:t>
            </w:r>
          </w:p>
          <w:p w14:paraId="021CEE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本环评提出如下降噪措施：</w:t>
            </w:r>
          </w:p>
          <w:p w14:paraId="2D1610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建筑施工过程中使用机械设备，可能产生环境噪声污染的施工作业，施工单位应当在工程开工前十五日向工程所在地的区县环境保护行政主管部门申报该项目的名称、施工场所和期限、可能产生的环境噪声值以及所采取的环境噪声污染防治措施的情况。</w:t>
            </w:r>
          </w:p>
          <w:p w14:paraId="0C8E83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（2）禁止在22时至次日6时进行施工作业、除工艺需要外。施工单位因工艺需要连续施工的，需要向当地环保部门进行申请及备案，并提前张贴公告，告知可能受影响的周边居民。</w:t>
            </w:r>
          </w:p>
          <w:p w14:paraId="633F7B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3）施工单位应选用噪声低、振动小的设备。同时施工单位应设专人对设备进行定期保养和维护，并负责对现场工作人员进行培训，严格按操作规范使用各种机械。同时，需合理布局施工设备，高噪声设备应布局在项目区中部，尽量远离周边居民。</w:t>
            </w:r>
          </w:p>
          <w:p w14:paraId="5EC845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综上所述，经采取以上防治措施后，项目施工期噪声对周围环境及周边环境保护目标影响较小，且项目施工工期较短，施工噪声影响将随着施工期结束而结束。</w:t>
            </w:r>
          </w:p>
          <w:p w14:paraId="239804D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4、固体废物处置措施</w:t>
            </w:r>
          </w:p>
          <w:p w14:paraId="16E1F36B">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施工期间固体废弃物主要有建筑垃圾</w:t>
            </w:r>
            <w:r>
              <w:rPr>
                <w:rFonts w:hint="eastAsia" w:cs="Times New Roman"/>
                <w:bCs/>
                <w:color w:val="auto"/>
                <w:sz w:val="24"/>
                <w:lang w:val="en-US" w:eastAsia="zh-CN"/>
              </w:rPr>
              <w:t>和</w:t>
            </w:r>
            <w:r>
              <w:rPr>
                <w:rFonts w:hint="default" w:ascii="Times New Roman" w:hAnsi="Times New Roman" w:cs="Times New Roman"/>
                <w:bCs/>
                <w:color w:val="auto"/>
                <w:sz w:val="24"/>
              </w:rPr>
              <w:t>施工人员生活垃圾等。</w:t>
            </w:r>
          </w:p>
          <w:p w14:paraId="6CA683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（1）生活垃圾</w:t>
            </w:r>
          </w:p>
          <w:p w14:paraId="09E9E8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施工人员20人/d，均不在工地食宿，施工人员生活垃圾按每人每天产生0.5kg计，产生量为10kg/d，生活垃圾由厂区垃圾桶集中收集后定期外运至工业园区生活垃圾集中收集点，由环卫部门集中处理，严禁施工期间生活垃圾乱堆乱放。</w:t>
            </w:r>
          </w:p>
          <w:p w14:paraId="50C926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（2）建筑垃圾</w:t>
            </w:r>
          </w:p>
          <w:p w14:paraId="1D72B4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Cs/>
                <w:color w:val="auto"/>
                <w:sz w:val="24"/>
                <w:lang w:val="en-US" w:eastAsia="zh-CN"/>
              </w:rPr>
              <w:t>项目在施工过程中可能会产生一定量的建筑垃圾，产生量预估为80t，本次环评要求对施工期产生的建筑垃圾进行分类处理，对建筑垃圾中可回收综合利用的进行回收利用，不可回收利用部分统一收集后运至当地城建部门指定的地点进行妥善处置。</w:t>
            </w:r>
          </w:p>
          <w:p w14:paraId="679E07D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5、生态环境保护措施</w:t>
            </w:r>
          </w:p>
          <w:p w14:paraId="10AE2558">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ascii="Times New Roman" w:hAnsi="Times New Roman" w:eastAsia="宋体" w:cs="Times New Roman"/>
                <w:color w:val="auto"/>
                <w:sz w:val="24"/>
                <w:szCs w:val="24"/>
                <w:highlight w:val="none"/>
                <w:lang w:val="en-US" w:eastAsia="zh-CN"/>
              </w:rPr>
              <w:t>本项目位于云南易门产业园区大椿树片区，本次项目改建仅在易门铜业有限公司既有厂区范围内进行改造，不新增占地。项目区占地范围及周边目前没有自然分布的国家和省级珍稀濒危物种，也没有名木古树分布，多为当地常见物种。域内无大型兽类的隐蔽地、栖息地和生活场所。项目周边不涉及生态环境保护目标。建议建设单位应合理利用项目区空余土地进行绿化种植，优化项目区内生态环境。</w:t>
            </w:r>
          </w:p>
        </w:tc>
      </w:tr>
      <w:tr w14:paraId="5E75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0" w:type="dxa"/>
            <w:vAlign w:val="center"/>
          </w:tcPr>
          <w:p w14:paraId="3CC52672">
            <w:pPr>
              <w:ind w:left="0" w:leftChars="0" w:right="0" w:rightChars="0" w:firstLine="0" w:firstLineChars="0"/>
              <w:jc w:val="center"/>
              <w:rPr>
                <w:rFonts w:hint="default"/>
                <w:sz w:val="24"/>
                <w:szCs w:val="24"/>
                <w:vertAlign w:val="baseline"/>
                <w:lang w:val="en-US" w:eastAsia="zh-CN"/>
              </w:rPr>
            </w:pPr>
            <w:r>
              <w:rPr>
                <w:rFonts w:hint="eastAsia"/>
                <w:b/>
                <w:bCs/>
                <w:sz w:val="24"/>
                <w:szCs w:val="24"/>
                <w:vertAlign w:val="baseline"/>
                <w:lang w:val="en-US" w:eastAsia="zh-CN"/>
              </w:rPr>
              <w:t>运营期环境影响和保护措施</w:t>
            </w:r>
          </w:p>
        </w:tc>
        <w:tc>
          <w:tcPr>
            <w:tcW w:w="7952" w:type="dxa"/>
            <w:shd w:val="clear" w:color="auto" w:fill="auto"/>
            <w:vAlign w:val="top"/>
          </w:tcPr>
          <w:p w14:paraId="2DCF8C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cs="Times New Roman"/>
                <w:bCs/>
                <w:color w:val="auto"/>
                <w:sz w:val="24"/>
                <w:highlight w:val="none"/>
              </w:rPr>
              <w:t>项目运营期的主要污染因素包括废气、废水、噪声和固体废物，项目污染物的排放具体如下：</w:t>
            </w:r>
          </w:p>
          <w:p w14:paraId="3F81A74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废气</w:t>
            </w:r>
          </w:p>
          <w:p w14:paraId="50942C49">
            <w:pPr>
              <w:keepNext w:val="0"/>
              <w:keepLines w:val="0"/>
              <w:pageBreakBefore w:val="0"/>
              <w:widowControl w:val="0"/>
              <w:tabs>
                <w:tab w:val="left" w:pos="4065"/>
                <w:tab w:val="center" w:pos="5719"/>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w:t>
            </w:r>
            <w:r>
              <w:rPr>
                <w:rFonts w:hint="eastAsia" w:ascii="Times New Roman" w:hAnsi="Times New Roman" w:eastAsia="宋体" w:cs="Times New Roman"/>
                <w:bCs/>
                <w:color w:val="auto"/>
                <w:sz w:val="24"/>
                <w:lang w:val="en-US" w:eastAsia="zh-CN"/>
              </w:rPr>
              <w:t>属于铜冶炼渣利用浮选和磁选获得铜精矿、铁精矿以及尾矿的工艺流程提效升级改造项目</w:t>
            </w:r>
            <w:r>
              <w:rPr>
                <w:rFonts w:hint="default" w:ascii="Times New Roman" w:hAnsi="Times New Roman" w:eastAsia="宋体" w:cs="Times New Roman"/>
                <w:bCs/>
                <w:color w:val="auto"/>
                <w:sz w:val="24"/>
                <w:lang w:val="en-US" w:eastAsia="zh-CN"/>
              </w:rPr>
              <w:t>，根据工艺流程分析，本项目废气主要为</w:t>
            </w:r>
            <w:r>
              <w:rPr>
                <w:rFonts w:hint="eastAsia" w:ascii="Times New Roman" w:hAnsi="Times New Roman" w:eastAsia="宋体" w:cs="Times New Roman"/>
                <w:bCs/>
                <w:color w:val="auto"/>
                <w:sz w:val="24"/>
                <w:lang w:val="en-US" w:eastAsia="zh-CN"/>
              </w:rPr>
              <w:t>冶炼渣</w:t>
            </w:r>
            <w:r>
              <w:rPr>
                <w:rFonts w:hint="eastAsia" w:cs="Times New Roman"/>
                <w:bCs/>
                <w:color w:val="auto"/>
                <w:sz w:val="24"/>
                <w:lang w:val="en-US" w:eastAsia="zh-CN"/>
              </w:rPr>
              <w:t>上料、</w:t>
            </w:r>
            <w:r>
              <w:rPr>
                <w:rFonts w:hint="default" w:ascii="Times New Roman" w:hAnsi="Times New Roman" w:eastAsia="宋体" w:cs="Times New Roman"/>
                <w:bCs/>
                <w:color w:val="auto"/>
                <w:sz w:val="24"/>
                <w:lang w:val="en-US" w:eastAsia="zh-CN"/>
              </w:rPr>
              <w:t>破碎</w:t>
            </w:r>
            <w:r>
              <w:rPr>
                <w:rFonts w:hint="eastAsia" w:cs="Times New Roman"/>
                <w:bCs/>
                <w:color w:val="auto"/>
                <w:sz w:val="24"/>
                <w:lang w:val="en-US" w:eastAsia="zh-CN"/>
              </w:rPr>
              <w:t>以及</w:t>
            </w:r>
            <w:r>
              <w:rPr>
                <w:rFonts w:hint="default" w:ascii="Times New Roman" w:hAnsi="Times New Roman" w:eastAsia="宋体" w:cs="Times New Roman"/>
                <w:bCs/>
                <w:color w:val="auto"/>
                <w:sz w:val="24"/>
                <w:lang w:val="en-US" w:eastAsia="zh-CN"/>
              </w:rPr>
              <w:t>筛分过程产生的粉尘、各料仓受料过程及皮带输送过程产生的粉尘、堆场扬尘、车辆运输扬尘。</w:t>
            </w:r>
          </w:p>
          <w:p w14:paraId="7167F847">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color w:val="auto"/>
                <w:sz w:val="24"/>
                <w:szCs w:val="24"/>
                <w:lang w:val="en-US" w:eastAsia="zh-CN"/>
              </w:rPr>
              <w:t>1.1大气污染源强核算</w:t>
            </w:r>
          </w:p>
          <w:p w14:paraId="0D39B0C6">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根据《建设项目环境影响报告表编制技术指南》（污染影响类）（试行）中要求，源强的核算参考源强核算技术指南和排污许可证申请与核发技术规范，本项目</w:t>
            </w:r>
            <w:r>
              <w:rPr>
                <w:rFonts w:hint="default" w:ascii="Times New Roman" w:hAnsi="Times New Roman" w:eastAsia="宋体"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lang w:val="zh-CN" w:eastAsia="zh-CN"/>
              </w:rPr>
              <w:t>粉尘无行业核算指南，</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zh-CN" w:eastAsia="zh-CN"/>
              </w:rPr>
              <w:t>查询</w:t>
            </w:r>
            <w:r>
              <w:rPr>
                <w:rFonts w:hint="default" w:ascii="Times New Roman" w:hAnsi="Times New Roman" w:eastAsia="宋体" w:cs="Times New Roman"/>
                <w:color w:val="auto"/>
                <w:sz w:val="24"/>
                <w:szCs w:val="24"/>
                <w:highlight w:val="none"/>
                <w:lang w:val="en-US" w:eastAsia="zh-CN"/>
              </w:rPr>
              <w:t>项目颗粒物采用《排放源统计调查产排污核算方法和系数手册》、《</w:t>
            </w:r>
            <w:r>
              <w:rPr>
                <w:rFonts w:hint="default" w:ascii="Times New Roman" w:hAnsi="Times New Roman" w:eastAsia="宋体" w:cs="Times New Roman"/>
                <w:bCs/>
                <w:color w:val="auto"/>
                <w:sz w:val="24"/>
                <w:szCs w:val="24"/>
                <w:highlight w:val="none"/>
              </w:rPr>
              <w:t>逸散性工业粉尘控制技术》、《工业污染核算》中的行业经验系数</w:t>
            </w:r>
            <w:r>
              <w:rPr>
                <w:rFonts w:hint="default" w:ascii="Times New Roman" w:hAnsi="Times New Roman" w:eastAsia="宋体" w:cs="Times New Roman"/>
                <w:bCs/>
                <w:color w:val="auto"/>
                <w:sz w:val="24"/>
                <w:szCs w:val="24"/>
                <w:highlight w:val="none"/>
                <w:lang w:val="en-US" w:eastAsia="zh-CN"/>
              </w:rPr>
              <w:t>及其他经验公式</w:t>
            </w:r>
            <w:r>
              <w:rPr>
                <w:rFonts w:hint="default" w:ascii="Times New Roman" w:hAnsi="Times New Roman" w:eastAsia="宋体" w:cs="Times New Roman"/>
                <w:color w:val="auto"/>
                <w:sz w:val="24"/>
                <w:szCs w:val="24"/>
                <w:highlight w:val="none"/>
                <w:lang w:val="en-US" w:eastAsia="zh-CN"/>
              </w:rPr>
              <w:t>来计算。</w:t>
            </w:r>
          </w:p>
          <w:p w14:paraId="6A94744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rPr>
              <w:t>1.1.</w:t>
            </w:r>
            <w:r>
              <w:rPr>
                <w:rFonts w:hint="eastAsia"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rPr>
              <w:t>有组织废气源强核算</w:t>
            </w:r>
          </w:p>
          <w:p w14:paraId="2FC77AFA">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上料</w:t>
            </w:r>
            <w:r>
              <w:rPr>
                <w:rFonts w:hint="eastAsia" w:ascii="Times New Roman" w:hAnsi="Times New Roman" w:eastAsia="宋体" w:cs="Times New Roman"/>
                <w:color w:val="auto"/>
                <w:sz w:val="24"/>
                <w:szCs w:val="24"/>
                <w:highlight w:val="none"/>
                <w:lang w:val="en-US" w:eastAsia="zh-CN"/>
              </w:rPr>
              <w:t>废气</w:t>
            </w:r>
          </w:p>
          <w:p w14:paraId="0F6A0EF6">
            <w:pPr>
              <w:pStyle w:val="31"/>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项目使用铲车</w:t>
            </w:r>
            <w:r>
              <w:rPr>
                <w:rFonts w:hint="eastAsia" w:ascii="Times New Roman" w:hAnsi="Times New Roman" w:eastAsia="宋体" w:cs="Times New Roman"/>
                <w:color w:val="auto"/>
                <w:sz w:val="24"/>
                <w:szCs w:val="24"/>
                <w:highlight w:val="none"/>
                <w:lang w:val="en-US" w:eastAsia="zh-CN"/>
              </w:rPr>
              <w:t>完成上料</w:t>
            </w:r>
            <w:r>
              <w:rPr>
                <w:rFonts w:hint="default" w:ascii="Times New Roman" w:hAnsi="Times New Roman" w:eastAsia="宋体" w:cs="Times New Roman"/>
                <w:color w:val="auto"/>
                <w:sz w:val="24"/>
                <w:szCs w:val="24"/>
                <w:highlight w:val="none"/>
                <w:lang w:val="en-US" w:eastAsia="zh-CN"/>
              </w:rPr>
              <w:t>，原料</w:t>
            </w:r>
            <w:r>
              <w:rPr>
                <w:rFonts w:hint="eastAsia" w:ascii="Times New Roman" w:hAnsi="Times New Roman" w:eastAsia="宋体" w:cs="Times New Roman"/>
                <w:color w:val="auto"/>
                <w:sz w:val="24"/>
                <w:szCs w:val="24"/>
                <w:highlight w:val="none"/>
                <w:lang w:val="en-US" w:eastAsia="zh-CN"/>
              </w:rPr>
              <w:t>铜冶炼渣</w:t>
            </w:r>
            <w:r>
              <w:rPr>
                <w:rFonts w:hint="default" w:ascii="Times New Roman" w:hAnsi="Times New Roman" w:eastAsia="宋体" w:cs="Times New Roman"/>
                <w:color w:val="auto"/>
                <w:sz w:val="24"/>
                <w:szCs w:val="24"/>
                <w:highlight w:val="none"/>
                <w:lang w:val="en-US" w:eastAsia="zh-CN"/>
              </w:rPr>
              <w:t>均呈不规则块状、粒径较大，其产尘的原因主要为</w:t>
            </w:r>
            <w:r>
              <w:rPr>
                <w:rFonts w:hint="eastAsia" w:ascii="Times New Roman" w:hAnsi="Times New Roman" w:eastAsia="宋体" w:cs="Times New Roman"/>
                <w:color w:val="auto"/>
                <w:sz w:val="24"/>
                <w:szCs w:val="24"/>
                <w:highlight w:val="none"/>
                <w:lang w:val="en-US" w:eastAsia="zh-CN"/>
              </w:rPr>
              <w:t>铜冶炼渣</w:t>
            </w:r>
            <w:r>
              <w:rPr>
                <w:rFonts w:hint="default" w:ascii="Times New Roman" w:hAnsi="Times New Roman" w:eastAsia="宋体" w:cs="Times New Roman"/>
                <w:color w:val="auto"/>
                <w:sz w:val="24"/>
                <w:szCs w:val="24"/>
                <w:highlight w:val="none"/>
                <w:lang w:val="en-US" w:eastAsia="zh-CN"/>
              </w:rPr>
              <w:t>表面附着的少量灰尘，在铲车</w:t>
            </w:r>
            <w:r>
              <w:rPr>
                <w:rFonts w:hint="eastAsia" w:ascii="Times New Roman" w:hAnsi="Times New Roman" w:eastAsia="宋体" w:cs="Times New Roman"/>
                <w:color w:val="auto"/>
                <w:sz w:val="24"/>
                <w:szCs w:val="24"/>
                <w:highlight w:val="none"/>
                <w:lang w:val="en-US" w:eastAsia="zh-CN"/>
              </w:rPr>
              <w:t>投入</w:t>
            </w:r>
            <w:r>
              <w:rPr>
                <w:rFonts w:hint="default" w:ascii="Times New Roman" w:hAnsi="Times New Roman" w:eastAsia="宋体" w:cs="Times New Roman"/>
                <w:color w:val="auto"/>
                <w:sz w:val="24"/>
                <w:szCs w:val="24"/>
                <w:highlight w:val="none"/>
                <w:lang w:val="en-US" w:eastAsia="zh-CN"/>
              </w:rPr>
              <w:t>上料口的过程中所产生的少量粉尘等。依据《逸散性工业粉尘控制技术》</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中国环境科学出版社</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，本项目上料过程粉尘参照</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粒料加工厂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砂和砾石</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的起尘量0.0006kg/t原料计，原材料</w:t>
            </w:r>
            <w:r>
              <w:rPr>
                <w:rFonts w:hint="eastAsia" w:ascii="Times New Roman" w:hAnsi="Times New Roman" w:eastAsia="宋体" w:cs="Times New Roman"/>
                <w:color w:val="auto"/>
                <w:sz w:val="24"/>
                <w:szCs w:val="24"/>
                <w:highlight w:val="none"/>
                <w:lang w:val="en-US" w:eastAsia="zh-CN"/>
              </w:rPr>
              <w:t>铜冶炼渣</w:t>
            </w:r>
            <w:r>
              <w:rPr>
                <w:rFonts w:hint="default" w:ascii="Times New Roman" w:hAnsi="Times New Roman" w:eastAsia="宋体" w:cs="Times New Roman"/>
                <w:color w:val="auto"/>
                <w:sz w:val="24"/>
                <w:szCs w:val="24"/>
                <w:highlight w:val="none"/>
                <w:lang w:val="en-US" w:eastAsia="zh-CN"/>
              </w:rPr>
              <w:t>消耗</w:t>
            </w:r>
            <w:r>
              <w:rPr>
                <w:rFonts w:hint="eastAsia" w:ascii="Times New Roman" w:hAnsi="Times New Roman" w:eastAsia="宋体" w:cs="Times New Roman"/>
                <w:color w:val="auto"/>
                <w:sz w:val="24"/>
                <w:szCs w:val="24"/>
                <w:highlight w:val="none"/>
                <w:lang w:val="en-US" w:eastAsia="zh-CN"/>
              </w:rPr>
              <w:t>561000</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则上料过程颗粒物产生量为</w:t>
            </w:r>
            <w:r>
              <w:rPr>
                <w:rFonts w:hint="eastAsia" w:ascii="Times New Roman" w:hAnsi="Times New Roman" w:eastAsia="宋体" w:cs="Times New Roman"/>
                <w:color w:val="auto"/>
                <w:sz w:val="24"/>
                <w:szCs w:val="24"/>
                <w:highlight w:val="none"/>
                <w:lang w:val="en-US" w:eastAsia="zh-CN"/>
              </w:rPr>
              <w:t>0.34</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p>
          <w:p w14:paraId="6742DE0D">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2、“破碎+筛分”废气</w:t>
            </w:r>
          </w:p>
          <w:p w14:paraId="74EB5B43">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本项目铜冶炼渣采用三级破碎</w:t>
            </w:r>
            <w:r>
              <w:rPr>
                <w:rFonts w:hint="eastAsia" w:cs="Times New Roman"/>
                <w:color w:val="auto"/>
                <w:sz w:val="24"/>
                <w:szCs w:val="24"/>
                <w:highlight w:val="none"/>
                <w:lang w:val="en-US" w:eastAsia="zh-CN"/>
              </w:rPr>
              <w:t>和筛分</w:t>
            </w:r>
            <w:r>
              <w:rPr>
                <w:rFonts w:hint="eastAsia" w:ascii="Times New Roman" w:hAnsi="Times New Roman" w:eastAsia="宋体" w:cs="Times New Roman"/>
                <w:color w:val="auto"/>
                <w:sz w:val="24"/>
                <w:szCs w:val="24"/>
                <w:highlight w:val="none"/>
                <w:lang w:val="en-US" w:eastAsia="zh-CN"/>
              </w:rPr>
              <w:t>工艺，破碎</w:t>
            </w:r>
            <w:r>
              <w:rPr>
                <w:rFonts w:hint="eastAsia" w:cs="Times New Roman"/>
                <w:color w:val="auto"/>
                <w:sz w:val="24"/>
                <w:szCs w:val="24"/>
                <w:highlight w:val="none"/>
                <w:lang w:val="en-US" w:eastAsia="zh-CN"/>
              </w:rPr>
              <w:t>和筛分</w:t>
            </w:r>
            <w:r>
              <w:rPr>
                <w:rFonts w:hint="eastAsia" w:ascii="Times New Roman" w:hAnsi="Times New Roman" w:eastAsia="宋体" w:cs="Times New Roman"/>
                <w:color w:val="auto"/>
                <w:sz w:val="24"/>
                <w:szCs w:val="24"/>
                <w:highlight w:val="none"/>
                <w:lang w:val="en-US" w:eastAsia="zh-CN"/>
              </w:rPr>
              <w:t>过程</w:t>
            </w:r>
            <w:r>
              <w:rPr>
                <w:rFonts w:hint="eastAsia"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会产生粉尘，</w:t>
            </w:r>
            <w:r>
              <w:rPr>
                <w:rFonts w:hint="default" w:ascii="Times New Roman" w:hAnsi="Times New Roman" w:eastAsia="宋体" w:cs="Times New Roman"/>
                <w:color w:val="auto"/>
                <w:sz w:val="24"/>
                <w:szCs w:val="24"/>
                <w:highlight w:val="none"/>
                <w:lang w:val="en-US" w:eastAsia="zh-CN"/>
              </w:rPr>
              <w:t>参考《排放源统计调查产排污核算方法和系数手册》（生态环境部2021年第24号）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42废弃资源综合利用行业系数手册</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中4210金属废料和碎屑加工处理行业系数</w:t>
            </w:r>
            <w:r>
              <w:rPr>
                <w:rFonts w:hint="eastAsia" w:ascii="Times New Roman" w:hAnsi="Times New Roman" w:eastAsia="宋体" w:cs="Times New Roman"/>
                <w:color w:val="auto"/>
                <w:sz w:val="24"/>
                <w:szCs w:val="24"/>
                <w:highlight w:val="none"/>
                <w:lang w:val="en-US" w:eastAsia="zh-CN"/>
              </w:rPr>
              <w:t>表，手册中原料名称为“矿渣/钢渣/水渣/炉渣/铁矿渣”项产污系数进行计算，</w:t>
            </w:r>
            <w:r>
              <w:rPr>
                <w:rFonts w:hint="default" w:ascii="Times New Roman" w:hAnsi="Times New Roman" w:eastAsia="宋体" w:cs="Times New Roman"/>
                <w:color w:val="auto"/>
                <w:sz w:val="24"/>
                <w:szCs w:val="24"/>
                <w:highlight w:val="none"/>
                <w:lang w:val="en-US" w:eastAsia="zh-CN"/>
              </w:rPr>
              <w:t>所有规模</w:t>
            </w:r>
            <w:r>
              <w:rPr>
                <w:rFonts w:hint="eastAsia" w:ascii="Times New Roman" w:hAnsi="Times New Roman" w:eastAsia="宋体" w:cs="Times New Roman"/>
                <w:color w:val="auto"/>
                <w:sz w:val="24"/>
                <w:szCs w:val="24"/>
                <w:highlight w:val="none"/>
                <w:lang w:val="en-US" w:eastAsia="zh-CN"/>
              </w:rPr>
              <w:t>“破碎+筛分”</w:t>
            </w:r>
            <w:r>
              <w:rPr>
                <w:rFonts w:hint="default" w:ascii="Times New Roman" w:hAnsi="Times New Roman" w:eastAsia="宋体" w:cs="Times New Roman"/>
                <w:color w:val="auto"/>
                <w:sz w:val="24"/>
                <w:szCs w:val="24"/>
                <w:highlight w:val="none"/>
                <w:lang w:val="en-US" w:eastAsia="zh-CN"/>
              </w:rPr>
              <w:t>颗粒物产污系数为660g/t-产品</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本次按照处理原料量计算，</w:t>
            </w:r>
            <w:r>
              <w:rPr>
                <w:rFonts w:hint="eastAsia" w:cs="Times New Roman"/>
                <w:color w:val="auto"/>
                <w:sz w:val="24"/>
                <w:szCs w:val="24"/>
                <w:highlight w:val="none"/>
                <w:lang w:val="en-US" w:eastAsia="zh-CN"/>
              </w:rPr>
              <w:t>则本项目“破碎+筛分”颗粒物产生量为370.26</w:t>
            </w:r>
            <w:r>
              <w:rPr>
                <w:rFonts w:hint="default" w:ascii="Times New Roman" w:hAnsi="Times New Roman" w:eastAsia="宋体" w:cs="Times New Roman"/>
                <w:color w:val="auto"/>
                <w:sz w:val="24"/>
                <w:szCs w:val="24"/>
                <w:highlight w:val="none"/>
                <w:lang w:val="en-US" w:eastAsia="zh-CN"/>
              </w:rPr>
              <w:t>t/a。</w:t>
            </w:r>
          </w:p>
          <w:p w14:paraId="1474D318">
            <w:pPr>
              <w:pStyle w:val="31"/>
              <w:keepNext w:val="0"/>
              <w:keepLines w:val="0"/>
              <w:pageBreakBefore w:val="0"/>
              <w:widowControl w:val="0"/>
              <w:kinsoku/>
              <w:wordWrap/>
              <w:overflowPunct/>
              <w:topLinePunct w:val="0"/>
              <w:autoSpaceDE/>
              <w:autoSpaceDN/>
              <w:bidi w:val="0"/>
              <w:spacing w:line="360" w:lineRule="auto"/>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根据建设单位提供资料，</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粗碎工段铜冶炼渣</w:t>
            </w:r>
            <w:r>
              <w:rPr>
                <w:rFonts w:hint="default" w:ascii="Times New Roman" w:hAnsi="Times New Roman" w:eastAsia="宋体" w:cs="Times New Roman"/>
                <w:color w:val="auto"/>
                <w:sz w:val="24"/>
                <w:szCs w:val="24"/>
                <w:highlight w:val="none"/>
                <w:lang w:val="en-US" w:eastAsia="zh-CN"/>
              </w:rPr>
              <w:t>年处理量为</w:t>
            </w:r>
            <w:r>
              <w:rPr>
                <w:rFonts w:hint="eastAsia" w:ascii="Times New Roman" w:hAnsi="Times New Roman" w:eastAsia="宋体" w:cs="Times New Roman"/>
                <w:color w:val="auto"/>
                <w:sz w:val="24"/>
                <w:szCs w:val="24"/>
                <w:highlight w:val="none"/>
                <w:lang w:val="en-US" w:eastAsia="zh-CN"/>
              </w:rPr>
              <w:t>561000</w:t>
            </w:r>
            <w:r>
              <w:rPr>
                <w:rFonts w:hint="default"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中碎工段铜冶炼渣年处理量为561000t，细碎工段年处理量约占处理总量的85%，即476850t，破碎工段总处理量为1598850t/a；筛分工段年处理量为1037850t；破碎工段处理总量为“破碎+筛分”处理总量的60.6%，则破碎工段颗粒物产生总量为“破碎+筛分”颗粒物产生总量的60.6%，即224.38t/a；粗碎工段处理量为破碎工段总处理量的35.09%，则粗碎工段产生的颗粒物为破碎工段产生颗粒物总量的35.09%，即78.73t/a；中碎工段处理量为破碎工段总处理量的35.09%，则中碎工段产生的颗粒物为破碎工段产生颗粒物总量的35.09%，即78.73t/a；细碎工段处理量为破碎工段总处理量的29.82%，则细碎工段产生的颗粒物为破碎工段产生颗粒物总量的29.82%，即66.92t/a；筛分工段处理量为“破碎+筛分”处理总量为39.4%，则筛分工段颗粒物产生量为“破碎+筛分”颗粒物产生总量的39.4%，即145.88t/a。</w:t>
            </w:r>
          </w:p>
          <w:p w14:paraId="5912E0F5">
            <w:pPr>
              <w:pStyle w:val="31"/>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highlight w:val="none"/>
                <w:lang w:val="en-US" w:eastAsia="zh-CN"/>
              </w:rPr>
              <w:t>上料和粗碎工段产生的粉尘量为</w:t>
            </w:r>
            <w:r>
              <w:rPr>
                <w:rFonts w:hint="eastAsia" w:cs="Times New Roman"/>
                <w:color w:val="auto"/>
                <w:sz w:val="24"/>
                <w:szCs w:val="24"/>
                <w:highlight w:val="none"/>
                <w:lang w:val="en-US" w:eastAsia="zh-CN"/>
              </w:rPr>
              <w:t>79.07</w:t>
            </w:r>
            <w:r>
              <w:rPr>
                <w:rFonts w:hint="eastAsia" w:ascii="Times New Roman" w:hAnsi="Times New Roman" w:eastAsia="宋体" w:cs="Times New Roman"/>
                <w:color w:val="auto"/>
                <w:sz w:val="24"/>
                <w:szCs w:val="24"/>
                <w:highlight w:val="none"/>
                <w:lang w:val="en-US" w:eastAsia="zh-CN"/>
              </w:rPr>
              <w:t>t/a，粗碎车间在振动给料机、颚式破碎机排矿点及皮带受料点</w:t>
            </w:r>
            <w:r>
              <w:rPr>
                <w:rFonts w:hint="eastAsia" w:cs="Times New Roman"/>
                <w:color w:val="auto"/>
                <w:sz w:val="24"/>
                <w:szCs w:val="24"/>
                <w:highlight w:val="none"/>
                <w:lang w:val="en-US" w:eastAsia="zh-CN"/>
              </w:rPr>
              <w:t>分别</w:t>
            </w:r>
            <w:r>
              <w:rPr>
                <w:rFonts w:hint="eastAsia" w:ascii="Times New Roman" w:hAnsi="Times New Roman" w:eastAsia="宋体" w:cs="Times New Roman"/>
                <w:color w:val="auto"/>
                <w:sz w:val="24"/>
                <w:szCs w:val="24"/>
                <w:highlight w:val="none"/>
                <w:lang w:val="en-US" w:eastAsia="zh-CN"/>
              </w:rPr>
              <w:t>设置三个</w:t>
            </w:r>
            <w:r>
              <w:rPr>
                <w:rFonts w:hint="eastAsia" w:cs="Times New Roman"/>
                <w:color w:val="auto"/>
                <w:sz w:val="24"/>
                <w:szCs w:val="24"/>
                <w:highlight w:val="none"/>
                <w:lang w:val="en-US" w:eastAsia="zh-CN"/>
              </w:rPr>
              <w:t>集气罩</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lang w:val="en-US" w:eastAsia="zh-CN" w:bidi="ar"/>
              </w:rPr>
              <w:t>收集后</w:t>
            </w:r>
            <w:r>
              <w:rPr>
                <w:rFonts w:hint="eastAsia" w:ascii="Times New Roman" w:hAnsi="Times New Roman" w:cs="Times New Roman"/>
                <w:color w:val="auto"/>
                <w:kern w:val="0"/>
                <w:sz w:val="24"/>
                <w:szCs w:val="24"/>
                <w:lang w:val="en-US" w:eastAsia="zh-CN" w:bidi="ar"/>
              </w:rPr>
              <w:t>的粉尘</w:t>
            </w:r>
            <w:r>
              <w:rPr>
                <w:rFonts w:hint="default" w:ascii="Times New Roman" w:hAnsi="Times New Roman" w:eastAsia="宋体" w:cs="Times New Roman"/>
                <w:color w:val="auto"/>
                <w:kern w:val="0"/>
                <w:sz w:val="24"/>
                <w:szCs w:val="24"/>
                <w:lang w:val="en-US" w:eastAsia="zh-CN" w:bidi="ar"/>
              </w:rPr>
              <w:t>经布袋除尘器处理后通过</w:t>
            </w:r>
            <w:r>
              <w:rPr>
                <w:rFonts w:hint="eastAsia" w:ascii="Times New Roman" w:hAnsi="Times New Roman" w:cs="Times New Roman"/>
                <w:color w:val="auto"/>
                <w:kern w:val="0"/>
                <w:sz w:val="24"/>
                <w:szCs w:val="24"/>
                <w:lang w:val="en-US" w:eastAsia="zh-CN" w:bidi="ar"/>
              </w:rPr>
              <w:t>一根</w:t>
            </w:r>
            <w:r>
              <w:rPr>
                <w:rFonts w:hint="default" w:ascii="Times New Roman" w:hAnsi="Times New Roman" w:eastAsia="宋体" w:cs="Times New Roman"/>
                <w:color w:val="auto"/>
                <w:kern w:val="0"/>
                <w:sz w:val="24"/>
                <w:szCs w:val="24"/>
                <w:lang w:val="en-US" w:eastAsia="zh-CN" w:bidi="ar"/>
              </w:rPr>
              <w:t>高</w:t>
            </w:r>
            <w:r>
              <w:rPr>
                <w:rFonts w:hint="eastAsia" w:cs="Times New Roman"/>
                <w:color w:val="auto"/>
                <w:kern w:val="0"/>
                <w:sz w:val="24"/>
                <w:szCs w:val="24"/>
                <w:lang w:val="en-US" w:eastAsia="zh-CN" w:bidi="ar"/>
              </w:rPr>
              <w:t>17.5</w:t>
            </w:r>
            <w:r>
              <w:rPr>
                <w:rFonts w:hint="default" w:ascii="Times New Roman" w:hAnsi="Times New Roman" w:eastAsia="宋体" w:cs="Times New Roman"/>
                <w:color w:val="auto"/>
                <w:kern w:val="0"/>
                <w:sz w:val="24"/>
                <w:szCs w:val="24"/>
                <w:lang w:val="en-US" w:eastAsia="zh-CN" w:bidi="ar"/>
              </w:rPr>
              <w:t>m</w:t>
            </w:r>
            <w:r>
              <w:rPr>
                <w:rFonts w:hint="eastAsia" w:cs="Times New Roman"/>
                <w:color w:val="auto"/>
                <w:kern w:val="0"/>
                <w:sz w:val="24"/>
                <w:szCs w:val="24"/>
                <w:lang w:val="en-US" w:eastAsia="zh-CN" w:bidi="ar"/>
              </w:rPr>
              <w:t>，内径0.8m</w:t>
            </w:r>
            <w:r>
              <w:rPr>
                <w:rFonts w:hint="eastAsia" w:ascii="Times New Roman" w:hAnsi="Times New Roman"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排气筒</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排放，</w:t>
            </w:r>
            <w:r>
              <w:rPr>
                <w:rFonts w:hint="default" w:ascii="Times New Roman" w:hAnsi="Times New Roman" w:cs="Times New Roman"/>
                <w:color w:val="auto"/>
                <w:sz w:val="24"/>
                <w:highlight w:val="none"/>
              </w:rPr>
              <w:t>根据类比同类工程</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，集气罩捕集效率</w:t>
            </w:r>
            <w:r>
              <w:rPr>
                <w:rFonts w:hint="default" w:ascii="Times New Roman" w:hAnsi="Times New Roman" w:cs="Times New Roman"/>
                <w:bCs/>
                <w:color w:val="auto"/>
                <w:sz w:val="24"/>
                <w:highlight w:val="none"/>
              </w:rPr>
              <w:t>以</w:t>
            </w:r>
            <w:r>
              <w:rPr>
                <w:rFonts w:hint="default" w:ascii="Times New Roman" w:hAnsi="Times New Roman" w:cs="Times New Roman"/>
                <w:bCs/>
                <w:color w:val="auto"/>
                <w:sz w:val="24"/>
                <w:highlight w:val="none"/>
                <w:lang w:val="en-US" w:eastAsia="zh-CN"/>
              </w:rPr>
              <w:t>85</w:t>
            </w:r>
            <w:r>
              <w:rPr>
                <w:rFonts w:hint="default" w:ascii="Times New Roman" w:hAnsi="Times New Roman" w:cs="Times New Roman"/>
                <w:bCs/>
                <w:color w:val="auto"/>
                <w:sz w:val="24"/>
                <w:highlight w:val="none"/>
              </w:rPr>
              <w:t>%计</w:t>
            </w:r>
            <w:r>
              <w:rPr>
                <w:rFonts w:hint="eastAsia" w:ascii="Times New Roman" w:hAnsi="Times New Roman" w:cs="Times New Roman"/>
                <w:bCs/>
                <w:color w:val="auto"/>
                <w:sz w:val="24"/>
                <w:highlight w:val="none"/>
                <w:lang w:eastAsia="zh-CN"/>
              </w:rPr>
              <w:t>，</w:t>
            </w:r>
            <w:r>
              <w:rPr>
                <w:rFonts w:hint="eastAsia" w:cs="Times New Roman"/>
                <w:color w:val="auto"/>
                <w:kern w:val="0"/>
                <w:sz w:val="24"/>
                <w:szCs w:val="24"/>
                <w:highlight w:val="none"/>
                <w:lang w:val="en-US" w:eastAsia="zh-CN" w:bidi="ar"/>
              </w:rPr>
              <w:t>根据建设单位提供资料</w:t>
            </w:r>
            <w:r>
              <w:rPr>
                <w:rFonts w:hint="default" w:ascii="Times New Roman" w:hAnsi="Times New Roman" w:eastAsia="宋体" w:cs="Times New Roman"/>
                <w:color w:val="auto"/>
                <w:kern w:val="0"/>
                <w:sz w:val="24"/>
                <w:szCs w:val="24"/>
                <w:lang w:val="en-US" w:eastAsia="zh-CN" w:bidi="ar"/>
              </w:rPr>
              <w:t>布袋除尘器净化效率</w:t>
            </w:r>
            <w:r>
              <w:rPr>
                <w:rFonts w:hint="default" w:ascii="Arial" w:hAnsi="Arial" w:cs="Arial"/>
                <w:color w:val="auto"/>
                <w:kern w:val="0"/>
                <w:sz w:val="24"/>
                <w:szCs w:val="24"/>
                <w:lang w:val="en-US" w:eastAsia="zh-CN" w:bidi="ar"/>
              </w:rPr>
              <w:t>≥</w:t>
            </w:r>
            <w:r>
              <w:rPr>
                <w:rFonts w:hint="eastAsia"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%计</w:t>
            </w:r>
            <w:r>
              <w:rPr>
                <w:rFonts w:hint="eastAsia" w:cs="Times New Roman"/>
                <w:color w:val="auto"/>
                <w:kern w:val="0"/>
                <w:sz w:val="24"/>
                <w:szCs w:val="24"/>
                <w:lang w:val="en-US" w:eastAsia="zh-CN" w:bidi="ar"/>
              </w:rPr>
              <w:t>，本项目取99%计算，</w:t>
            </w:r>
            <w:r>
              <w:rPr>
                <w:rFonts w:hint="default" w:ascii="Times New Roman" w:hAnsi="Times New Roman" w:eastAsia="宋体" w:cs="Times New Roman"/>
                <w:color w:val="auto"/>
                <w:kern w:val="0"/>
                <w:sz w:val="24"/>
                <w:szCs w:val="24"/>
                <w:lang w:val="en-US" w:eastAsia="zh-CN" w:bidi="ar"/>
              </w:rPr>
              <w:t>设置的风机总风量为</w:t>
            </w:r>
            <w:r>
              <w:rPr>
                <w:rFonts w:hint="eastAsia" w:ascii="Times New Roman" w:hAnsi="Times New Roman" w:eastAsia="宋体" w:cs="Times New Roman"/>
                <w:color w:val="auto"/>
                <w:kern w:val="0"/>
                <w:sz w:val="24"/>
                <w:szCs w:val="24"/>
                <w:lang w:val="en-US" w:eastAsia="zh-CN" w:bidi="ar"/>
              </w:rPr>
              <w:t>32000</w:t>
            </w:r>
            <w:r>
              <w:rPr>
                <w:rFonts w:hint="eastAsia" w:cs="Times New Roman"/>
                <w:color w:val="auto"/>
                <w:kern w:val="0"/>
                <w:sz w:val="24"/>
                <w:szCs w:val="24"/>
                <w:lang w:val="en-US" w:eastAsia="zh-CN" w:bidi="ar"/>
              </w:rPr>
              <w:t>N</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破碎工段</w:t>
            </w:r>
            <w:r>
              <w:rPr>
                <w:rFonts w:hint="default" w:ascii="Times New Roman" w:hAnsi="Times New Roman" w:eastAsia="宋体" w:cs="Times New Roman"/>
                <w:color w:val="auto"/>
                <w:kern w:val="0"/>
                <w:sz w:val="24"/>
                <w:szCs w:val="24"/>
                <w:lang w:val="en-US" w:eastAsia="zh-CN" w:bidi="ar"/>
              </w:rPr>
              <w:t>年工作时间为</w:t>
            </w:r>
            <w:r>
              <w:rPr>
                <w:rFonts w:hint="eastAsia" w:ascii="Times New Roman" w:hAnsi="Times New Roman" w:cs="Times New Roman"/>
                <w:color w:val="auto"/>
                <w:kern w:val="0"/>
                <w:sz w:val="24"/>
                <w:szCs w:val="24"/>
                <w:lang w:val="en-US" w:eastAsia="zh-CN" w:bidi="ar"/>
              </w:rPr>
              <w:t>5280</w:t>
            </w:r>
            <w:r>
              <w:rPr>
                <w:rFonts w:hint="default" w:ascii="Times New Roman" w:hAnsi="Times New Roman" w:eastAsia="宋体" w:cs="Times New Roman"/>
                <w:color w:val="auto"/>
                <w:kern w:val="0"/>
                <w:sz w:val="24"/>
                <w:szCs w:val="24"/>
                <w:lang w:val="en-US" w:eastAsia="zh-CN" w:bidi="ar"/>
              </w:rPr>
              <w:t>h。因此，本项目</w:t>
            </w:r>
            <w:r>
              <w:rPr>
                <w:rFonts w:hint="eastAsia" w:ascii="Times New Roman" w:hAnsi="Times New Roman" w:eastAsia="宋体" w:cs="Times New Roman"/>
                <w:color w:val="auto"/>
                <w:kern w:val="0"/>
                <w:sz w:val="24"/>
                <w:szCs w:val="24"/>
                <w:lang w:val="en-US" w:eastAsia="zh-CN" w:bidi="ar"/>
              </w:rPr>
              <w:t>粗碎和上料</w:t>
            </w:r>
            <w:r>
              <w:rPr>
                <w:rFonts w:hint="default" w:ascii="Times New Roman" w:hAnsi="Times New Roman" w:eastAsia="宋体" w:cs="Times New Roman"/>
                <w:color w:val="auto"/>
                <w:kern w:val="0"/>
                <w:sz w:val="24"/>
                <w:szCs w:val="24"/>
                <w:lang w:val="en-US" w:eastAsia="zh-CN" w:bidi="ar"/>
              </w:rPr>
              <w:t>废气排放量为</w:t>
            </w:r>
            <w:r>
              <w:rPr>
                <w:rFonts w:hint="eastAsia" w:cs="Times New Roman"/>
                <w:color w:val="auto"/>
                <w:kern w:val="0"/>
                <w:sz w:val="24"/>
                <w:szCs w:val="24"/>
                <w:lang w:val="en-US" w:eastAsia="zh-CN" w:bidi="ar"/>
              </w:rPr>
              <w:t>0.67</w:t>
            </w:r>
            <w:r>
              <w:rPr>
                <w:rFonts w:hint="default" w:ascii="Times New Roman" w:hAnsi="Times New Roman" w:eastAsia="宋体" w:cs="Times New Roman"/>
                <w:color w:val="auto"/>
                <w:kern w:val="0"/>
                <w:sz w:val="24"/>
                <w:szCs w:val="24"/>
                <w:lang w:val="en-US" w:eastAsia="zh-CN" w:bidi="ar"/>
              </w:rPr>
              <w:t>t/a（</w:t>
            </w:r>
            <w:r>
              <w:rPr>
                <w:rFonts w:hint="eastAsia" w:cs="Times New Roman"/>
                <w:color w:val="auto"/>
                <w:kern w:val="0"/>
                <w:sz w:val="24"/>
                <w:szCs w:val="24"/>
                <w:lang w:val="en-US" w:eastAsia="zh-CN" w:bidi="ar"/>
              </w:rPr>
              <w:t>0.13</w:t>
            </w:r>
            <w:r>
              <w:rPr>
                <w:rFonts w:hint="default" w:ascii="Times New Roman" w:hAnsi="Times New Roman" w:eastAsia="宋体" w:cs="Times New Roman"/>
                <w:color w:val="auto"/>
                <w:kern w:val="0"/>
                <w:sz w:val="24"/>
                <w:szCs w:val="24"/>
                <w:lang w:val="en-US" w:eastAsia="zh-CN" w:bidi="ar"/>
              </w:rPr>
              <w:t>kg/h），排放浓度为</w:t>
            </w:r>
            <w:r>
              <w:rPr>
                <w:rFonts w:hint="eastAsia" w:cs="Times New Roman"/>
                <w:color w:val="auto"/>
                <w:kern w:val="0"/>
                <w:sz w:val="24"/>
                <w:szCs w:val="24"/>
                <w:lang w:val="en-US" w:eastAsia="zh-CN" w:bidi="ar"/>
              </w:rPr>
              <w:t>4.06</w:t>
            </w:r>
            <w:r>
              <w:rPr>
                <w:rFonts w:hint="default" w:ascii="Times New Roman" w:hAnsi="Times New Roman" w:eastAsia="宋体" w:cs="Times New Roman"/>
                <w:color w:val="auto"/>
                <w:kern w:val="0"/>
                <w:sz w:val="24"/>
                <w:szCs w:val="24"/>
                <w:lang w:val="en-US" w:eastAsia="zh-CN" w:bidi="ar"/>
              </w:rPr>
              <w:t>mg/m</w:t>
            </w:r>
            <w:r>
              <w:rPr>
                <w:rFonts w:hint="eastAsia" w:ascii="Times New Roman" w:hAnsi="Times New Roman"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w:t>
            </w:r>
          </w:p>
          <w:p w14:paraId="29232536">
            <w:pPr>
              <w:pStyle w:val="31"/>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kern w:val="0"/>
                <w:sz w:val="24"/>
                <w:szCs w:val="24"/>
                <w:lang w:val="en-US" w:eastAsia="zh-CN" w:bidi="ar"/>
              </w:rPr>
            </w:pPr>
            <w:r>
              <w:rPr>
                <w:rFonts w:hint="eastAsia" w:cs="Times New Roman"/>
                <w:color w:val="auto"/>
                <w:sz w:val="24"/>
                <w:szCs w:val="24"/>
                <w:highlight w:val="none"/>
                <w:lang w:val="en-US" w:eastAsia="zh-CN"/>
              </w:rPr>
              <w:t>中细碎车间</w:t>
            </w:r>
            <w:r>
              <w:rPr>
                <w:rFonts w:hint="eastAsia" w:ascii="Times New Roman" w:hAnsi="Times New Roman" w:eastAsia="宋体" w:cs="Times New Roman"/>
                <w:color w:val="auto"/>
                <w:sz w:val="24"/>
                <w:szCs w:val="24"/>
                <w:highlight w:val="none"/>
                <w:lang w:val="en-US" w:eastAsia="zh-CN"/>
              </w:rPr>
              <w:t>产生的粉尘量为</w:t>
            </w:r>
            <w:r>
              <w:rPr>
                <w:rFonts w:hint="eastAsia" w:cs="Times New Roman"/>
                <w:color w:val="auto"/>
                <w:sz w:val="24"/>
                <w:szCs w:val="24"/>
                <w:highlight w:val="none"/>
                <w:lang w:val="en-US" w:eastAsia="zh-CN"/>
              </w:rPr>
              <w:t>145.65</w:t>
            </w:r>
            <w:r>
              <w:rPr>
                <w:rFonts w:hint="eastAsia"/>
                <w:color w:val="000000"/>
                <w:sz w:val="24"/>
                <w:lang w:val="en-US" w:eastAsia="zh-CN"/>
              </w:rPr>
              <w:t>t/a，分别</w:t>
            </w:r>
            <w:r>
              <w:rPr>
                <w:rFonts w:hint="eastAsia" w:ascii="Times New Roman" w:hAnsi="Times New Roman" w:eastAsia="宋体" w:cs="Times New Roman"/>
                <w:color w:val="auto"/>
                <w:kern w:val="0"/>
                <w:sz w:val="24"/>
                <w:szCs w:val="24"/>
                <w:lang w:val="en-US" w:eastAsia="zh-CN" w:bidi="ar"/>
              </w:rPr>
              <w:t>在颚式破碎机（中碎）</w:t>
            </w:r>
            <w:r>
              <w:rPr>
                <w:rFonts w:hint="eastAsia" w:ascii="Times New Roman" w:hAnsi="Times New Roman" w:eastAsia="宋体" w:cs="Times New Roman"/>
                <w:color w:val="000000"/>
                <w:sz w:val="24"/>
                <w:lang w:val="en-US" w:eastAsia="zh-CN"/>
              </w:rPr>
              <w:t>和圆锥破碎机（细碎）上</w:t>
            </w:r>
            <w:r>
              <w:rPr>
                <w:rFonts w:hint="eastAsia"/>
                <w:color w:val="000000"/>
                <w:sz w:val="24"/>
                <w:lang w:val="en-US" w:eastAsia="zh-CN"/>
              </w:rPr>
              <w:t>方安装了集气罩收集粉尘，</w:t>
            </w:r>
            <w:r>
              <w:rPr>
                <w:rFonts w:hint="default" w:ascii="Times New Roman" w:hAnsi="Times New Roman" w:eastAsia="宋体" w:cs="Times New Roman"/>
                <w:color w:val="auto"/>
                <w:kern w:val="0"/>
                <w:sz w:val="24"/>
                <w:szCs w:val="24"/>
                <w:lang w:val="en-US" w:eastAsia="zh-CN" w:bidi="ar"/>
              </w:rPr>
              <w:t>收集后</w:t>
            </w:r>
            <w:r>
              <w:rPr>
                <w:rFonts w:hint="eastAsia" w:ascii="Times New Roman" w:hAnsi="Times New Roman" w:cs="Times New Roman"/>
                <w:color w:val="auto"/>
                <w:kern w:val="0"/>
                <w:sz w:val="24"/>
                <w:szCs w:val="24"/>
                <w:lang w:val="en-US" w:eastAsia="zh-CN" w:bidi="ar"/>
              </w:rPr>
              <w:t>的粉尘</w:t>
            </w:r>
            <w:r>
              <w:rPr>
                <w:rFonts w:hint="default" w:ascii="Times New Roman" w:hAnsi="Times New Roman" w:eastAsia="宋体" w:cs="Times New Roman"/>
                <w:color w:val="auto"/>
                <w:kern w:val="0"/>
                <w:sz w:val="24"/>
                <w:szCs w:val="24"/>
                <w:lang w:val="en-US" w:eastAsia="zh-CN" w:bidi="ar"/>
              </w:rPr>
              <w:t>经布袋除尘器处理后通过</w:t>
            </w:r>
            <w:r>
              <w:rPr>
                <w:rFonts w:hint="eastAsia" w:ascii="Times New Roman" w:hAnsi="Times New Roman" w:cs="Times New Roman"/>
                <w:color w:val="auto"/>
                <w:kern w:val="0"/>
                <w:sz w:val="24"/>
                <w:szCs w:val="24"/>
                <w:lang w:val="en-US" w:eastAsia="zh-CN" w:bidi="ar"/>
              </w:rPr>
              <w:t>一根</w:t>
            </w:r>
            <w:r>
              <w:rPr>
                <w:rFonts w:hint="default" w:ascii="Times New Roman" w:hAnsi="Times New Roman" w:eastAsia="宋体" w:cs="Times New Roman"/>
                <w:color w:val="auto"/>
                <w:kern w:val="0"/>
                <w:sz w:val="24"/>
                <w:szCs w:val="24"/>
                <w:lang w:val="en-US" w:eastAsia="zh-CN" w:bidi="ar"/>
              </w:rPr>
              <w:t>高</w:t>
            </w:r>
            <w:r>
              <w:rPr>
                <w:rFonts w:hint="eastAsia" w:cs="Times New Roman"/>
                <w:color w:val="auto"/>
                <w:kern w:val="0"/>
                <w:sz w:val="24"/>
                <w:szCs w:val="24"/>
                <w:lang w:val="en-US" w:eastAsia="zh-CN" w:bidi="ar"/>
              </w:rPr>
              <w:t>17.5</w:t>
            </w:r>
            <w:r>
              <w:rPr>
                <w:rFonts w:hint="default" w:ascii="Times New Roman" w:hAnsi="Times New Roman" w:eastAsia="宋体" w:cs="Times New Roman"/>
                <w:color w:val="auto"/>
                <w:kern w:val="0"/>
                <w:sz w:val="24"/>
                <w:szCs w:val="24"/>
                <w:lang w:val="en-US" w:eastAsia="zh-CN" w:bidi="ar"/>
              </w:rPr>
              <w:t>m</w:t>
            </w:r>
            <w:r>
              <w:rPr>
                <w:rFonts w:hint="eastAsia" w:cs="Times New Roman"/>
                <w:color w:val="auto"/>
                <w:kern w:val="0"/>
                <w:sz w:val="24"/>
                <w:szCs w:val="24"/>
                <w:lang w:val="en-US" w:eastAsia="zh-CN" w:bidi="ar"/>
              </w:rPr>
              <w:t>，内径0.8</w:t>
            </w:r>
            <w:r>
              <w:rPr>
                <w:rFonts w:hint="eastAsia" w:ascii="Times New Roman" w:hAnsi="Times New Roman"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排气筒</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排放，</w:t>
            </w:r>
            <w:r>
              <w:rPr>
                <w:rFonts w:hint="default" w:ascii="Times New Roman" w:hAnsi="Times New Roman" w:cs="Times New Roman"/>
                <w:color w:val="auto"/>
                <w:sz w:val="24"/>
                <w:highlight w:val="none"/>
              </w:rPr>
              <w:t>根据类比同类工程</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，集气罩捕集效率</w:t>
            </w:r>
            <w:r>
              <w:rPr>
                <w:rFonts w:hint="default" w:ascii="Times New Roman" w:hAnsi="Times New Roman" w:cs="Times New Roman"/>
                <w:bCs/>
                <w:color w:val="auto"/>
                <w:sz w:val="24"/>
                <w:highlight w:val="none"/>
              </w:rPr>
              <w:t>以</w:t>
            </w:r>
            <w:r>
              <w:rPr>
                <w:rFonts w:hint="default" w:ascii="Times New Roman" w:hAnsi="Times New Roman" w:cs="Times New Roman"/>
                <w:bCs/>
                <w:color w:val="auto"/>
                <w:sz w:val="24"/>
                <w:highlight w:val="none"/>
                <w:lang w:val="en-US" w:eastAsia="zh-CN"/>
              </w:rPr>
              <w:t>85</w:t>
            </w:r>
            <w:r>
              <w:rPr>
                <w:rFonts w:hint="default" w:ascii="Times New Roman" w:hAnsi="Times New Roman" w:cs="Times New Roman"/>
                <w:bCs/>
                <w:color w:val="auto"/>
                <w:sz w:val="24"/>
                <w:highlight w:val="none"/>
              </w:rPr>
              <w:t>%计</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布袋除尘器净化效率以</w:t>
            </w:r>
            <w:r>
              <w:rPr>
                <w:rFonts w:hint="eastAsia"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%计。设置的风机总风量为</w:t>
            </w:r>
            <w:r>
              <w:rPr>
                <w:rFonts w:hint="eastAsia" w:ascii="Times New Roman" w:hAnsi="Times New Roman" w:eastAsia="宋体" w:cs="Times New Roman"/>
                <w:color w:val="auto"/>
                <w:kern w:val="0"/>
                <w:sz w:val="24"/>
                <w:szCs w:val="24"/>
                <w:lang w:val="en-US" w:eastAsia="zh-CN" w:bidi="ar"/>
              </w:rPr>
              <w:t>49000</w:t>
            </w:r>
            <w:r>
              <w:rPr>
                <w:rFonts w:hint="eastAsia" w:cs="Times New Roman"/>
                <w:color w:val="auto"/>
                <w:kern w:val="0"/>
                <w:sz w:val="24"/>
                <w:szCs w:val="24"/>
                <w:lang w:val="en-US" w:eastAsia="zh-CN" w:bidi="ar"/>
              </w:rPr>
              <w:t>N</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破碎工段</w:t>
            </w:r>
            <w:r>
              <w:rPr>
                <w:rFonts w:hint="default" w:ascii="Times New Roman" w:hAnsi="Times New Roman" w:eastAsia="宋体" w:cs="Times New Roman"/>
                <w:color w:val="auto"/>
                <w:kern w:val="0"/>
                <w:sz w:val="24"/>
                <w:szCs w:val="24"/>
                <w:lang w:val="en-US" w:eastAsia="zh-CN" w:bidi="ar"/>
              </w:rPr>
              <w:t>年工作时间为</w:t>
            </w:r>
            <w:r>
              <w:rPr>
                <w:rFonts w:hint="eastAsia" w:ascii="Times New Roman" w:hAnsi="Times New Roman" w:cs="Times New Roman"/>
                <w:color w:val="auto"/>
                <w:kern w:val="0"/>
                <w:sz w:val="24"/>
                <w:szCs w:val="24"/>
                <w:lang w:val="en-US" w:eastAsia="zh-CN" w:bidi="ar"/>
              </w:rPr>
              <w:t>5280</w:t>
            </w:r>
            <w:r>
              <w:rPr>
                <w:rFonts w:hint="default" w:ascii="Times New Roman" w:hAnsi="Times New Roman" w:eastAsia="宋体" w:cs="Times New Roman"/>
                <w:color w:val="auto"/>
                <w:kern w:val="0"/>
                <w:sz w:val="24"/>
                <w:szCs w:val="24"/>
                <w:lang w:val="en-US" w:eastAsia="zh-CN" w:bidi="ar"/>
              </w:rPr>
              <w:t>h。因此，本项目</w:t>
            </w:r>
            <w:r>
              <w:rPr>
                <w:rFonts w:hint="eastAsia" w:cs="Times New Roman"/>
                <w:color w:val="auto"/>
                <w:kern w:val="0"/>
                <w:sz w:val="24"/>
                <w:szCs w:val="24"/>
                <w:lang w:val="en-US" w:eastAsia="zh-CN" w:bidi="ar"/>
              </w:rPr>
              <w:t>中细碎工段</w:t>
            </w:r>
            <w:r>
              <w:rPr>
                <w:rFonts w:hint="default" w:ascii="Times New Roman" w:hAnsi="Times New Roman" w:eastAsia="宋体" w:cs="Times New Roman"/>
                <w:color w:val="auto"/>
                <w:kern w:val="0"/>
                <w:sz w:val="24"/>
                <w:szCs w:val="24"/>
                <w:lang w:val="en-US" w:eastAsia="zh-CN" w:bidi="ar"/>
              </w:rPr>
              <w:t>排放量为</w:t>
            </w:r>
            <w:r>
              <w:rPr>
                <w:rFonts w:hint="eastAsia" w:cs="Times New Roman"/>
                <w:color w:val="auto"/>
                <w:kern w:val="0"/>
                <w:sz w:val="24"/>
                <w:szCs w:val="24"/>
                <w:lang w:val="en-US" w:eastAsia="zh-CN" w:bidi="ar"/>
              </w:rPr>
              <w:t>1.24</w:t>
            </w:r>
            <w:r>
              <w:rPr>
                <w:rFonts w:hint="default" w:ascii="Times New Roman" w:hAnsi="Times New Roman" w:eastAsia="宋体" w:cs="Times New Roman"/>
                <w:color w:val="auto"/>
                <w:kern w:val="0"/>
                <w:sz w:val="24"/>
                <w:szCs w:val="24"/>
                <w:lang w:val="en-US" w:eastAsia="zh-CN" w:bidi="ar"/>
              </w:rPr>
              <w:t>t/a（</w:t>
            </w:r>
            <w:r>
              <w:rPr>
                <w:rFonts w:hint="eastAsia" w:cs="Times New Roman"/>
                <w:color w:val="auto"/>
                <w:kern w:val="0"/>
                <w:sz w:val="24"/>
                <w:szCs w:val="24"/>
                <w:lang w:val="en-US" w:eastAsia="zh-CN" w:bidi="ar"/>
              </w:rPr>
              <w:t>0.23</w:t>
            </w:r>
            <w:r>
              <w:rPr>
                <w:rFonts w:hint="default" w:ascii="Times New Roman" w:hAnsi="Times New Roman" w:eastAsia="宋体" w:cs="Times New Roman"/>
                <w:color w:val="auto"/>
                <w:kern w:val="0"/>
                <w:sz w:val="24"/>
                <w:szCs w:val="24"/>
                <w:lang w:val="en-US" w:eastAsia="zh-CN" w:bidi="ar"/>
              </w:rPr>
              <w:t>kg/h），排放浓度为</w:t>
            </w:r>
            <w:r>
              <w:rPr>
                <w:rFonts w:hint="eastAsia" w:cs="Times New Roman"/>
                <w:color w:val="auto"/>
                <w:kern w:val="0"/>
                <w:sz w:val="24"/>
                <w:szCs w:val="24"/>
                <w:lang w:val="en-US" w:eastAsia="zh-CN" w:bidi="ar"/>
              </w:rPr>
              <w:t>4.69</w:t>
            </w:r>
            <w:r>
              <w:rPr>
                <w:rFonts w:hint="default" w:ascii="Times New Roman" w:hAnsi="Times New Roman" w:eastAsia="宋体" w:cs="Times New Roman"/>
                <w:color w:val="auto"/>
                <w:kern w:val="0"/>
                <w:sz w:val="24"/>
                <w:szCs w:val="24"/>
                <w:lang w:val="en-US" w:eastAsia="zh-CN" w:bidi="ar"/>
              </w:rPr>
              <w:t>mg/m</w:t>
            </w:r>
            <w:r>
              <w:rPr>
                <w:rFonts w:hint="eastAsia" w:ascii="Times New Roman" w:hAnsi="Times New Roman"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w:t>
            </w:r>
          </w:p>
          <w:p w14:paraId="6D5C0D88">
            <w:pPr>
              <w:pStyle w:val="31"/>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kern w:val="0"/>
                <w:sz w:val="24"/>
                <w:szCs w:val="24"/>
                <w:lang w:val="en-US" w:eastAsia="zh-CN" w:bidi="ar"/>
              </w:rPr>
            </w:pPr>
            <w:r>
              <w:rPr>
                <w:rFonts w:hint="eastAsia" w:cs="Times New Roman"/>
                <w:color w:val="auto"/>
                <w:sz w:val="24"/>
                <w:szCs w:val="24"/>
                <w:highlight w:val="none"/>
                <w:lang w:val="en-US" w:eastAsia="zh-CN"/>
              </w:rPr>
              <w:t>筛分工段</w:t>
            </w:r>
            <w:r>
              <w:rPr>
                <w:rFonts w:hint="eastAsia" w:ascii="Times New Roman" w:hAnsi="Times New Roman" w:eastAsia="宋体" w:cs="Times New Roman"/>
                <w:color w:val="auto"/>
                <w:sz w:val="24"/>
                <w:szCs w:val="24"/>
                <w:highlight w:val="none"/>
                <w:lang w:val="en-US" w:eastAsia="zh-CN"/>
              </w:rPr>
              <w:t>的粉尘量为</w:t>
            </w:r>
            <w:r>
              <w:rPr>
                <w:rFonts w:hint="eastAsia" w:cs="Times New Roman"/>
                <w:color w:val="auto"/>
                <w:sz w:val="24"/>
                <w:szCs w:val="24"/>
                <w:highlight w:val="none"/>
                <w:lang w:val="en-US" w:eastAsia="zh-CN"/>
              </w:rPr>
              <w:t>145.88</w:t>
            </w:r>
            <w:r>
              <w:rPr>
                <w:rFonts w:hint="eastAsia"/>
                <w:color w:val="000000"/>
                <w:sz w:val="24"/>
                <w:lang w:val="en-US" w:eastAsia="zh-CN"/>
              </w:rPr>
              <w:t>t/a，在筛分机上方安装了集气罩收集粉尘，</w:t>
            </w:r>
            <w:r>
              <w:rPr>
                <w:rFonts w:hint="default" w:ascii="Times New Roman" w:hAnsi="Times New Roman" w:eastAsia="宋体" w:cs="Times New Roman"/>
                <w:color w:val="auto"/>
                <w:kern w:val="0"/>
                <w:sz w:val="24"/>
                <w:szCs w:val="24"/>
                <w:lang w:val="en-US" w:eastAsia="zh-CN" w:bidi="ar"/>
              </w:rPr>
              <w:t>收集后</w:t>
            </w:r>
            <w:r>
              <w:rPr>
                <w:rFonts w:hint="eastAsia" w:ascii="Times New Roman" w:hAnsi="Times New Roman" w:cs="Times New Roman"/>
                <w:color w:val="auto"/>
                <w:kern w:val="0"/>
                <w:sz w:val="24"/>
                <w:szCs w:val="24"/>
                <w:lang w:val="en-US" w:eastAsia="zh-CN" w:bidi="ar"/>
              </w:rPr>
              <w:t>的粉尘</w:t>
            </w:r>
            <w:r>
              <w:rPr>
                <w:rFonts w:hint="default" w:ascii="Times New Roman" w:hAnsi="Times New Roman" w:eastAsia="宋体" w:cs="Times New Roman"/>
                <w:color w:val="auto"/>
                <w:kern w:val="0"/>
                <w:sz w:val="24"/>
                <w:szCs w:val="24"/>
                <w:lang w:val="en-US" w:eastAsia="zh-CN" w:bidi="ar"/>
              </w:rPr>
              <w:t>经布袋除尘器处理后通过</w:t>
            </w:r>
            <w:r>
              <w:rPr>
                <w:rFonts w:hint="eastAsia" w:ascii="Times New Roman" w:hAnsi="Times New Roman" w:cs="Times New Roman"/>
                <w:color w:val="auto"/>
                <w:kern w:val="0"/>
                <w:sz w:val="24"/>
                <w:szCs w:val="24"/>
                <w:lang w:val="en-US" w:eastAsia="zh-CN" w:bidi="ar"/>
              </w:rPr>
              <w:t>一根</w:t>
            </w:r>
            <w:r>
              <w:rPr>
                <w:rFonts w:hint="default" w:ascii="Times New Roman" w:hAnsi="Times New Roman" w:eastAsia="宋体" w:cs="Times New Roman"/>
                <w:color w:val="auto"/>
                <w:kern w:val="0"/>
                <w:sz w:val="24"/>
                <w:szCs w:val="24"/>
                <w:lang w:val="en-US" w:eastAsia="zh-CN" w:bidi="ar"/>
              </w:rPr>
              <w:t>高</w:t>
            </w:r>
            <w:r>
              <w:rPr>
                <w:rFonts w:hint="eastAsia" w:cs="Times New Roman"/>
                <w:color w:val="auto"/>
                <w:kern w:val="0"/>
                <w:sz w:val="24"/>
                <w:szCs w:val="24"/>
                <w:lang w:val="en-US" w:eastAsia="zh-CN" w:bidi="ar"/>
              </w:rPr>
              <w:t>23.5</w:t>
            </w:r>
            <w:r>
              <w:rPr>
                <w:rFonts w:hint="default" w:ascii="Times New Roman" w:hAnsi="Times New Roman" w:eastAsia="宋体" w:cs="Times New Roman"/>
                <w:color w:val="auto"/>
                <w:kern w:val="0"/>
                <w:sz w:val="24"/>
                <w:szCs w:val="24"/>
                <w:lang w:val="en-US" w:eastAsia="zh-CN" w:bidi="ar"/>
              </w:rPr>
              <w:t>m</w:t>
            </w:r>
            <w:r>
              <w:rPr>
                <w:rFonts w:hint="eastAsia" w:cs="Times New Roman"/>
                <w:color w:val="auto"/>
                <w:kern w:val="0"/>
                <w:sz w:val="24"/>
                <w:szCs w:val="24"/>
                <w:lang w:val="en-US" w:eastAsia="zh-CN" w:bidi="ar"/>
              </w:rPr>
              <w:t>，内径1.0m</w:t>
            </w:r>
            <w:r>
              <w:rPr>
                <w:rFonts w:hint="eastAsia" w:ascii="Times New Roman" w:hAnsi="Times New Roman"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排气筒</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6</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排放，</w:t>
            </w:r>
            <w:r>
              <w:rPr>
                <w:rFonts w:hint="default" w:ascii="Times New Roman" w:hAnsi="Times New Roman" w:cs="Times New Roman"/>
                <w:color w:val="auto"/>
                <w:sz w:val="24"/>
                <w:highlight w:val="none"/>
              </w:rPr>
              <w:t>根据类比同类工程</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，集气罩捕集效率</w:t>
            </w:r>
            <w:r>
              <w:rPr>
                <w:rFonts w:hint="default" w:ascii="Times New Roman" w:hAnsi="Times New Roman" w:cs="Times New Roman"/>
                <w:bCs/>
                <w:color w:val="auto"/>
                <w:sz w:val="24"/>
                <w:highlight w:val="none"/>
              </w:rPr>
              <w:t>以</w:t>
            </w:r>
            <w:r>
              <w:rPr>
                <w:rFonts w:hint="default" w:ascii="Times New Roman" w:hAnsi="Times New Roman" w:cs="Times New Roman"/>
                <w:bCs/>
                <w:color w:val="auto"/>
                <w:sz w:val="24"/>
                <w:highlight w:val="none"/>
                <w:lang w:val="en-US" w:eastAsia="zh-CN"/>
              </w:rPr>
              <w:t>85</w:t>
            </w:r>
            <w:r>
              <w:rPr>
                <w:rFonts w:hint="default" w:ascii="Times New Roman" w:hAnsi="Times New Roman" w:cs="Times New Roman"/>
                <w:bCs/>
                <w:color w:val="auto"/>
                <w:sz w:val="24"/>
                <w:highlight w:val="none"/>
              </w:rPr>
              <w:t>%计</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布袋除尘器净化效率以</w:t>
            </w:r>
            <w:r>
              <w:rPr>
                <w:rFonts w:hint="eastAsia"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%计。设置的风机总风量为</w:t>
            </w:r>
            <w:r>
              <w:rPr>
                <w:rFonts w:hint="eastAsia" w:ascii="Times New Roman" w:hAnsi="Times New Roman" w:eastAsia="宋体" w:cs="Times New Roman"/>
                <w:color w:val="auto"/>
                <w:kern w:val="0"/>
                <w:sz w:val="24"/>
                <w:szCs w:val="24"/>
                <w:lang w:val="en-US" w:eastAsia="zh-CN" w:bidi="ar"/>
              </w:rPr>
              <w:t>32000</w:t>
            </w:r>
            <w:r>
              <w:rPr>
                <w:rFonts w:hint="eastAsia" w:cs="Times New Roman"/>
                <w:color w:val="auto"/>
                <w:kern w:val="0"/>
                <w:sz w:val="24"/>
                <w:szCs w:val="24"/>
                <w:lang w:val="en-US" w:eastAsia="zh-CN" w:bidi="ar"/>
              </w:rPr>
              <w:t>N</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破碎工段</w:t>
            </w:r>
            <w:r>
              <w:rPr>
                <w:rFonts w:hint="default" w:ascii="Times New Roman" w:hAnsi="Times New Roman" w:eastAsia="宋体" w:cs="Times New Roman"/>
                <w:color w:val="auto"/>
                <w:kern w:val="0"/>
                <w:sz w:val="24"/>
                <w:szCs w:val="24"/>
                <w:lang w:val="en-US" w:eastAsia="zh-CN" w:bidi="ar"/>
              </w:rPr>
              <w:t>年工作</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时间为</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5280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h。因此，本项目</w:t>
            </w:r>
            <w:r>
              <w:rPr>
                <w:rFonts w:hint="eastAsia" w:cs="Times New Roman"/>
                <w:color w:val="000000" w:themeColor="text1"/>
                <w:kern w:val="0"/>
                <w:sz w:val="24"/>
                <w:szCs w:val="24"/>
                <w:lang w:val="en-US" w:eastAsia="zh-CN" w:bidi="ar"/>
                <w14:textFill>
                  <w14:solidFill>
                    <w14:schemeClr w14:val="tx1"/>
                  </w14:solidFill>
                </w14:textFill>
              </w:rPr>
              <w:t>筛分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工段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排放量为</w:t>
            </w:r>
            <w:r>
              <w:rPr>
                <w:rFonts w:hint="eastAsia" w:cs="Times New Roman"/>
                <w:color w:val="000000" w:themeColor="text1"/>
                <w:kern w:val="0"/>
                <w:sz w:val="24"/>
                <w:szCs w:val="24"/>
                <w:lang w:val="en-US" w:eastAsia="zh-CN" w:bidi="ar"/>
                <w14:textFill>
                  <w14:solidFill>
                    <w14:schemeClr w14:val="tx1"/>
                  </w14:solidFill>
                </w14:textFill>
              </w:rPr>
              <w:t>1.24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cs="Times New Roman"/>
                <w:color w:val="000000" w:themeColor="text1"/>
                <w:kern w:val="0"/>
                <w:sz w:val="24"/>
                <w:szCs w:val="24"/>
                <w:lang w:val="en-US" w:eastAsia="zh-CN" w:bidi="ar"/>
                <w14:textFill>
                  <w14:solidFill>
                    <w14:schemeClr w14:val="tx1"/>
                  </w14:solidFill>
                </w14:textFill>
              </w:rPr>
              <w:t>0.23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kg/h），排放浓度为</w:t>
            </w:r>
            <w:r>
              <w:rPr>
                <w:rFonts w:hint="eastAsia" w:cs="Times New Roman"/>
                <w:color w:val="000000" w:themeColor="text1"/>
                <w:kern w:val="0"/>
                <w:sz w:val="24"/>
                <w:szCs w:val="24"/>
                <w:lang w:val="en-US" w:eastAsia="zh-CN" w:bidi="ar"/>
                <w14:textFill>
                  <w14:solidFill>
                    <w14:schemeClr w14:val="tx1"/>
                  </w14:solidFill>
                </w14:textFill>
              </w:rPr>
              <w:t>7.19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eastAsia"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color w:val="auto"/>
                <w:kern w:val="0"/>
                <w:sz w:val="24"/>
                <w:szCs w:val="24"/>
                <w:lang w:val="en-US" w:eastAsia="zh-CN" w:bidi="ar"/>
              </w:rPr>
              <w:t>。</w:t>
            </w:r>
          </w:p>
          <w:p w14:paraId="231C11A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
                <w:bCs/>
                <w:color w:val="auto"/>
                <w:sz w:val="24"/>
                <w:szCs w:val="24"/>
              </w:rPr>
              <w:t>1.</w:t>
            </w:r>
            <w:r>
              <w:rPr>
                <w:rFonts w:hint="eastAsia"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rPr>
              <w:t>.2无组织废气源强核算</w:t>
            </w:r>
          </w:p>
          <w:p w14:paraId="388A9118">
            <w:pPr>
              <w:pStyle w:val="3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1、铜冶炼渣堆场粉尘</w:t>
            </w:r>
          </w:p>
          <w:p w14:paraId="7AB69BAA">
            <w:pPr>
              <w:pStyle w:val="31"/>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铜冶炼渣堆场占地面积为</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500m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，设置顶棚及严密围挡，堆场表面矿尘的排放受诸如风速、矿堆的几何形状、矿堆密度、水分含量等多种因素的影响。本项目</w:t>
            </w:r>
            <w:r>
              <w:rPr>
                <w:rFonts w:hint="eastAsia" w:ascii="Times New Roman" w:hAnsi="Times New Roman" w:eastAsia="宋体" w:cs="Times New Roman"/>
                <w:color w:val="auto"/>
                <w:kern w:val="0"/>
                <w:sz w:val="24"/>
                <w:szCs w:val="24"/>
                <w:lang w:val="en-US" w:eastAsia="zh-CN" w:bidi="ar"/>
              </w:rPr>
              <w:t>堆场冶炼渣块度大</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且在堆场</w:t>
            </w:r>
            <w:r>
              <w:rPr>
                <w:rFonts w:hint="default" w:ascii="Times New Roman" w:hAnsi="Times New Roman" w:eastAsia="宋体" w:cs="Times New Roman"/>
                <w:color w:val="auto"/>
                <w:kern w:val="0"/>
                <w:sz w:val="24"/>
                <w:szCs w:val="24"/>
                <w:lang w:val="en-US" w:eastAsia="zh-CN" w:bidi="ar"/>
              </w:rPr>
              <w:t>设置喷淋设施</w:t>
            </w:r>
            <w:r>
              <w:rPr>
                <w:rFonts w:hint="eastAsia" w:ascii="Times New Roman" w:hAnsi="Times New Roman" w:eastAsia="宋体" w:cs="Times New Roman"/>
                <w:color w:val="auto"/>
                <w:kern w:val="0"/>
                <w:sz w:val="24"/>
                <w:szCs w:val="24"/>
                <w:lang w:val="en-US" w:eastAsia="zh-CN" w:bidi="ar"/>
              </w:rPr>
              <w:t>。因此，</w:t>
            </w:r>
            <w:r>
              <w:rPr>
                <w:rFonts w:hint="default" w:ascii="Times New Roman" w:hAnsi="Times New Roman" w:eastAsia="宋体" w:cs="Times New Roman"/>
                <w:color w:val="auto"/>
                <w:kern w:val="0"/>
                <w:sz w:val="24"/>
                <w:szCs w:val="24"/>
                <w:lang w:val="en-US" w:eastAsia="zh-CN" w:bidi="ar"/>
              </w:rPr>
              <w:t>在堆放时产尘量较小</w:t>
            </w:r>
            <w:r>
              <w:rPr>
                <w:rFonts w:hint="eastAsia" w:ascii="Times New Roman" w:hAnsi="Times New Roman" w:eastAsia="宋体" w:cs="Times New Roman"/>
                <w:color w:val="auto"/>
                <w:kern w:val="0"/>
                <w:sz w:val="24"/>
                <w:szCs w:val="24"/>
                <w:lang w:val="en-US" w:eastAsia="zh-CN" w:bidi="ar"/>
              </w:rPr>
              <w:t>。</w:t>
            </w:r>
          </w:p>
          <w:p w14:paraId="287A56C7">
            <w:pPr>
              <w:pStyle w:val="31"/>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2、缓冷场拆包区粉尘</w:t>
            </w:r>
          </w:p>
          <w:p w14:paraId="0504856B">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冶炼渣在缓冷场拆包区翻倒回产生一定的粉尘</w:t>
            </w:r>
            <w:r>
              <w:rPr>
                <w:rFonts w:hint="default" w:ascii="Times New Roman" w:hAnsi="Times New Roman" w:eastAsia="宋体" w:cs="Times New Roman"/>
                <w:color w:val="auto"/>
                <w:kern w:val="0"/>
                <w:sz w:val="24"/>
                <w:szCs w:val="24"/>
                <w:lang w:val="en-US" w:eastAsia="zh-CN" w:bidi="ar"/>
              </w:rPr>
              <w:t>，根据类比分析，粉尘产生量约为</w:t>
            </w:r>
            <w:r>
              <w:rPr>
                <w:rFonts w:hint="eastAsia" w:cs="Times New Roman"/>
                <w:color w:val="auto"/>
                <w:kern w:val="0"/>
                <w:sz w:val="24"/>
                <w:szCs w:val="24"/>
                <w:lang w:val="en-US" w:eastAsia="zh-CN" w:bidi="ar"/>
              </w:rPr>
              <w:t>1.7</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highlight w:val="none"/>
              </w:rPr>
              <w:t>项目在</w:t>
            </w:r>
            <w:r>
              <w:rPr>
                <w:rFonts w:hint="eastAsia" w:ascii="Times New Roman" w:hAnsi="Times New Roman" w:cs="Times New Roman"/>
                <w:color w:val="auto"/>
                <w:sz w:val="24"/>
                <w:highlight w:val="none"/>
                <w:lang w:val="en-US" w:eastAsia="zh-CN"/>
              </w:rPr>
              <w:t>缓冷场拆包区</w:t>
            </w:r>
            <w:r>
              <w:rPr>
                <w:rFonts w:hint="default" w:ascii="Times New Roman" w:hAnsi="Times New Roman" w:cs="Times New Roman"/>
                <w:color w:val="auto"/>
                <w:sz w:val="24"/>
                <w:highlight w:val="none"/>
              </w:rPr>
              <w:t>设置喷淋设施，根据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工业源固体物料堆场颗粒物核算系数手册</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附录4可知，洒水控制效率为74%，</w:t>
            </w:r>
            <w:r>
              <w:rPr>
                <w:rFonts w:hint="eastAsia" w:ascii="Times New Roman" w:hAnsi="Times New Roman" w:cs="Times New Roman"/>
                <w:color w:val="auto"/>
                <w:sz w:val="24"/>
                <w:highlight w:val="none"/>
                <w:lang w:val="en-US" w:eastAsia="zh-CN"/>
              </w:rPr>
              <w:t>则粉尘</w:t>
            </w:r>
            <w:r>
              <w:rPr>
                <w:rFonts w:hint="default" w:ascii="Times New Roman" w:hAnsi="Times New Roman" w:eastAsia="宋体" w:cs="Times New Roman"/>
                <w:color w:val="auto"/>
                <w:kern w:val="0"/>
                <w:sz w:val="24"/>
                <w:szCs w:val="24"/>
                <w:lang w:val="en-US" w:eastAsia="zh-CN" w:bidi="ar"/>
              </w:rPr>
              <w:t>排放量为</w:t>
            </w:r>
            <w:r>
              <w:rPr>
                <w:rFonts w:hint="eastAsia" w:cs="Times New Roman"/>
                <w:color w:val="auto"/>
                <w:kern w:val="0"/>
                <w:sz w:val="24"/>
                <w:szCs w:val="24"/>
                <w:lang w:val="en-US" w:eastAsia="zh-CN" w:bidi="ar"/>
              </w:rPr>
              <w:t>0.44</w:t>
            </w:r>
            <w:r>
              <w:rPr>
                <w:rFonts w:hint="default" w:ascii="Times New Roman" w:hAnsi="Times New Roman" w:eastAsia="宋体" w:cs="Times New Roman"/>
                <w:color w:val="auto"/>
                <w:kern w:val="0"/>
                <w:sz w:val="24"/>
                <w:szCs w:val="24"/>
                <w:lang w:val="en-US" w:eastAsia="zh-CN" w:bidi="ar"/>
              </w:rPr>
              <w:t>t/a，</w:t>
            </w:r>
            <w:r>
              <w:rPr>
                <w:rFonts w:hint="eastAsia" w:cs="Times New Roman"/>
                <w:color w:val="auto"/>
                <w:kern w:val="0"/>
                <w:sz w:val="24"/>
                <w:szCs w:val="24"/>
                <w:lang w:val="en-US" w:eastAsia="zh-CN" w:bidi="ar"/>
              </w:rPr>
              <w:t>0.06</w:t>
            </w:r>
            <w:r>
              <w:rPr>
                <w:rFonts w:hint="default" w:ascii="Times New Roman" w:hAnsi="Times New Roman" w:eastAsia="宋体" w:cs="Times New Roman"/>
                <w:color w:val="auto"/>
                <w:kern w:val="0"/>
                <w:sz w:val="24"/>
                <w:szCs w:val="24"/>
                <w:lang w:val="en-US" w:eastAsia="zh-CN" w:bidi="ar"/>
              </w:rPr>
              <w:t>kg/h。</w:t>
            </w:r>
          </w:p>
          <w:p w14:paraId="7ED6B9DB">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各料仓受料过程及皮带输送过程产生的粉尘</w:t>
            </w:r>
          </w:p>
          <w:p w14:paraId="592200B6">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根据《逸散性工业粉尘控制技术》“第十八章粒料加工厂”中的逸散尘排放因子，送料过程产污系数为0.0007kg/t-进料，出料过程产污系数为0.00145kg/t-装料，本项目原料总用量为</w:t>
            </w:r>
            <w:r>
              <w:rPr>
                <w:rFonts w:hint="eastAsia" w:ascii="Times New Roman" w:hAnsi="Times New Roman" w:eastAsia="宋体" w:cs="Times New Roman"/>
                <w:color w:val="auto"/>
                <w:kern w:val="0"/>
                <w:sz w:val="24"/>
                <w:szCs w:val="24"/>
                <w:lang w:val="en-US" w:eastAsia="zh-CN" w:bidi="ar"/>
              </w:rPr>
              <w:t>561000</w:t>
            </w:r>
            <w:r>
              <w:rPr>
                <w:rFonts w:hint="default" w:ascii="Times New Roman" w:hAnsi="Times New Roman" w:eastAsia="宋体" w:cs="Times New Roman"/>
                <w:color w:val="auto"/>
                <w:kern w:val="0"/>
                <w:sz w:val="24"/>
                <w:szCs w:val="24"/>
                <w:lang w:val="en-US" w:eastAsia="zh-CN" w:bidi="ar"/>
              </w:rPr>
              <w:t>t/a，则粉尘总产生量为</w:t>
            </w:r>
            <w:r>
              <w:rPr>
                <w:rFonts w:hint="eastAsia" w:ascii="Times New Roman" w:hAnsi="Times New Roman" w:eastAsia="宋体" w:cs="Times New Roman"/>
                <w:color w:val="auto"/>
                <w:kern w:val="0"/>
                <w:sz w:val="24"/>
                <w:szCs w:val="24"/>
                <w:lang w:val="en-US" w:eastAsia="zh-CN" w:bidi="ar"/>
              </w:rPr>
              <w:t>1.2</w:t>
            </w:r>
            <w:r>
              <w:rPr>
                <w:rFonts w:hint="default" w:ascii="Times New Roman" w:hAnsi="Times New Roman" w:eastAsia="宋体" w:cs="Times New Roman"/>
                <w:color w:val="auto"/>
                <w:kern w:val="0"/>
                <w:sz w:val="24"/>
                <w:szCs w:val="24"/>
                <w:lang w:val="en-US" w:eastAsia="zh-CN" w:bidi="ar"/>
              </w:rPr>
              <w:t>t/a。本项目皮带设置密闭式通廊，料仓顶部设置洒水喷头，针对倒料采取喷雾控尘，可有效降低无组织粉尘排放量（粉尘控制效率达70%），则各料仓受料过程及皮带输送过程粉尘排放量为</w:t>
            </w:r>
            <w:r>
              <w:rPr>
                <w:rFonts w:hint="eastAsia" w:ascii="Times New Roman" w:hAnsi="Times New Roman" w:eastAsia="宋体" w:cs="Times New Roman"/>
                <w:color w:val="auto"/>
                <w:kern w:val="0"/>
                <w:sz w:val="24"/>
                <w:szCs w:val="24"/>
                <w:lang w:val="en-US" w:eastAsia="zh-CN" w:bidi="ar"/>
              </w:rPr>
              <w:t>0.36</w:t>
            </w:r>
            <w:r>
              <w:rPr>
                <w:rFonts w:hint="default" w:ascii="Times New Roman" w:hAnsi="Times New Roman" w:eastAsia="宋体" w:cs="Times New Roman"/>
                <w:color w:val="auto"/>
                <w:kern w:val="0"/>
                <w:sz w:val="24"/>
                <w:szCs w:val="24"/>
                <w:lang w:val="en-US" w:eastAsia="zh-CN" w:bidi="ar"/>
              </w:rPr>
              <w:t>t/a。</w:t>
            </w:r>
          </w:p>
          <w:p w14:paraId="713CEDCA">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药剂废气</w:t>
            </w:r>
          </w:p>
          <w:p w14:paraId="6B23B7FE">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浮选药剂有碳酸钠、硫化钠、戊基黄药、丁铵黑药、松油等，其中黄药具有刺激性臭味，黄药在浮选过程中会挥发出微量刺激性气体。黄药用量较少，通过加强通风后，对车间内影响不大，异味主要影响区域为车间及周围50m内范围的工作区域。</w:t>
            </w:r>
          </w:p>
          <w:p w14:paraId="00D61A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kern w:val="2"/>
                <w:sz w:val="24"/>
                <w:szCs w:val="24"/>
                <w:highlight w:val="none"/>
                <w:lang w:val="en-US" w:eastAsia="zh-CN" w:bidi="ar-SA"/>
              </w:rPr>
            </w:pPr>
            <w:r>
              <w:rPr>
                <w:rFonts w:hint="eastAsia"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2"/>
                <w:sz w:val="24"/>
                <w:szCs w:val="24"/>
                <w:highlight w:val="none"/>
                <w:lang w:val="en-US" w:eastAsia="zh-CN" w:bidi="ar-SA"/>
              </w:rPr>
              <w:t>上料、破碎、筛分工序逸散粉尘</w:t>
            </w:r>
          </w:p>
          <w:p w14:paraId="074EB008">
            <w:pPr>
              <w:keepNext w:val="0"/>
              <w:keepLines w:val="0"/>
              <w:pageBreakBefore w:val="0"/>
              <w:widowControl w:val="0"/>
              <w:tabs>
                <w:tab w:val="left" w:pos="4083"/>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auto"/>
                <w:sz w:val="24"/>
                <w:szCs w:val="24"/>
                <w:lang w:val="en-US" w:eastAsia="zh-CN"/>
              </w:rPr>
              <w:t>本项目在</w:t>
            </w:r>
            <w:r>
              <w:rPr>
                <w:rFonts w:hint="eastAsia" w:ascii="Times New Roman" w:hAnsi="Times New Roman" w:cs="Times New Roman"/>
                <w:color w:val="auto"/>
                <w:sz w:val="24"/>
                <w:szCs w:val="24"/>
                <w:lang w:val="en-US" w:eastAsia="zh-CN"/>
              </w:rPr>
              <w:t>上料、破碎、筛分</w:t>
            </w:r>
            <w:r>
              <w:rPr>
                <w:rFonts w:hint="default" w:ascii="Times New Roman" w:hAnsi="Times New Roman" w:eastAsia="宋体" w:cs="Times New Roman"/>
                <w:color w:val="auto"/>
                <w:sz w:val="24"/>
                <w:szCs w:val="24"/>
                <w:lang w:val="en-US" w:eastAsia="zh-CN"/>
              </w:rPr>
              <w:t>过程中产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生的颗粒物</w:t>
            </w:r>
            <w:r>
              <w:rPr>
                <w:rFonts w:hint="eastAsia" w:ascii="Times New Roman" w:hAnsi="Times New Roman" w:cs="Times New Roman"/>
                <w:color w:val="000000" w:themeColor="text1"/>
                <w:sz w:val="24"/>
                <w:szCs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量为</w:t>
            </w:r>
            <w:r>
              <w:rPr>
                <w:rFonts w:hint="eastAsia" w:cs="Times New Roman"/>
                <w:color w:val="000000" w:themeColor="text1"/>
                <w:sz w:val="24"/>
                <w:szCs w:val="24"/>
                <w:lang w:val="en-US" w:eastAsia="zh-CN"/>
                <w14:textFill>
                  <w14:solidFill>
                    <w14:schemeClr w14:val="tx1"/>
                  </w14:solidFill>
                </w14:textFill>
              </w:rPr>
              <w:t>370.6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上料口、破碎机、筛分机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上方安装集气罩收集</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粉尘，收集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后</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的粉尘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经布袋除尘器处理后通过排气筒排放，</w:t>
            </w:r>
            <w:r>
              <w:rPr>
                <w:rFonts w:hint="default" w:ascii="Times New Roman" w:hAnsi="Times New Roman" w:cs="Times New Roman"/>
                <w:color w:val="auto"/>
                <w:sz w:val="24"/>
                <w:highlight w:val="none"/>
                <w:lang w:val="en-US" w:eastAsia="zh-CN"/>
              </w:rPr>
              <w:t>根据类比同类工程项目，集气罩捕集效率</w:t>
            </w:r>
            <w:r>
              <w:rPr>
                <w:rFonts w:hint="default" w:ascii="Times New Roman" w:hAnsi="Times New Roman" w:cs="Times New Roman"/>
                <w:bCs/>
                <w:color w:val="auto"/>
                <w:sz w:val="24"/>
                <w:szCs w:val="24"/>
                <w:highlight w:val="none"/>
                <w:lang w:val="en-US" w:eastAsia="zh-CN"/>
              </w:rPr>
              <w:t>以85%计，</w:t>
            </w:r>
            <w:r>
              <w:rPr>
                <w:rFonts w:hint="default" w:ascii="Times New Roman" w:hAnsi="Times New Roman" w:cs="Times New Roman"/>
                <w:color w:val="auto"/>
                <w:sz w:val="24"/>
                <w:szCs w:val="24"/>
                <w:highlight w:val="none"/>
                <w:lang w:val="en-US" w:eastAsia="zh-CN"/>
              </w:rPr>
              <w:t>其中15%以无组织的形式排放</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则项目在上料、破碎、筛分工序逸散粉尘为</w:t>
            </w:r>
            <w:r>
              <w:rPr>
                <w:rFonts w:hint="eastAsia" w:cs="Times New Roman"/>
                <w:color w:val="000000" w:themeColor="text1"/>
                <w:kern w:val="0"/>
                <w:sz w:val="24"/>
                <w:szCs w:val="24"/>
                <w:lang w:val="en-US" w:eastAsia="zh-CN" w:bidi="ar"/>
                <w14:textFill>
                  <w14:solidFill>
                    <w14:schemeClr w14:val="tx1"/>
                  </w14:solidFill>
                </w14:textFill>
              </w:rPr>
              <w:t>55.59</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t/a，</w:t>
            </w:r>
            <w:r>
              <w:rPr>
                <w:rFonts w:hint="default" w:ascii="Times New Roman" w:hAnsi="Times New Roman" w:cs="Times New Roman"/>
                <w:color w:val="auto"/>
                <w:kern w:val="0"/>
                <w:sz w:val="24"/>
                <w:highlight w:val="none"/>
                <w:lang w:val="en-US" w:eastAsia="zh-CN"/>
              </w:rPr>
              <w:t>本项目针对</w:t>
            </w:r>
            <w:r>
              <w:rPr>
                <w:rFonts w:hint="default" w:ascii="Times New Roman" w:hAnsi="Times New Roman" w:cs="Times New Roman"/>
                <w:color w:val="auto"/>
                <w:sz w:val="24"/>
                <w:highlight w:val="none"/>
                <w:lang w:val="en-US" w:eastAsia="zh-CN"/>
              </w:rPr>
              <w:t>每个破碎、筛分</w:t>
            </w:r>
            <w:r>
              <w:rPr>
                <w:rFonts w:hint="default" w:ascii="Times New Roman" w:hAnsi="Times New Roman" w:cs="Times New Roman"/>
                <w:color w:val="auto"/>
                <w:kern w:val="0"/>
                <w:sz w:val="24"/>
                <w:highlight w:val="none"/>
                <w:lang w:val="en-US" w:eastAsia="zh-CN"/>
              </w:rPr>
              <w:t>设备采用彩钢瓦进行密闭，</w:t>
            </w:r>
            <w:r>
              <w:rPr>
                <w:rFonts w:hint="default" w:ascii="Times New Roman" w:hAnsi="Times New Roman" w:cs="Times New Roman"/>
                <w:color w:val="auto"/>
                <w:sz w:val="24"/>
                <w:highlight w:val="none"/>
                <w:lang w:val="en-US" w:eastAsia="zh-CN"/>
              </w:rPr>
              <w:t>粉尘排放量可削减50%</w:t>
            </w:r>
            <w:r>
              <w:rPr>
                <w:rFonts w:hint="default" w:ascii="Times New Roman" w:hAnsi="Times New Roman" w:cs="Times New Roman"/>
                <w:color w:val="auto"/>
                <w:sz w:val="24"/>
                <w:szCs w:val="24"/>
                <w:highlight w:val="none"/>
                <w:lang w:val="en-US" w:eastAsia="zh-CN"/>
              </w:rPr>
              <w:t>，同时对破碎、筛分设备产尘点洒水控尘，</w:t>
            </w:r>
            <w:r>
              <w:rPr>
                <w:rFonts w:hint="default" w:ascii="Times New Roman" w:hAnsi="Times New Roman" w:cs="Times New Roman"/>
                <w:color w:val="auto"/>
                <w:kern w:val="0"/>
                <w:sz w:val="24"/>
                <w:highlight w:val="none"/>
                <w:lang w:val="en-US" w:eastAsia="zh-CN"/>
              </w:rPr>
              <w:t>可有效降低70%的粉尘，则粉尘综合去除效率为85%，则</w:t>
            </w:r>
            <w:r>
              <w:rPr>
                <w:rFonts w:hint="eastAsia" w:ascii="Times New Roman" w:hAnsi="Times New Roman" w:cs="Times New Roman"/>
                <w:color w:val="auto"/>
                <w:kern w:val="0"/>
                <w:sz w:val="24"/>
                <w:highlight w:val="none"/>
                <w:lang w:val="en-US" w:eastAsia="zh-CN"/>
              </w:rPr>
              <w:t>上料、</w:t>
            </w:r>
            <w:r>
              <w:rPr>
                <w:rFonts w:hint="default" w:ascii="Times New Roman" w:hAnsi="Times New Roman" w:cs="Times New Roman"/>
                <w:color w:val="auto"/>
                <w:sz w:val="24"/>
                <w:highlight w:val="none"/>
                <w:lang w:val="en-US" w:eastAsia="zh-CN"/>
              </w:rPr>
              <w:t>破碎、筛分无组织粉尘排放量为</w:t>
            </w:r>
            <w:r>
              <w:rPr>
                <w:rFonts w:hint="eastAsia" w:ascii="Times New Roman" w:hAnsi="Times New Roman" w:cs="Times New Roman"/>
                <w:color w:val="auto"/>
                <w:sz w:val="24"/>
                <w:highlight w:val="none"/>
                <w:lang w:val="en-US" w:eastAsia="zh-CN"/>
              </w:rPr>
              <w:t>8.34</w:t>
            </w:r>
            <w:r>
              <w:rPr>
                <w:rFonts w:hint="default" w:ascii="Times New Roman" w:hAnsi="Times New Roman" w:cs="Times New Roman"/>
                <w:color w:val="auto"/>
                <w:sz w:val="24"/>
                <w:highlight w:val="none"/>
                <w:lang w:val="en-US" w:eastAsia="zh-CN"/>
              </w:rPr>
              <w:t>t/a。</w:t>
            </w:r>
          </w:p>
          <w:p w14:paraId="06A48B5D">
            <w:pPr>
              <w:keepNext w:val="0"/>
              <w:keepLines w:val="0"/>
              <w:pageBreakBefore w:val="0"/>
              <w:widowControl w:val="0"/>
              <w:tabs>
                <w:tab w:val="left" w:pos="4083"/>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车辆运输扬尘</w:t>
            </w:r>
          </w:p>
          <w:p w14:paraId="0BA25ED4">
            <w:pPr>
              <w:keepNext w:val="0"/>
              <w:keepLines w:val="0"/>
              <w:pageBreakBefore w:val="0"/>
              <w:widowControl w:val="0"/>
              <w:tabs>
                <w:tab w:val="left" w:pos="4083"/>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除铜冶炼渣以外的原辅料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均为</w:t>
            </w:r>
            <w:r>
              <w:rPr>
                <w:rFonts w:hint="default" w:ascii="Times New Roman" w:hAnsi="Times New Roman" w:cs="Times New Roman"/>
                <w:color w:val="auto"/>
                <w:sz w:val="24"/>
                <w:highlight w:val="none"/>
              </w:rPr>
              <w:t>外购，</w:t>
            </w:r>
            <w:r>
              <w:rPr>
                <w:rFonts w:hint="eastAsia" w:ascii="Times New Roman" w:hAnsi="Times New Roman" w:eastAsia="宋体" w:cs="Times New Roman"/>
                <w:color w:val="auto"/>
                <w:sz w:val="24"/>
                <w:highlight w:val="none"/>
                <w:lang w:val="en-US" w:eastAsia="zh-CN"/>
              </w:rPr>
              <w:t>铜精矿</w:t>
            </w:r>
            <w:r>
              <w:rPr>
                <w:rFonts w:hint="default" w:ascii="Times New Roman" w:hAnsi="Times New Roman" w:eastAsia="宋体" w:cs="Times New Roman"/>
                <w:color w:val="auto"/>
                <w:sz w:val="24"/>
                <w:highlight w:val="none"/>
                <w:lang w:val="en-US" w:eastAsia="zh-CN"/>
              </w:rPr>
              <w:t>通过汽车运输</w:t>
            </w:r>
            <w:r>
              <w:rPr>
                <w:rFonts w:hint="eastAsia" w:ascii="Times New Roman" w:hAnsi="Times New Roman" w:eastAsia="宋体" w:cs="Times New Roman"/>
                <w:color w:val="auto"/>
                <w:sz w:val="24"/>
                <w:highlight w:val="none"/>
                <w:lang w:val="en-US" w:eastAsia="zh-CN"/>
              </w:rPr>
              <w:t>至冶炼厂原料仓，属于厂内运输，</w:t>
            </w:r>
            <w:r>
              <w:rPr>
                <w:rFonts w:hint="default" w:ascii="Times New Roman" w:hAnsi="Times New Roman" w:eastAsia="宋体" w:cs="Times New Roman"/>
                <w:color w:val="auto"/>
                <w:sz w:val="24"/>
                <w:highlight w:val="none"/>
                <w:lang w:val="en-US" w:eastAsia="zh-CN"/>
              </w:rPr>
              <w:t>铁精矿</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尾矿通过汽车运输外售</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车辆在进厂道路和场内运输道路行驶时会产生一定的道路扬尘，粉尘量主要受运输量以及运输距离的影响，在项目区内运输产生的道路扬尘公式如下：</w:t>
            </w:r>
          </w:p>
          <w:p w14:paraId="357E7AE7">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2" o:spt="75" type="#_x0000_t75" style="height:73.45pt;width:191.55pt;" o:ole="t" filled="f" stroked="f" coordsize="21600,21600">
                  <v:path/>
                  <v:fill on="f" alignshape="1" focussize="0,0"/>
                  <v:stroke on="f"/>
                  <v:imagedata r:id="rId18" o:title=""/>
                  <o:lock v:ext="edit" aspectratio="t"/>
                  <w10:wrap type="none"/>
                  <w10:anchorlock/>
                </v:shape>
                <o:OLEObject Type="Embed" ProgID="Equation.3" ShapeID="_x0000_i1032" DrawAspect="Content" ObjectID="_1468075732" r:id="rId21">
                  <o:LockedField>false</o:LockedField>
                </o:OLEObject>
              </w:object>
            </w:r>
          </w:p>
          <w:p w14:paraId="2A185245">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—道路扬尘量，（kg/km·辆）；</w:t>
            </w:r>
          </w:p>
          <w:p w14:paraId="4FA5A410">
            <w:pPr>
              <w:spacing w:line="360" w:lineRule="auto"/>
              <w:ind w:left="708" w:leftChars="337"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—总扬尘量，（kg/a）；</w:t>
            </w:r>
          </w:p>
          <w:p w14:paraId="20BD608D">
            <w:pPr>
              <w:spacing w:line="360" w:lineRule="auto"/>
              <w:ind w:left="708" w:leftChars="337"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V—车辆速度，5km/h；</w:t>
            </w:r>
          </w:p>
          <w:p w14:paraId="52D03382">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M—车辆载重，</w:t>
            </w:r>
            <w:r>
              <w:rPr>
                <w:rFonts w:hint="eastAsia" w:cs="Times New Roman"/>
                <w:color w:val="auto"/>
                <w:sz w:val="24"/>
                <w:highlight w:val="none"/>
                <w:lang w:val="en-US" w:eastAsia="zh-CN"/>
              </w:rPr>
              <w:t>50</w:t>
            </w:r>
            <w:r>
              <w:rPr>
                <w:rFonts w:hint="default" w:ascii="Times New Roman" w:hAnsi="Times New Roman" w:cs="Times New Roman"/>
                <w:color w:val="auto"/>
                <w:sz w:val="24"/>
                <w:highlight w:val="none"/>
              </w:rPr>
              <w:t>t/辆；</w:t>
            </w:r>
          </w:p>
          <w:p w14:paraId="0EDC58C3">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P—路面灰尘覆盖率，0.2kg/m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14:paraId="4FF1CAF4">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L—运距，</w:t>
            </w:r>
            <w:r>
              <w:rPr>
                <w:rFonts w:hint="eastAsia"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km（</w:t>
            </w:r>
            <w:r>
              <w:rPr>
                <w:rFonts w:hint="default" w:ascii="Times New Roman" w:hAnsi="Times New Roman" w:cs="Times New Roman"/>
                <w:color w:val="auto"/>
                <w:sz w:val="24"/>
                <w:szCs w:val="32"/>
                <w:highlight w:val="none"/>
                <w:lang w:val="en-US" w:eastAsia="zh-CN"/>
              </w:rPr>
              <w:t>项目区内道路运输场地</w:t>
            </w:r>
            <w:r>
              <w:rPr>
                <w:rFonts w:hint="default" w:ascii="Times New Roman" w:hAnsi="Times New Roman" w:cs="Times New Roman"/>
                <w:color w:val="auto"/>
                <w:sz w:val="24"/>
                <w:highlight w:val="none"/>
              </w:rPr>
              <w:t>）；</w:t>
            </w:r>
          </w:p>
          <w:p w14:paraId="75DCEFFE">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Q—运输量，</w:t>
            </w:r>
            <w:r>
              <w:rPr>
                <w:rFonts w:hint="eastAsia" w:cs="Times New Roman"/>
                <w:color w:val="auto"/>
                <w:sz w:val="24"/>
                <w:highlight w:val="none"/>
                <w:lang w:val="en-US" w:eastAsia="zh-CN"/>
              </w:rPr>
              <w:t>25.5</w:t>
            </w:r>
            <w:r>
              <w:rPr>
                <w:rFonts w:hint="eastAsia" w:ascii="Times New Roman" w:hAnsi="Times New Roman" w:cs="Times New Roman"/>
                <w:color w:val="auto"/>
                <w:sz w:val="24"/>
                <w:highlight w:val="none"/>
                <w:lang w:val="en-US" w:eastAsia="zh-CN"/>
              </w:rPr>
              <w:t>万</w:t>
            </w:r>
            <w:r>
              <w:rPr>
                <w:rFonts w:hint="default" w:ascii="Times New Roman" w:hAnsi="Times New Roman" w:cs="Times New Roman"/>
                <w:color w:val="auto"/>
                <w:sz w:val="24"/>
                <w:highlight w:val="none"/>
              </w:rPr>
              <w:t>t/a（原料运输及产品运输量）。</w:t>
            </w:r>
          </w:p>
          <w:p w14:paraId="3F852B69">
            <w:pPr>
              <w:pStyle w:val="31"/>
              <w:keepNext w:val="0"/>
              <w:keepLines w:val="0"/>
              <w:pageBreakBefore w:val="0"/>
              <w:widowControl w:val="0"/>
              <w:kinsoku/>
              <w:wordWrap/>
              <w:overflowPunct/>
              <w:topLinePunct w:val="0"/>
              <w:autoSpaceDE/>
              <w:autoSpaceDN/>
              <w:bidi w:val="0"/>
              <w:spacing w:line="360" w:lineRule="auto"/>
              <w:textAlignment w:val="auto"/>
              <w:rPr>
                <w:rFonts w:hint="default" w:cs="Times New Roman"/>
                <w:color w:val="auto"/>
                <w:kern w:val="0"/>
                <w:sz w:val="24"/>
                <w:szCs w:val="24"/>
                <w:lang w:val="en-US" w:eastAsia="zh-CN" w:bidi="ar"/>
              </w:rPr>
            </w:pPr>
            <w:r>
              <w:rPr>
                <w:rFonts w:hint="default" w:ascii="Times New Roman" w:hAnsi="Times New Roman" w:cs="Times New Roman"/>
                <w:color w:val="auto"/>
                <w:sz w:val="24"/>
                <w:highlight w:val="none"/>
              </w:rPr>
              <w:t>经计算，运输扬尘产生量为</w:t>
            </w:r>
            <w:r>
              <w:rPr>
                <w:rFonts w:hint="eastAsia" w:cs="Times New Roman"/>
                <w:color w:val="auto"/>
                <w:sz w:val="24"/>
                <w:highlight w:val="none"/>
                <w:lang w:val="en-US" w:eastAsia="zh-CN"/>
              </w:rPr>
              <w:t>5300</w:t>
            </w:r>
            <w:r>
              <w:rPr>
                <w:rFonts w:hint="default" w:ascii="Times New Roman" w:hAnsi="Times New Roman" w:cs="Times New Roman"/>
                <w:color w:val="auto"/>
                <w:sz w:val="24"/>
                <w:highlight w:val="none"/>
              </w:rPr>
              <w:t>kg/a，</w:t>
            </w:r>
            <w:r>
              <w:rPr>
                <w:rFonts w:hint="eastAsia" w:cs="Times New Roman"/>
                <w:color w:val="auto"/>
                <w:sz w:val="24"/>
                <w:highlight w:val="none"/>
                <w:lang w:val="en-US" w:eastAsia="zh-CN"/>
              </w:rPr>
              <w:t>5.3</w:t>
            </w:r>
            <w:r>
              <w:rPr>
                <w:rFonts w:hint="default" w:ascii="Times New Roman" w:hAnsi="Times New Roman" w:cs="Times New Roman"/>
                <w:color w:val="auto"/>
                <w:sz w:val="24"/>
                <w:highlight w:val="none"/>
              </w:rPr>
              <w:t>t/a，项目区配套设置</w:t>
            </w:r>
            <w:r>
              <w:rPr>
                <w:rFonts w:hint="default" w:ascii="Times New Roman" w:hAnsi="Times New Roman" w:cs="Times New Roman"/>
                <w:color w:val="auto"/>
                <w:sz w:val="24"/>
                <w:highlight w:val="none"/>
                <w:lang w:val="en-US" w:eastAsia="zh-CN"/>
              </w:rPr>
              <w:t>车辆冲洗区及</w:t>
            </w:r>
            <w:r>
              <w:rPr>
                <w:rFonts w:hint="default" w:ascii="Times New Roman" w:hAnsi="Times New Roman" w:cs="Times New Roman"/>
                <w:color w:val="auto"/>
                <w:sz w:val="24"/>
                <w:highlight w:val="none"/>
              </w:rPr>
              <w:t>一个</w:t>
            </w:r>
            <w:r>
              <w:rPr>
                <w:rFonts w:hint="default" w:ascii="Times New Roman" w:hAnsi="Times New Roman" w:cs="Times New Roman"/>
                <w:bCs/>
                <w:color w:val="auto"/>
                <w:sz w:val="24"/>
                <w:highlight w:val="none"/>
              </w:rPr>
              <w:t>洗车废水沉淀池</w:t>
            </w:r>
            <w:r>
              <w:rPr>
                <w:rFonts w:hint="default" w:ascii="Times New Roman" w:hAnsi="Times New Roman" w:cs="Times New Roman"/>
                <w:color w:val="auto"/>
                <w:sz w:val="24"/>
                <w:highlight w:val="none"/>
              </w:rPr>
              <w:t>，车辆</w:t>
            </w:r>
            <w:r>
              <w:rPr>
                <w:rFonts w:hint="default" w:ascii="Times New Roman" w:hAnsi="Times New Roman" w:cs="Times New Roman"/>
                <w:color w:val="auto"/>
                <w:kern w:val="0"/>
                <w:sz w:val="24"/>
                <w:highlight w:val="none"/>
              </w:rPr>
              <w:t>运输扬尘可通过</w:t>
            </w:r>
            <w:r>
              <w:rPr>
                <w:rFonts w:hint="default" w:ascii="Times New Roman" w:hAnsi="Times New Roman" w:cs="Times New Roman"/>
                <w:color w:val="auto"/>
                <w:kern w:val="0"/>
                <w:sz w:val="24"/>
                <w:highlight w:val="none"/>
                <w:lang w:val="en-US" w:eastAsia="zh-CN"/>
              </w:rPr>
              <w:t>厂区道路硬化、</w:t>
            </w:r>
            <w:r>
              <w:rPr>
                <w:rFonts w:hint="default" w:ascii="Times New Roman" w:hAnsi="Times New Roman" w:cs="Times New Roman"/>
                <w:color w:val="auto"/>
                <w:kern w:val="0"/>
                <w:sz w:val="24"/>
                <w:highlight w:val="none"/>
              </w:rPr>
              <w:t>加强路面养护</w:t>
            </w:r>
            <w:r>
              <w:rPr>
                <w:rFonts w:hint="default" w:ascii="Times New Roman" w:hAnsi="Times New Roman" w:cs="Times New Roman"/>
                <w:color w:val="auto"/>
                <w:sz w:val="24"/>
                <w:highlight w:val="none"/>
              </w:rPr>
              <w:t>及运输道路洒水控尘</w:t>
            </w:r>
            <w:r>
              <w:rPr>
                <w:rFonts w:hint="default" w:ascii="Times New Roman" w:hAnsi="Times New Roman" w:cs="Times New Roman"/>
                <w:color w:val="auto"/>
                <w:kern w:val="0"/>
                <w:sz w:val="24"/>
                <w:highlight w:val="none"/>
              </w:rPr>
              <w:t>、对出场车辆轮胎进行清洗及做好运输车辆车厢采用篷布措施来得到控制，</w:t>
            </w:r>
            <w:r>
              <w:rPr>
                <w:rFonts w:hint="default" w:ascii="Times New Roman" w:hAnsi="Times New Roman" w:cs="Times New Roman"/>
                <w:color w:val="auto"/>
                <w:sz w:val="24"/>
                <w:highlight w:val="none"/>
              </w:rPr>
              <w:t>抑尘效率70%，</w:t>
            </w:r>
            <w:r>
              <w:rPr>
                <w:rFonts w:hint="default" w:ascii="Times New Roman" w:hAnsi="Times New Roman" w:cs="Times New Roman"/>
                <w:color w:val="auto"/>
                <w:kern w:val="0"/>
                <w:sz w:val="24"/>
                <w:highlight w:val="none"/>
              </w:rPr>
              <w:t>最终粉尘排放量为</w:t>
            </w:r>
            <w:r>
              <w:rPr>
                <w:rFonts w:hint="eastAsia" w:cs="Times New Roman"/>
                <w:color w:val="auto"/>
                <w:kern w:val="0"/>
                <w:sz w:val="24"/>
                <w:highlight w:val="none"/>
                <w:lang w:val="en-US" w:eastAsia="zh-CN"/>
              </w:rPr>
              <w:t>1.59</w:t>
            </w:r>
            <w:r>
              <w:rPr>
                <w:rFonts w:hint="default" w:ascii="Times New Roman" w:hAnsi="Times New Roman" w:cs="Times New Roman"/>
                <w:color w:val="auto"/>
                <w:sz w:val="24"/>
                <w:highlight w:val="none"/>
              </w:rPr>
              <w:t>t/a。</w:t>
            </w:r>
          </w:p>
          <w:p w14:paraId="17E764E5">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r>
              <w:rPr>
                <w:rFonts w:hint="default" w:ascii="Times New Roman" w:hAnsi="Times New Roman" w:eastAsia="宋体" w:cs="Times New Roman"/>
                <w:color w:val="auto"/>
                <w:kern w:val="2"/>
                <w:sz w:val="24"/>
                <w:szCs w:val="24"/>
                <w:highlight w:val="none"/>
                <w:lang w:val="en-US" w:eastAsia="zh-CN" w:bidi="ar-SA"/>
              </w:rPr>
              <w:t>机械及运输车辆燃油废气</w:t>
            </w:r>
          </w:p>
          <w:p w14:paraId="2FBF39A5">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项目运营过程中废气主要为装载机运行产生的废气、运输车辆产生的尾气，以上废气均是动力燃料柴油后所产生，为影响空气环境的主要污染物之一，主要污染物为HC化合物、CO和NO</w:t>
            </w:r>
            <w:r>
              <w:rPr>
                <w:rFonts w:hint="eastAsia" w:cs="Times New Roman"/>
                <w:color w:val="auto"/>
                <w:kern w:val="2"/>
                <w:sz w:val="24"/>
                <w:szCs w:val="24"/>
                <w:highlight w:val="none"/>
                <w:lang w:val="en-US" w:eastAsia="zh-CN" w:bidi="ar-SA"/>
              </w:rPr>
              <w:t>x</w:t>
            </w:r>
            <w:r>
              <w:rPr>
                <w:rFonts w:hint="default" w:ascii="Times New Roman" w:hAnsi="Times New Roman" w:eastAsia="宋体" w:cs="Times New Roman"/>
                <w:color w:val="auto"/>
                <w:kern w:val="2"/>
                <w:sz w:val="24"/>
                <w:szCs w:val="24"/>
                <w:highlight w:val="none"/>
                <w:lang w:val="en-US" w:eastAsia="zh-CN" w:bidi="ar-SA"/>
              </w:rPr>
              <w:t>，排放量较小，属无组织排放。通过合理安排机械使用时间、车辆限速限载等措施减少运输废气的产生。</w:t>
            </w:r>
          </w:p>
          <w:p w14:paraId="2F6BE57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1.</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大气污染物产排污情况及排气筒情况</w:t>
            </w:r>
          </w:p>
          <w:p w14:paraId="1C60EC05">
            <w:pPr>
              <w:pStyle w:val="46"/>
              <w:spacing w:line="360" w:lineRule="auto"/>
              <w:ind w:firstLine="48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本项目污染物排放情况详见下表。</w:t>
            </w:r>
          </w:p>
          <w:p w14:paraId="7E054D5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表4-</w:t>
            </w:r>
            <w:r>
              <w:rPr>
                <w:rFonts w:hint="eastAsia" w:ascii="黑体" w:hAnsi="黑体" w:eastAsia="黑体" w:cs="黑体"/>
                <w:color w:val="auto"/>
                <w:sz w:val="21"/>
                <w:szCs w:val="21"/>
                <w:lang w:val="en-US" w:eastAsia="zh-CN"/>
              </w:rPr>
              <w:t>2</w:t>
            </w:r>
            <w:r>
              <w:rPr>
                <w:rFonts w:hint="eastAsia" w:ascii="黑体" w:hAnsi="黑体" w:eastAsia="黑体" w:cs="黑体"/>
                <w:color w:val="auto"/>
                <w:sz w:val="21"/>
                <w:szCs w:val="21"/>
              </w:rPr>
              <w:t xml:space="preserve"> 本项目有组织废气产排情况一览表</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562"/>
              <w:gridCol w:w="329"/>
              <w:gridCol w:w="861"/>
              <w:gridCol w:w="210"/>
              <w:gridCol w:w="214"/>
              <w:gridCol w:w="571"/>
              <w:gridCol w:w="712"/>
              <w:gridCol w:w="873"/>
              <w:gridCol w:w="541"/>
              <w:gridCol w:w="870"/>
              <w:gridCol w:w="712"/>
              <w:gridCol w:w="575"/>
              <w:gridCol w:w="510"/>
              <w:gridCol w:w="210"/>
            </w:tblGrid>
            <w:tr w14:paraId="4B16F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2" w:type="pct"/>
                  <w:vMerge w:val="restart"/>
                  <w:tcBorders>
                    <w:tl2br w:val="nil"/>
                    <w:tr2bl w:val="nil"/>
                  </w:tcBorders>
                  <w:noWrap w:val="0"/>
                  <w:vAlign w:val="center"/>
                </w:tcPr>
                <w:p w14:paraId="420BF17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排放源</w:t>
                  </w:r>
                </w:p>
              </w:tc>
              <w:tc>
                <w:tcPr>
                  <w:tcW w:w="212" w:type="pct"/>
                  <w:vMerge w:val="restart"/>
                  <w:tcBorders>
                    <w:tl2br w:val="nil"/>
                    <w:tr2bl w:val="nil"/>
                  </w:tcBorders>
                  <w:noWrap w:val="0"/>
                  <w:vAlign w:val="center"/>
                </w:tcPr>
                <w:p w14:paraId="4158DE65">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产污环节</w:t>
                  </w:r>
                </w:p>
              </w:tc>
              <w:tc>
                <w:tcPr>
                  <w:tcW w:w="555" w:type="pct"/>
                  <w:vMerge w:val="restart"/>
                  <w:tcBorders>
                    <w:tl2br w:val="nil"/>
                    <w:tr2bl w:val="nil"/>
                  </w:tcBorders>
                  <w:noWrap w:val="0"/>
                  <w:vAlign w:val="center"/>
                </w:tcPr>
                <w:p w14:paraId="74EC179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废气量</w:t>
                  </w:r>
                </w:p>
                <w:p w14:paraId="5C60553B">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135" w:type="pct"/>
                  <w:vMerge w:val="restart"/>
                  <w:tcBorders>
                    <w:tl2br w:val="nil"/>
                    <w:tr2bl w:val="nil"/>
                  </w:tcBorders>
                  <w:noWrap w:val="0"/>
                  <w:vAlign w:val="center"/>
                </w:tcPr>
                <w:p w14:paraId="59E4592A">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w:t>
                  </w:r>
                </w:p>
              </w:tc>
              <w:tc>
                <w:tcPr>
                  <w:tcW w:w="138" w:type="pct"/>
                  <w:vMerge w:val="restart"/>
                  <w:tcBorders>
                    <w:tl2br w:val="nil"/>
                    <w:tr2bl w:val="nil"/>
                  </w:tcBorders>
                  <w:noWrap w:val="0"/>
                  <w:vAlign w:val="center"/>
                </w:tcPr>
                <w:p w14:paraId="0FD77063">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核算方法</w:t>
                  </w:r>
                </w:p>
              </w:tc>
              <w:tc>
                <w:tcPr>
                  <w:tcW w:w="1390" w:type="pct"/>
                  <w:gridSpan w:val="3"/>
                  <w:tcBorders>
                    <w:tl2br w:val="nil"/>
                    <w:tr2bl w:val="nil"/>
                  </w:tcBorders>
                  <w:noWrap w:val="0"/>
                  <w:vAlign w:val="center"/>
                </w:tcPr>
                <w:p w14:paraId="0CA54703">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w:t>
                  </w:r>
                </w:p>
              </w:tc>
              <w:tc>
                <w:tcPr>
                  <w:tcW w:w="349" w:type="pct"/>
                  <w:vMerge w:val="restart"/>
                  <w:tcBorders>
                    <w:tl2br w:val="nil"/>
                    <w:tr2bl w:val="nil"/>
                  </w:tcBorders>
                  <w:noWrap w:val="0"/>
                  <w:vAlign w:val="center"/>
                </w:tcPr>
                <w:p w14:paraId="26D6C5CB">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治理措施</w:t>
                  </w:r>
                </w:p>
              </w:tc>
              <w:tc>
                <w:tcPr>
                  <w:tcW w:w="1391" w:type="pct"/>
                  <w:gridSpan w:val="3"/>
                  <w:tcBorders>
                    <w:tl2br w:val="nil"/>
                    <w:tr2bl w:val="nil"/>
                  </w:tcBorders>
                  <w:noWrap w:val="0"/>
                  <w:vAlign w:val="center"/>
                </w:tcPr>
                <w:p w14:paraId="2FB0A5C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w:t>
                  </w:r>
                </w:p>
              </w:tc>
              <w:tc>
                <w:tcPr>
                  <w:tcW w:w="329" w:type="pct"/>
                  <w:vMerge w:val="restart"/>
                  <w:tcBorders>
                    <w:tl2br w:val="nil"/>
                    <w:tr2bl w:val="nil"/>
                  </w:tcBorders>
                  <w:noWrap w:val="0"/>
                  <w:vAlign w:val="center"/>
                </w:tcPr>
                <w:p w14:paraId="3E0541E6">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标准值mg/m</w:t>
                  </w:r>
                  <w:r>
                    <w:rPr>
                      <w:rFonts w:hint="default" w:ascii="Times New Roman" w:hAnsi="Times New Roman" w:eastAsia="宋体" w:cs="Times New Roman"/>
                      <w:color w:val="auto"/>
                      <w:sz w:val="18"/>
                      <w:szCs w:val="18"/>
                      <w:vertAlign w:val="superscript"/>
                    </w:rPr>
                    <w:t>3</w:t>
                  </w:r>
                </w:p>
              </w:tc>
              <w:tc>
                <w:tcPr>
                  <w:tcW w:w="135" w:type="pct"/>
                  <w:vMerge w:val="restart"/>
                  <w:tcBorders>
                    <w:tl2br w:val="nil"/>
                    <w:tr2bl w:val="nil"/>
                  </w:tcBorders>
                  <w:noWrap w:val="0"/>
                  <w:vAlign w:val="center"/>
                </w:tcPr>
                <w:p w14:paraId="7BAC682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达标情况</w:t>
                  </w:r>
                </w:p>
              </w:tc>
            </w:tr>
            <w:tr w14:paraId="78DF66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2" w:type="pct"/>
                  <w:vMerge w:val="continue"/>
                  <w:tcBorders>
                    <w:tl2br w:val="nil"/>
                    <w:tr2bl w:val="nil"/>
                  </w:tcBorders>
                  <w:noWrap w:val="0"/>
                  <w:vAlign w:val="center"/>
                </w:tcPr>
                <w:p w14:paraId="64321B24">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p>
              </w:tc>
              <w:tc>
                <w:tcPr>
                  <w:tcW w:w="212" w:type="pct"/>
                  <w:vMerge w:val="continue"/>
                  <w:tcBorders>
                    <w:tl2br w:val="nil"/>
                    <w:tr2bl w:val="nil"/>
                  </w:tcBorders>
                  <w:noWrap w:val="0"/>
                  <w:vAlign w:val="center"/>
                </w:tcPr>
                <w:p w14:paraId="5F33D625">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p>
              </w:tc>
              <w:tc>
                <w:tcPr>
                  <w:tcW w:w="555" w:type="pct"/>
                  <w:vMerge w:val="continue"/>
                  <w:tcBorders>
                    <w:tl2br w:val="nil"/>
                    <w:tr2bl w:val="nil"/>
                  </w:tcBorders>
                  <w:noWrap w:val="0"/>
                  <w:vAlign w:val="center"/>
                </w:tcPr>
                <w:p w14:paraId="226EA0E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p>
              </w:tc>
              <w:tc>
                <w:tcPr>
                  <w:tcW w:w="135" w:type="pct"/>
                  <w:vMerge w:val="continue"/>
                  <w:tcBorders>
                    <w:tl2br w:val="nil"/>
                    <w:tr2bl w:val="nil"/>
                  </w:tcBorders>
                  <w:noWrap w:val="0"/>
                  <w:vAlign w:val="center"/>
                </w:tcPr>
                <w:p w14:paraId="076BBC75">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p>
              </w:tc>
              <w:tc>
                <w:tcPr>
                  <w:tcW w:w="138" w:type="pct"/>
                  <w:vMerge w:val="continue"/>
                  <w:tcBorders>
                    <w:tl2br w:val="nil"/>
                    <w:tr2bl w:val="nil"/>
                  </w:tcBorders>
                  <w:noWrap w:val="0"/>
                  <w:vAlign w:val="center"/>
                </w:tcPr>
                <w:p w14:paraId="1BC7F47B">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p>
              </w:tc>
              <w:tc>
                <w:tcPr>
                  <w:tcW w:w="368" w:type="pct"/>
                  <w:tcBorders>
                    <w:tl2br w:val="nil"/>
                    <w:tr2bl w:val="nil"/>
                  </w:tcBorders>
                  <w:noWrap w:val="0"/>
                  <w:vAlign w:val="center"/>
                </w:tcPr>
                <w:p w14:paraId="67478FCB">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产生量（t/a）</w:t>
                  </w:r>
                </w:p>
              </w:tc>
              <w:tc>
                <w:tcPr>
                  <w:tcW w:w="459" w:type="pct"/>
                  <w:tcBorders>
                    <w:tl2br w:val="nil"/>
                    <w:tr2bl w:val="nil"/>
                  </w:tcBorders>
                  <w:noWrap w:val="0"/>
                  <w:vAlign w:val="center"/>
                </w:tcPr>
                <w:p w14:paraId="3757D327">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产生速率（kg/h）</w:t>
                  </w:r>
                </w:p>
              </w:tc>
              <w:tc>
                <w:tcPr>
                  <w:tcW w:w="562" w:type="pct"/>
                  <w:tcBorders>
                    <w:tl2br w:val="nil"/>
                    <w:tr2bl w:val="nil"/>
                  </w:tcBorders>
                  <w:noWrap w:val="0"/>
                  <w:vAlign w:val="center"/>
                </w:tcPr>
                <w:p w14:paraId="156F815D">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349" w:type="pct"/>
                  <w:vMerge w:val="continue"/>
                  <w:tcBorders>
                    <w:tl2br w:val="nil"/>
                    <w:tr2bl w:val="nil"/>
                  </w:tcBorders>
                  <w:noWrap w:val="0"/>
                  <w:vAlign w:val="center"/>
                </w:tcPr>
                <w:p w14:paraId="4359F808">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p>
              </w:tc>
              <w:tc>
                <w:tcPr>
                  <w:tcW w:w="561" w:type="pct"/>
                  <w:tcBorders>
                    <w:tl2br w:val="nil"/>
                    <w:tr2bl w:val="nil"/>
                  </w:tcBorders>
                  <w:noWrap w:val="0"/>
                  <w:vAlign w:val="center"/>
                </w:tcPr>
                <w:p w14:paraId="7BDDEF6D">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459" w:type="pct"/>
                  <w:tcBorders>
                    <w:tl2br w:val="nil"/>
                    <w:tr2bl w:val="nil"/>
                  </w:tcBorders>
                  <w:noWrap w:val="0"/>
                  <w:vAlign w:val="center"/>
                </w:tcPr>
                <w:p w14:paraId="54B9B5A0">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排放速率</w:t>
                  </w:r>
                </w:p>
                <w:p w14:paraId="7F29C50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（kg/h）</w:t>
                  </w:r>
                </w:p>
              </w:tc>
              <w:tc>
                <w:tcPr>
                  <w:tcW w:w="369" w:type="pct"/>
                  <w:tcBorders>
                    <w:tl2br w:val="nil"/>
                    <w:tr2bl w:val="nil"/>
                  </w:tcBorders>
                  <w:noWrap w:val="0"/>
                  <w:vAlign w:val="center"/>
                </w:tcPr>
                <w:p w14:paraId="025031B1">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排放量</w:t>
                  </w:r>
                </w:p>
                <w:p w14:paraId="4B114635">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329" w:type="pct"/>
                  <w:vMerge w:val="continue"/>
                  <w:tcBorders>
                    <w:tl2br w:val="nil"/>
                    <w:tr2bl w:val="nil"/>
                  </w:tcBorders>
                  <w:noWrap w:val="0"/>
                  <w:vAlign w:val="center"/>
                </w:tcPr>
                <w:p w14:paraId="6E3801CC">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p>
              </w:tc>
              <w:tc>
                <w:tcPr>
                  <w:tcW w:w="135" w:type="pct"/>
                  <w:vMerge w:val="continue"/>
                  <w:tcBorders>
                    <w:tl2br w:val="nil"/>
                    <w:tr2bl w:val="nil"/>
                  </w:tcBorders>
                  <w:noWrap w:val="0"/>
                  <w:vAlign w:val="center"/>
                </w:tcPr>
                <w:p w14:paraId="6E991CDD">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p>
              </w:tc>
            </w:tr>
            <w:tr w14:paraId="320FFE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2" w:type="pct"/>
                  <w:tcBorders>
                    <w:tl2br w:val="nil"/>
                    <w:tr2bl w:val="nil"/>
                  </w:tcBorders>
                  <w:noWrap w:val="0"/>
                  <w:vAlign w:val="center"/>
                </w:tcPr>
                <w:p w14:paraId="1E79B5B9">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DA004</w:t>
                  </w:r>
                </w:p>
              </w:tc>
              <w:tc>
                <w:tcPr>
                  <w:tcW w:w="212" w:type="pct"/>
                  <w:tcBorders>
                    <w:tl2br w:val="nil"/>
                    <w:tr2bl w:val="nil"/>
                  </w:tcBorders>
                  <w:noWrap w:val="0"/>
                  <w:vAlign w:val="center"/>
                </w:tcPr>
                <w:p w14:paraId="187377BA">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上料和粗碎</w:t>
                  </w:r>
                </w:p>
              </w:tc>
              <w:tc>
                <w:tcPr>
                  <w:tcW w:w="555" w:type="pct"/>
                  <w:tcBorders>
                    <w:tl2br w:val="nil"/>
                    <w:tr2bl w:val="nil"/>
                  </w:tcBorders>
                  <w:noWrap w:val="0"/>
                  <w:vAlign w:val="center"/>
                </w:tcPr>
                <w:p w14:paraId="774288C3">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32000</w:t>
                  </w:r>
                </w:p>
              </w:tc>
              <w:tc>
                <w:tcPr>
                  <w:tcW w:w="135" w:type="pct"/>
                  <w:vMerge w:val="restart"/>
                  <w:tcBorders>
                    <w:tl2br w:val="nil"/>
                    <w:tr2bl w:val="nil"/>
                  </w:tcBorders>
                  <w:noWrap w:val="0"/>
                  <w:vAlign w:val="center"/>
                </w:tcPr>
                <w:p w14:paraId="370BDF80">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p>
              </w:tc>
              <w:tc>
                <w:tcPr>
                  <w:tcW w:w="138" w:type="pct"/>
                  <w:vMerge w:val="restart"/>
                  <w:tcBorders>
                    <w:tl2br w:val="nil"/>
                    <w:tr2bl w:val="nil"/>
                  </w:tcBorders>
                  <w:noWrap w:val="0"/>
                  <w:vAlign w:val="center"/>
                </w:tcPr>
                <w:p w14:paraId="62C6F3D3">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产污系数法</w:t>
                  </w:r>
                </w:p>
              </w:tc>
              <w:tc>
                <w:tcPr>
                  <w:tcW w:w="368" w:type="pct"/>
                  <w:tcBorders>
                    <w:tl2br w:val="nil"/>
                    <w:tr2bl w:val="nil"/>
                  </w:tcBorders>
                  <w:noWrap w:val="0"/>
                  <w:vAlign w:val="center"/>
                </w:tcPr>
                <w:p w14:paraId="11E141E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79.07</w:t>
                  </w:r>
                </w:p>
              </w:tc>
              <w:tc>
                <w:tcPr>
                  <w:tcW w:w="459" w:type="pct"/>
                  <w:tcBorders>
                    <w:tl2br w:val="nil"/>
                    <w:tr2bl w:val="nil"/>
                  </w:tcBorders>
                  <w:noWrap w:val="0"/>
                  <w:vAlign w:val="center"/>
                </w:tcPr>
                <w:p w14:paraId="0D19C01E">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14.98</w:t>
                  </w:r>
                </w:p>
              </w:tc>
              <w:tc>
                <w:tcPr>
                  <w:tcW w:w="562" w:type="pct"/>
                  <w:tcBorders>
                    <w:tl2br w:val="nil"/>
                    <w:tr2bl w:val="nil"/>
                  </w:tcBorders>
                  <w:noWrap w:val="0"/>
                  <w:vAlign w:val="center"/>
                </w:tcPr>
                <w:p w14:paraId="18DF3467">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468.13</w:t>
                  </w:r>
                </w:p>
              </w:tc>
              <w:tc>
                <w:tcPr>
                  <w:tcW w:w="349" w:type="pct"/>
                  <w:vMerge w:val="restart"/>
                  <w:tcBorders>
                    <w:tl2br w:val="nil"/>
                    <w:tr2bl w:val="nil"/>
                  </w:tcBorders>
                  <w:noWrap w:val="0"/>
                  <w:vAlign w:val="center"/>
                </w:tcPr>
                <w:p w14:paraId="01D63CAB">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bCs/>
                      <w:color w:val="auto"/>
                      <w:sz w:val="18"/>
                      <w:szCs w:val="18"/>
                      <w:lang w:val="en-US" w:eastAsia="zh-CN"/>
                    </w:rPr>
                    <w:t>集气罩+</w:t>
                  </w:r>
                  <w:r>
                    <w:rPr>
                      <w:rFonts w:hint="eastAsia" w:cs="Times New Roman"/>
                      <w:bCs/>
                      <w:color w:val="auto"/>
                      <w:sz w:val="18"/>
                      <w:szCs w:val="18"/>
                      <w:lang w:eastAsia="zh-CN"/>
                    </w:rPr>
                    <w:t>“</w:t>
                  </w:r>
                  <w:r>
                    <w:rPr>
                      <w:rFonts w:hint="default" w:ascii="Times New Roman" w:hAnsi="Times New Roman" w:eastAsia="宋体" w:cs="Times New Roman"/>
                      <w:bCs/>
                      <w:color w:val="auto"/>
                      <w:sz w:val="18"/>
                      <w:szCs w:val="18"/>
                    </w:rPr>
                    <w:t>布袋除尘器</w:t>
                  </w:r>
                  <w:r>
                    <w:rPr>
                      <w:rFonts w:hint="eastAsia" w:cs="Times New Roman"/>
                      <w:bCs/>
                      <w:color w:val="auto"/>
                      <w:sz w:val="18"/>
                      <w:szCs w:val="18"/>
                      <w:lang w:eastAsia="zh-CN"/>
                    </w:rPr>
                    <w:t>”</w:t>
                  </w:r>
                  <w:r>
                    <w:rPr>
                      <w:rFonts w:hint="default" w:ascii="Times New Roman" w:hAnsi="Times New Roman" w:eastAsia="宋体" w:cs="Times New Roman"/>
                      <w:color w:val="auto"/>
                      <w:sz w:val="18"/>
                      <w:szCs w:val="18"/>
                    </w:rPr>
                    <w:t>（除尘效率</w:t>
                  </w:r>
                  <w:r>
                    <w:rPr>
                      <w:rFonts w:hint="eastAsia" w:ascii="Times New Roman" w:hAnsi="Times New Roman" w:eastAsia="宋体" w:cs="Times New Roman"/>
                      <w:color w:val="auto"/>
                      <w:sz w:val="18"/>
                      <w:szCs w:val="18"/>
                      <w:lang w:val="en-US" w:eastAsia="zh-CN"/>
                    </w:rPr>
                    <w:t>9</w:t>
                  </w:r>
                  <w:r>
                    <w:rPr>
                      <w:rFonts w:hint="eastAsia" w:cs="Times New Roman"/>
                      <w:color w:val="auto"/>
                      <w:sz w:val="18"/>
                      <w:szCs w:val="18"/>
                      <w:lang w:val="en-US" w:eastAsia="zh-CN"/>
                    </w:rPr>
                    <w:t>9</w:t>
                  </w:r>
                  <w:r>
                    <w:rPr>
                      <w:rFonts w:hint="default" w:ascii="Times New Roman" w:hAnsi="Times New Roman" w:eastAsia="宋体" w:cs="Times New Roman"/>
                      <w:color w:val="auto"/>
                      <w:sz w:val="18"/>
                      <w:szCs w:val="18"/>
                    </w:rPr>
                    <w:t>%）</w:t>
                  </w:r>
                </w:p>
              </w:tc>
              <w:tc>
                <w:tcPr>
                  <w:tcW w:w="561" w:type="pct"/>
                  <w:tcBorders>
                    <w:tl2br w:val="nil"/>
                    <w:tr2bl w:val="nil"/>
                  </w:tcBorders>
                  <w:noWrap w:val="0"/>
                  <w:vAlign w:val="center"/>
                </w:tcPr>
                <w:p w14:paraId="3E7D4EC0">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4.06</w:t>
                  </w:r>
                </w:p>
              </w:tc>
              <w:tc>
                <w:tcPr>
                  <w:tcW w:w="459" w:type="pct"/>
                  <w:tcBorders>
                    <w:tl2br w:val="nil"/>
                    <w:tr2bl w:val="nil"/>
                  </w:tcBorders>
                  <w:noWrap w:val="0"/>
                  <w:vAlign w:val="center"/>
                </w:tcPr>
                <w:p w14:paraId="6C8BA4C8">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0.13</w:t>
                  </w:r>
                </w:p>
              </w:tc>
              <w:tc>
                <w:tcPr>
                  <w:tcW w:w="369" w:type="pct"/>
                  <w:tcBorders>
                    <w:tl2br w:val="nil"/>
                    <w:tr2bl w:val="nil"/>
                  </w:tcBorders>
                  <w:noWrap w:val="0"/>
                  <w:vAlign w:val="center"/>
                </w:tcPr>
                <w:p w14:paraId="130CE4FF">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0.67</w:t>
                  </w:r>
                </w:p>
              </w:tc>
              <w:tc>
                <w:tcPr>
                  <w:tcW w:w="329" w:type="pct"/>
                  <w:tcBorders>
                    <w:tl2br w:val="nil"/>
                    <w:tr2bl w:val="nil"/>
                  </w:tcBorders>
                  <w:noWrap w:val="0"/>
                  <w:vAlign w:val="center"/>
                </w:tcPr>
                <w:p w14:paraId="3D707BF5">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80</w:t>
                  </w:r>
                </w:p>
              </w:tc>
              <w:tc>
                <w:tcPr>
                  <w:tcW w:w="135" w:type="pct"/>
                  <w:tcBorders>
                    <w:tl2br w:val="nil"/>
                    <w:tr2bl w:val="nil"/>
                  </w:tcBorders>
                  <w:noWrap w:val="0"/>
                  <w:vAlign w:val="center"/>
                </w:tcPr>
                <w:p w14:paraId="0B524A38">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1C22F4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2" w:type="pct"/>
                  <w:tcBorders>
                    <w:tl2br w:val="nil"/>
                    <w:tr2bl w:val="nil"/>
                  </w:tcBorders>
                  <w:noWrap w:val="0"/>
                  <w:vAlign w:val="center"/>
                </w:tcPr>
                <w:p w14:paraId="432ECA07">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DA005</w:t>
                  </w:r>
                </w:p>
              </w:tc>
              <w:tc>
                <w:tcPr>
                  <w:tcW w:w="212" w:type="pct"/>
                  <w:tcBorders>
                    <w:tl2br w:val="nil"/>
                    <w:tr2bl w:val="nil"/>
                  </w:tcBorders>
                  <w:noWrap w:val="0"/>
                  <w:vAlign w:val="center"/>
                </w:tcPr>
                <w:p w14:paraId="1F3C8349">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s="Times New Roman"/>
                      <w:color w:val="auto"/>
                      <w:sz w:val="18"/>
                      <w:szCs w:val="18"/>
                      <w:lang w:val="en-US" w:eastAsia="zh-CN"/>
                    </w:rPr>
                  </w:pPr>
                  <w:r>
                    <w:rPr>
                      <w:rFonts w:hint="eastAsia" w:cs="Times New Roman"/>
                      <w:color w:val="auto"/>
                      <w:sz w:val="18"/>
                      <w:szCs w:val="18"/>
                      <w:lang w:val="en-US" w:eastAsia="zh-CN"/>
                    </w:rPr>
                    <w:t>中细碎</w:t>
                  </w:r>
                </w:p>
              </w:tc>
              <w:tc>
                <w:tcPr>
                  <w:tcW w:w="555" w:type="pct"/>
                  <w:tcBorders>
                    <w:tl2br w:val="nil"/>
                    <w:tr2bl w:val="nil"/>
                  </w:tcBorders>
                  <w:noWrap w:val="0"/>
                  <w:vAlign w:val="center"/>
                </w:tcPr>
                <w:p w14:paraId="716DDC8B">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49000</w:t>
                  </w:r>
                </w:p>
              </w:tc>
              <w:tc>
                <w:tcPr>
                  <w:tcW w:w="135" w:type="pct"/>
                  <w:vMerge w:val="continue"/>
                  <w:tcBorders>
                    <w:tl2br w:val="nil"/>
                    <w:tr2bl w:val="nil"/>
                  </w:tcBorders>
                  <w:noWrap w:val="0"/>
                  <w:vAlign w:val="center"/>
                </w:tcPr>
                <w:p w14:paraId="38EF7FBD">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138" w:type="pct"/>
                  <w:vMerge w:val="continue"/>
                  <w:tcBorders>
                    <w:tl2br w:val="nil"/>
                    <w:tr2bl w:val="nil"/>
                  </w:tcBorders>
                  <w:noWrap w:val="0"/>
                  <w:vAlign w:val="center"/>
                </w:tcPr>
                <w:p w14:paraId="549AC473">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68" w:type="pct"/>
                  <w:tcBorders>
                    <w:tl2br w:val="nil"/>
                    <w:tr2bl w:val="nil"/>
                  </w:tcBorders>
                  <w:noWrap w:val="0"/>
                  <w:vAlign w:val="center"/>
                </w:tcPr>
                <w:p w14:paraId="04835CC2">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145.65</w:t>
                  </w:r>
                </w:p>
              </w:tc>
              <w:tc>
                <w:tcPr>
                  <w:tcW w:w="459" w:type="pct"/>
                  <w:tcBorders>
                    <w:tl2br w:val="nil"/>
                    <w:tr2bl w:val="nil"/>
                  </w:tcBorders>
                  <w:noWrap w:val="0"/>
                  <w:vAlign w:val="center"/>
                </w:tcPr>
                <w:p w14:paraId="2AB18EE2">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27.59</w:t>
                  </w:r>
                </w:p>
              </w:tc>
              <w:tc>
                <w:tcPr>
                  <w:tcW w:w="562" w:type="pct"/>
                  <w:tcBorders>
                    <w:tl2br w:val="nil"/>
                    <w:tr2bl w:val="nil"/>
                  </w:tcBorders>
                  <w:noWrap w:val="0"/>
                  <w:vAlign w:val="center"/>
                </w:tcPr>
                <w:p w14:paraId="0BC62499">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563.06</w:t>
                  </w:r>
                </w:p>
              </w:tc>
              <w:tc>
                <w:tcPr>
                  <w:tcW w:w="349" w:type="pct"/>
                  <w:vMerge w:val="continue"/>
                  <w:tcBorders>
                    <w:tl2br w:val="nil"/>
                    <w:tr2bl w:val="nil"/>
                  </w:tcBorders>
                  <w:noWrap w:val="0"/>
                  <w:vAlign w:val="center"/>
                </w:tcPr>
                <w:p w14:paraId="0332F45D">
                  <w:pPr>
                    <w:pStyle w:val="4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Cs/>
                      <w:color w:val="auto"/>
                      <w:sz w:val="18"/>
                      <w:szCs w:val="18"/>
                      <w:lang w:val="en-US" w:eastAsia="zh-CN"/>
                    </w:rPr>
                  </w:pPr>
                </w:p>
              </w:tc>
              <w:tc>
                <w:tcPr>
                  <w:tcW w:w="561" w:type="pct"/>
                  <w:tcBorders>
                    <w:tl2br w:val="nil"/>
                    <w:tr2bl w:val="nil"/>
                  </w:tcBorders>
                  <w:noWrap w:val="0"/>
                  <w:vAlign w:val="center"/>
                </w:tcPr>
                <w:p w14:paraId="68FBD9C0">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4.69</w:t>
                  </w:r>
                </w:p>
              </w:tc>
              <w:tc>
                <w:tcPr>
                  <w:tcW w:w="459" w:type="pct"/>
                  <w:tcBorders>
                    <w:tl2br w:val="nil"/>
                    <w:tr2bl w:val="nil"/>
                  </w:tcBorders>
                  <w:noWrap w:val="0"/>
                  <w:vAlign w:val="center"/>
                </w:tcPr>
                <w:p w14:paraId="0ED35891">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0.23</w:t>
                  </w:r>
                </w:p>
              </w:tc>
              <w:tc>
                <w:tcPr>
                  <w:tcW w:w="369" w:type="pct"/>
                  <w:tcBorders>
                    <w:tl2br w:val="nil"/>
                    <w:tr2bl w:val="nil"/>
                  </w:tcBorders>
                  <w:noWrap w:val="0"/>
                  <w:vAlign w:val="center"/>
                </w:tcPr>
                <w:p w14:paraId="02E94EC5">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1.24</w:t>
                  </w:r>
                </w:p>
              </w:tc>
              <w:tc>
                <w:tcPr>
                  <w:tcW w:w="329" w:type="pct"/>
                  <w:vMerge w:val="restart"/>
                  <w:tcBorders>
                    <w:tl2br w:val="nil"/>
                    <w:tr2bl w:val="nil"/>
                  </w:tcBorders>
                  <w:noWrap w:val="0"/>
                  <w:vAlign w:val="center"/>
                </w:tcPr>
                <w:p w14:paraId="609B7A3B">
                  <w:pPr>
                    <w:pStyle w:val="4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135" w:type="pct"/>
                  <w:tcBorders>
                    <w:tl2br w:val="nil"/>
                    <w:tr2bl w:val="nil"/>
                  </w:tcBorders>
                  <w:noWrap w:val="0"/>
                  <w:vAlign w:val="center"/>
                </w:tcPr>
                <w:p w14:paraId="0DB94A6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25235B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362" w:type="pct"/>
                  <w:tcBorders>
                    <w:tl2br w:val="nil"/>
                    <w:tr2bl w:val="nil"/>
                  </w:tcBorders>
                  <w:noWrap w:val="0"/>
                  <w:vAlign w:val="center"/>
                </w:tcPr>
                <w:p w14:paraId="66D8DA7A">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DA006</w:t>
                  </w:r>
                </w:p>
              </w:tc>
              <w:tc>
                <w:tcPr>
                  <w:tcW w:w="212" w:type="pct"/>
                  <w:tcBorders>
                    <w:tl2br w:val="nil"/>
                    <w:tr2bl w:val="nil"/>
                  </w:tcBorders>
                  <w:noWrap w:val="0"/>
                  <w:vAlign w:val="center"/>
                </w:tcPr>
                <w:p w14:paraId="578D21F2">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s="Times New Roman"/>
                      <w:color w:val="auto"/>
                      <w:sz w:val="18"/>
                      <w:szCs w:val="18"/>
                      <w:lang w:val="en-US" w:eastAsia="zh-CN"/>
                    </w:rPr>
                  </w:pPr>
                  <w:r>
                    <w:rPr>
                      <w:rFonts w:hint="eastAsia" w:cs="Times New Roman"/>
                      <w:color w:val="auto"/>
                      <w:sz w:val="18"/>
                      <w:szCs w:val="18"/>
                      <w:lang w:val="en-US" w:eastAsia="zh-CN"/>
                    </w:rPr>
                    <w:t>筛分</w:t>
                  </w:r>
                </w:p>
              </w:tc>
              <w:tc>
                <w:tcPr>
                  <w:tcW w:w="555" w:type="pct"/>
                  <w:tcBorders>
                    <w:tl2br w:val="nil"/>
                    <w:tr2bl w:val="nil"/>
                  </w:tcBorders>
                  <w:noWrap w:val="0"/>
                  <w:vAlign w:val="center"/>
                </w:tcPr>
                <w:p w14:paraId="2530FF23">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32000</w:t>
                  </w:r>
                </w:p>
              </w:tc>
              <w:tc>
                <w:tcPr>
                  <w:tcW w:w="135" w:type="pct"/>
                  <w:vMerge w:val="continue"/>
                  <w:tcBorders>
                    <w:tl2br w:val="nil"/>
                    <w:tr2bl w:val="nil"/>
                  </w:tcBorders>
                  <w:noWrap w:val="0"/>
                  <w:vAlign w:val="center"/>
                </w:tcPr>
                <w:p w14:paraId="175C47D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138" w:type="pct"/>
                  <w:vMerge w:val="continue"/>
                  <w:tcBorders>
                    <w:tl2br w:val="nil"/>
                    <w:tr2bl w:val="nil"/>
                  </w:tcBorders>
                  <w:noWrap w:val="0"/>
                  <w:vAlign w:val="center"/>
                </w:tcPr>
                <w:p w14:paraId="4241A2F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68" w:type="pct"/>
                  <w:tcBorders>
                    <w:tl2br w:val="nil"/>
                    <w:tr2bl w:val="nil"/>
                  </w:tcBorders>
                  <w:noWrap w:val="0"/>
                  <w:vAlign w:val="center"/>
                </w:tcPr>
                <w:p w14:paraId="18F0F2D2">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145.88</w:t>
                  </w:r>
                </w:p>
              </w:tc>
              <w:tc>
                <w:tcPr>
                  <w:tcW w:w="459" w:type="pct"/>
                  <w:tcBorders>
                    <w:tl2br w:val="nil"/>
                    <w:tr2bl w:val="nil"/>
                  </w:tcBorders>
                  <w:noWrap w:val="0"/>
                  <w:vAlign w:val="center"/>
                </w:tcPr>
                <w:p w14:paraId="75088E5A">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27.63</w:t>
                  </w:r>
                </w:p>
              </w:tc>
              <w:tc>
                <w:tcPr>
                  <w:tcW w:w="562" w:type="pct"/>
                  <w:tcBorders>
                    <w:tl2br w:val="nil"/>
                    <w:tr2bl w:val="nil"/>
                  </w:tcBorders>
                  <w:noWrap w:val="0"/>
                  <w:vAlign w:val="center"/>
                </w:tcPr>
                <w:p w14:paraId="61437296">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863.44</w:t>
                  </w:r>
                </w:p>
              </w:tc>
              <w:tc>
                <w:tcPr>
                  <w:tcW w:w="349" w:type="pct"/>
                  <w:vMerge w:val="continue"/>
                  <w:tcBorders>
                    <w:tl2br w:val="nil"/>
                    <w:tr2bl w:val="nil"/>
                  </w:tcBorders>
                  <w:noWrap w:val="0"/>
                  <w:vAlign w:val="center"/>
                </w:tcPr>
                <w:p w14:paraId="5BCE5294">
                  <w:pPr>
                    <w:pStyle w:val="4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Cs/>
                      <w:color w:val="auto"/>
                      <w:sz w:val="18"/>
                      <w:szCs w:val="18"/>
                      <w:lang w:val="en-US" w:eastAsia="zh-CN"/>
                    </w:rPr>
                  </w:pPr>
                </w:p>
              </w:tc>
              <w:tc>
                <w:tcPr>
                  <w:tcW w:w="561" w:type="pct"/>
                  <w:tcBorders>
                    <w:tl2br w:val="nil"/>
                    <w:tr2bl w:val="nil"/>
                  </w:tcBorders>
                  <w:noWrap w:val="0"/>
                  <w:vAlign w:val="center"/>
                </w:tcPr>
                <w:p w14:paraId="65C9241E">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7.19</w:t>
                  </w:r>
                </w:p>
              </w:tc>
              <w:tc>
                <w:tcPr>
                  <w:tcW w:w="459" w:type="pct"/>
                  <w:tcBorders>
                    <w:tl2br w:val="nil"/>
                    <w:tr2bl w:val="nil"/>
                  </w:tcBorders>
                  <w:noWrap w:val="0"/>
                  <w:vAlign w:val="center"/>
                </w:tcPr>
                <w:p w14:paraId="1D932B68">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0.23</w:t>
                  </w:r>
                </w:p>
              </w:tc>
              <w:tc>
                <w:tcPr>
                  <w:tcW w:w="369" w:type="pct"/>
                  <w:tcBorders>
                    <w:tl2br w:val="nil"/>
                    <w:tr2bl w:val="nil"/>
                  </w:tcBorders>
                  <w:noWrap w:val="0"/>
                  <w:vAlign w:val="center"/>
                </w:tcPr>
                <w:p w14:paraId="3545705B">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1.24</w:t>
                  </w:r>
                </w:p>
              </w:tc>
              <w:tc>
                <w:tcPr>
                  <w:tcW w:w="329" w:type="pct"/>
                  <w:vMerge w:val="continue"/>
                  <w:tcBorders>
                    <w:tl2br w:val="nil"/>
                    <w:tr2bl w:val="nil"/>
                  </w:tcBorders>
                  <w:noWrap w:val="0"/>
                  <w:vAlign w:val="center"/>
                </w:tcPr>
                <w:p w14:paraId="25BA6B36">
                  <w:pPr>
                    <w:pStyle w:val="45"/>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18"/>
                      <w:szCs w:val="18"/>
                      <w:lang w:val="en-US" w:eastAsia="zh-CN"/>
                    </w:rPr>
                  </w:pPr>
                </w:p>
              </w:tc>
              <w:tc>
                <w:tcPr>
                  <w:tcW w:w="135" w:type="pct"/>
                  <w:tcBorders>
                    <w:tl2br w:val="nil"/>
                    <w:tr2bl w:val="nil"/>
                  </w:tcBorders>
                  <w:noWrap w:val="0"/>
                  <w:vAlign w:val="center"/>
                </w:tcPr>
                <w:p w14:paraId="1170F36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bl>
          <w:p w14:paraId="5910B24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auto"/>
                <w:sz w:val="24"/>
                <w:szCs w:val="24"/>
                <w:lang w:val="en-US" w:eastAsia="zh-CN"/>
              </w:rPr>
              <w:t>本项目建成后，</w:t>
            </w:r>
            <w:r>
              <w:rPr>
                <w:rFonts w:hint="default" w:ascii="Times New Roman" w:hAnsi="Times New Roman" w:cs="Times New Roman"/>
                <w:color w:val="auto"/>
                <w:sz w:val="24"/>
                <w:szCs w:val="24"/>
              </w:rPr>
              <w:t>有组织</w:t>
            </w:r>
            <w:r>
              <w:rPr>
                <w:rFonts w:hint="default" w:ascii="Times New Roman" w:hAnsi="Times New Roman" w:cs="Times New Roman"/>
                <w:color w:val="auto"/>
                <w:sz w:val="24"/>
                <w:szCs w:val="24"/>
                <w:lang w:val="en-US" w:eastAsia="zh-CN"/>
              </w:rPr>
              <w:t>颗粒</w:t>
            </w:r>
            <w:r>
              <w:rPr>
                <w:rFonts w:hint="default" w:ascii="Times New Roman" w:hAnsi="Times New Roman" w:cs="Times New Roman"/>
                <w:color w:val="000000" w:themeColor="text1"/>
                <w:sz w:val="24"/>
                <w:szCs w:val="24"/>
                <w:lang w:val="en-US" w:eastAsia="zh-CN"/>
                <w14:textFill>
                  <w14:solidFill>
                    <w14:schemeClr w14:val="tx1"/>
                  </w14:solidFill>
                </w14:textFill>
              </w:rPr>
              <w:t>物</w:t>
            </w:r>
            <w:r>
              <w:rPr>
                <w:rFonts w:hint="default" w:ascii="Times New Roman" w:hAnsi="Times New Roman" w:cs="Times New Roman"/>
                <w:color w:val="000000" w:themeColor="text1"/>
                <w:sz w:val="24"/>
                <w:szCs w:val="24"/>
                <w14:textFill>
                  <w14:solidFill>
                    <w14:schemeClr w14:val="tx1"/>
                  </w14:solidFill>
                </w14:textFill>
              </w:rPr>
              <w:t>总</w:t>
            </w:r>
            <w:r>
              <w:rPr>
                <w:rFonts w:hint="default" w:ascii="Times New Roman" w:hAnsi="Times New Roman" w:cs="Times New Roman"/>
                <w:color w:val="000000" w:themeColor="text1"/>
                <w:sz w:val="24"/>
                <w:szCs w:val="24"/>
                <w:lang w:val="en-US" w:eastAsia="zh-CN"/>
                <w14:textFill>
                  <w14:solidFill>
                    <w14:schemeClr w14:val="tx1"/>
                  </w14:solidFill>
                </w14:textFill>
              </w:rPr>
              <w:t>排放</w:t>
            </w:r>
            <w:r>
              <w:rPr>
                <w:rFonts w:hint="default" w:ascii="Times New Roman" w:hAnsi="Times New Roman" w:cs="Times New Roman"/>
                <w:color w:val="000000" w:themeColor="text1"/>
                <w:sz w:val="24"/>
                <w:szCs w:val="24"/>
                <w14:textFill>
                  <w14:solidFill>
                    <w14:schemeClr w14:val="tx1"/>
                  </w14:solidFill>
                </w14:textFill>
              </w:rPr>
              <w:t>量为</w:t>
            </w:r>
            <w:r>
              <w:rPr>
                <w:rFonts w:hint="eastAsia" w:cs="Times New Roman"/>
                <w:color w:val="000000" w:themeColor="text1"/>
                <w:sz w:val="24"/>
                <w:szCs w:val="24"/>
                <w:lang w:val="en-US" w:eastAsia="zh-CN"/>
                <w14:textFill>
                  <w14:solidFill>
                    <w14:schemeClr w14:val="tx1"/>
                  </w14:solidFill>
                </w14:textFill>
              </w:rPr>
              <w:t>3.15</w:t>
            </w:r>
            <w:r>
              <w:rPr>
                <w:rFonts w:hint="default" w:ascii="Times New Roman" w:hAnsi="Times New Roman" w:cs="Times New Roman"/>
                <w:color w:val="000000" w:themeColor="text1"/>
                <w:sz w:val="24"/>
                <w:szCs w:val="24"/>
                <w14:textFill>
                  <w14:solidFill>
                    <w14:schemeClr w14:val="tx1"/>
                  </w14:solidFill>
                </w14:textFill>
              </w:rPr>
              <w:t>t/a</w:t>
            </w:r>
            <w:r>
              <w:rPr>
                <w:rFonts w:hint="eastAsia" w:ascii="Times New Roman" w:hAnsi="Times New Roman" w:cs="Times New Roman"/>
                <w:color w:val="000000" w:themeColor="text1"/>
                <w:sz w:val="24"/>
                <w:szCs w:val="24"/>
                <w:lang w:eastAsia="zh-CN"/>
                <w14:textFill>
                  <w14:solidFill>
                    <w14:schemeClr w14:val="tx1"/>
                  </w14:solidFill>
                </w14:textFill>
              </w:rPr>
              <w:t>。</w:t>
            </w:r>
          </w:p>
          <w:p w14:paraId="636A0764">
            <w:pPr>
              <w:pStyle w:val="38"/>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3</w:t>
            </w:r>
            <w:r>
              <w:rPr>
                <w:rFonts w:hint="default" w:ascii="Times New Roman" w:hAnsi="Times New Roman" w:cs="Times New Roman"/>
                <w:color w:val="auto"/>
              </w:rPr>
              <w:t xml:space="preserve"> 本项目有组织废气排放口情况表</w:t>
            </w:r>
          </w:p>
          <w:tbl>
            <w:tblPr>
              <w:tblStyle w:val="21"/>
              <w:tblW w:w="4992"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748"/>
              <w:gridCol w:w="904"/>
              <w:gridCol w:w="1822"/>
              <w:gridCol w:w="867"/>
              <w:gridCol w:w="1035"/>
              <w:gridCol w:w="762"/>
            </w:tblGrid>
            <w:tr w14:paraId="3EA03B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1038" w:type="pct"/>
                  <w:tcBorders>
                    <w:tl2br w:val="nil"/>
                    <w:tr2bl w:val="nil"/>
                  </w:tcBorders>
                  <w:noWrap w:val="0"/>
                  <w:vAlign w:val="center"/>
                </w:tcPr>
                <w:p w14:paraId="623D612B">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名称</w:t>
                  </w:r>
                </w:p>
              </w:tc>
              <w:tc>
                <w:tcPr>
                  <w:tcW w:w="486" w:type="pct"/>
                  <w:tcBorders>
                    <w:tl2br w:val="nil"/>
                    <w:tr2bl w:val="nil"/>
                  </w:tcBorders>
                  <w:noWrap w:val="0"/>
                  <w:vAlign w:val="center"/>
                </w:tcPr>
                <w:p w14:paraId="4D9E5CAF">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编号</w:t>
                  </w:r>
                </w:p>
              </w:tc>
              <w:tc>
                <w:tcPr>
                  <w:tcW w:w="587" w:type="pct"/>
                  <w:tcBorders>
                    <w:tl2br w:val="nil"/>
                    <w:tr2bl w:val="nil"/>
                  </w:tcBorders>
                  <w:noWrap w:val="0"/>
                  <w:vAlign w:val="center"/>
                </w:tcPr>
                <w:p w14:paraId="0100C253">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类型</w:t>
                  </w:r>
                </w:p>
              </w:tc>
              <w:tc>
                <w:tcPr>
                  <w:tcW w:w="1179" w:type="pct"/>
                  <w:tcBorders>
                    <w:tl2br w:val="nil"/>
                    <w:tr2bl w:val="nil"/>
                  </w:tcBorders>
                  <w:noWrap w:val="0"/>
                  <w:vAlign w:val="center"/>
                </w:tcPr>
                <w:p w14:paraId="03089FBB">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坐标</w:t>
                  </w:r>
                </w:p>
              </w:tc>
              <w:tc>
                <w:tcPr>
                  <w:tcW w:w="563" w:type="pct"/>
                  <w:tcBorders>
                    <w:tl2br w:val="nil"/>
                    <w:tr2bl w:val="nil"/>
                  </w:tcBorders>
                  <w:noWrap w:val="0"/>
                  <w:vAlign w:val="center"/>
                </w:tcPr>
                <w:p w14:paraId="2DBA688F">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高度（m）</w:t>
                  </w:r>
                </w:p>
              </w:tc>
              <w:tc>
                <w:tcPr>
                  <w:tcW w:w="671" w:type="pct"/>
                  <w:tcBorders>
                    <w:tl2br w:val="nil"/>
                    <w:tr2bl w:val="nil"/>
                  </w:tcBorders>
                  <w:noWrap w:val="0"/>
                  <w:vAlign w:val="center"/>
                </w:tcPr>
                <w:p w14:paraId="39A5B08E">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内径（m）</w:t>
                  </w:r>
                </w:p>
              </w:tc>
              <w:tc>
                <w:tcPr>
                  <w:tcW w:w="473" w:type="pct"/>
                  <w:tcBorders>
                    <w:tl2br w:val="nil"/>
                    <w:tr2bl w:val="nil"/>
                  </w:tcBorders>
                  <w:noWrap w:val="0"/>
                  <w:vAlign w:val="center"/>
                </w:tcPr>
                <w:p w14:paraId="6CF196F0">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温度（℃）</w:t>
                  </w:r>
                </w:p>
              </w:tc>
            </w:tr>
            <w:tr w14:paraId="6B4CF3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pct"/>
                  <w:tcBorders>
                    <w:tl2br w:val="nil"/>
                    <w:tr2bl w:val="nil"/>
                  </w:tcBorders>
                  <w:noWrap w:val="0"/>
                  <w:vAlign w:val="center"/>
                </w:tcPr>
                <w:p w14:paraId="0A5BA3B0">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给料仓排口</w:t>
                  </w:r>
                </w:p>
              </w:tc>
              <w:tc>
                <w:tcPr>
                  <w:tcW w:w="751" w:type="dxa"/>
                  <w:tcBorders>
                    <w:tl2br w:val="nil"/>
                    <w:tr2bl w:val="nil"/>
                  </w:tcBorders>
                  <w:noWrap w:val="0"/>
                  <w:vAlign w:val="center"/>
                </w:tcPr>
                <w:p w14:paraId="3022326B">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DA004</w:t>
                  </w:r>
                </w:p>
              </w:tc>
              <w:tc>
                <w:tcPr>
                  <w:tcW w:w="587" w:type="pct"/>
                  <w:tcBorders>
                    <w:tl2br w:val="nil"/>
                    <w:tr2bl w:val="nil"/>
                  </w:tcBorders>
                  <w:noWrap w:val="0"/>
                  <w:vAlign w:val="center"/>
                </w:tcPr>
                <w:p w14:paraId="48193D51">
                  <w:pPr>
                    <w:pStyle w:val="45"/>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179" w:type="pct"/>
                  <w:tcBorders>
                    <w:tl2br w:val="nil"/>
                    <w:tr2bl w:val="nil"/>
                  </w:tcBorders>
                  <w:noWrap w:val="0"/>
                  <w:vAlign w:val="center"/>
                </w:tcPr>
                <w:p w14:paraId="1ECB4535">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r>
                    <w:rPr>
                      <w:rFonts w:hint="default" w:ascii="Times New Roman" w:hAnsi="Times New Roman" w:cs="Times New Roman"/>
                      <w:color w:val="auto"/>
                      <w:sz w:val="18"/>
                      <w:szCs w:val="18"/>
                      <w:lang w:val="en-US" w:eastAsia="zh-CN"/>
                    </w:rPr>
                    <w:t>102°</w:t>
                  </w:r>
                  <w:r>
                    <w:rPr>
                      <w:rFonts w:hint="eastAsia" w:ascii="Times New Roman" w:hAnsi="Times New Roman" w:cs="Times New Roman"/>
                      <w:color w:val="auto"/>
                      <w:sz w:val="18"/>
                      <w:szCs w:val="18"/>
                      <w:lang w:val="en-US" w:eastAsia="zh-CN"/>
                    </w:rPr>
                    <w:t>10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3.07</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w:t>
                  </w:r>
                </w:p>
                <w:p w14:paraId="4787197F">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w:t>
                  </w:r>
                  <w:r>
                    <w:rPr>
                      <w:rFonts w:hint="default" w:ascii="Times New Roman" w:hAnsi="Times New Roman" w:cs="Times New Roman"/>
                      <w:color w:val="auto"/>
                      <w:sz w:val="18"/>
                      <w:szCs w:val="18"/>
                      <w:lang w:val="en-US" w:eastAsia="zh-CN"/>
                    </w:rPr>
                    <w:t>24°4</w:t>
                  </w: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23.83</w:t>
                  </w:r>
                  <w:r>
                    <w:rPr>
                      <w:rFonts w:hint="default" w:ascii="Times New Roman" w:hAnsi="Times New Roman" w:cs="Times New Roman"/>
                      <w:color w:val="auto"/>
                      <w:sz w:val="18"/>
                      <w:szCs w:val="18"/>
                      <w:lang w:val="en-US" w:eastAsia="zh-CN"/>
                    </w:rPr>
                    <w:t>″</w:t>
                  </w:r>
                </w:p>
              </w:tc>
              <w:tc>
                <w:tcPr>
                  <w:tcW w:w="563" w:type="pct"/>
                  <w:tcBorders>
                    <w:tl2br w:val="nil"/>
                    <w:tr2bl w:val="nil"/>
                  </w:tcBorders>
                  <w:noWrap w:val="0"/>
                  <w:vAlign w:val="center"/>
                </w:tcPr>
                <w:p w14:paraId="176CED9D">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17.5</w:t>
                  </w:r>
                </w:p>
              </w:tc>
              <w:tc>
                <w:tcPr>
                  <w:tcW w:w="671" w:type="pct"/>
                  <w:tcBorders>
                    <w:tl2br w:val="nil"/>
                    <w:tr2bl w:val="nil"/>
                  </w:tcBorders>
                  <w:noWrap w:val="0"/>
                  <w:vAlign w:val="center"/>
                </w:tcPr>
                <w:p w14:paraId="66D98B92">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0.8</w:t>
                  </w:r>
                </w:p>
              </w:tc>
              <w:tc>
                <w:tcPr>
                  <w:tcW w:w="473" w:type="pct"/>
                  <w:tcBorders>
                    <w:tl2br w:val="nil"/>
                    <w:tr2bl w:val="nil"/>
                  </w:tcBorders>
                  <w:noWrap w:val="0"/>
                  <w:vAlign w:val="center"/>
                </w:tcPr>
                <w:p w14:paraId="13B2F453">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p>
              </w:tc>
            </w:tr>
            <w:tr w14:paraId="6BA3C3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pct"/>
                  <w:tcBorders>
                    <w:tl2br w:val="nil"/>
                    <w:tr2bl w:val="nil"/>
                  </w:tcBorders>
                  <w:noWrap w:val="0"/>
                  <w:vAlign w:val="center"/>
                </w:tcPr>
                <w:p w14:paraId="7BABAB1C">
                  <w:pPr>
                    <w:pStyle w:val="45"/>
                    <w:rPr>
                      <w:rFonts w:hint="default" w:cs="Times New Roman"/>
                      <w:color w:val="auto"/>
                      <w:sz w:val="18"/>
                      <w:szCs w:val="18"/>
                      <w:lang w:val="en-US" w:eastAsia="zh-CN"/>
                    </w:rPr>
                  </w:pPr>
                  <w:r>
                    <w:rPr>
                      <w:rFonts w:hint="eastAsia" w:cs="Times New Roman"/>
                      <w:color w:val="auto"/>
                      <w:sz w:val="18"/>
                      <w:szCs w:val="18"/>
                      <w:lang w:val="en-US" w:eastAsia="zh-CN"/>
                    </w:rPr>
                    <w:t>破碎车间排口</w:t>
                  </w:r>
                </w:p>
              </w:tc>
              <w:tc>
                <w:tcPr>
                  <w:tcW w:w="751" w:type="dxa"/>
                  <w:tcBorders>
                    <w:tl2br w:val="nil"/>
                    <w:tr2bl w:val="nil"/>
                  </w:tcBorders>
                  <w:noWrap w:val="0"/>
                  <w:vAlign w:val="center"/>
                </w:tcPr>
                <w:p w14:paraId="3C476805">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DA005</w:t>
                  </w:r>
                </w:p>
              </w:tc>
              <w:tc>
                <w:tcPr>
                  <w:tcW w:w="587" w:type="pct"/>
                  <w:tcBorders>
                    <w:tl2br w:val="nil"/>
                    <w:tr2bl w:val="nil"/>
                  </w:tcBorders>
                  <w:noWrap w:val="0"/>
                  <w:vAlign w:val="center"/>
                </w:tcPr>
                <w:p w14:paraId="5DE9B6B4">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179" w:type="pct"/>
                  <w:tcBorders>
                    <w:tl2br w:val="nil"/>
                    <w:tr2bl w:val="nil"/>
                  </w:tcBorders>
                  <w:noWrap w:val="0"/>
                  <w:vAlign w:val="center"/>
                </w:tcPr>
                <w:p w14:paraId="19FBB353">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r>
                    <w:rPr>
                      <w:rFonts w:hint="default" w:ascii="Times New Roman" w:hAnsi="Times New Roman" w:cs="Times New Roman"/>
                      <w:color w:val="auto"/>
                      <w:sz w:val="18"/>
                      <w:szCs w:val="18"/>
                      <w:lang w:val="en-US" w:eastAsia="zh-CN"/>
                    </w:rPr>
                    <w:t>102°</w:t>
                  </w:r>
                  <w:r>
                    <w:rPr>
                      <w:rFonts w:hint="eastAsia" w:ascii="Times New Roman" w:hAnsi="Times New Roman" w:cs="Times New Roman"/>
                      <w:color w:val="auto"/>
                      <w:sz w:val="18"/>
                      <w:szCs w:val="18"/>
                      <w:lang w:val="en-US" w:eastAsia="zh-CN"/>
                    </w:rPr>
                    <w:t>10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602</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w:t>
                  </w:r>
                </w:p>
                <w:p w14:paraId="632D824A">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w:t>
                  </w:r>
                  <w:r>
                    <w:rPr>
                      <w:rFonts w:hint="default" w:ascii="Times New Roman" w:hAnsi="Times New Roman" w:cs="Times New Roman"/>
                      <w:color w:val="auto"/>
                      <w:sz w:val="18"/>
                      <w:szCs w:val="18"/>
                      <w:lang w:val="en-US" w:eastAsia="zh-CN"/>
                    </w:rPr>
                    <w:t>24°4</w:t>
                  </w: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35.21</w:t>
                  </w:r>
                  <w:r>
                    <w:rPr>
                      <w:rFonts w:hint="default" w:ascii="Times New Roman" w:hAnsi="Times New Roman" w:cs="Times New Roman"/>
                      <w:color w:val="auto"/>
                      <w:sz w:val="18"/>
                      <w:szCs w:val="18"/>
                      <w:lang w:val="en-US" w:eastAsia="zh-CN"/>
                    </w:rPr>
                    <w:t>″</w:t>
                  </w:r>
                </w:p>
              </w:tc>
              <w:tc>
                <w:tcPr>
                  <w:tcW w:w="870" w:type="dxa"/>
                  <w:tcBorders>
                    <w:tl2br w:val="nil"/>
                    <w:tr2bl w:val="nil"/>
                  </w:tcBorders>
                  <w:noWrap w:val="0"/>
                  <w:vAlign w:val="center"/>
                </w:tcPr>
                <w:p w14:paraId="33353155">
                  <w:pPr>
                    <w:pStyle w:val="45"/>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17.5</w:t>
                  </w:r>
                </w:p>
              </w:tc>
              <w:tc>
                <w:tcPr>
                  <w:tcW w:w="1037" w:type="dxa"/>
                  <w:tcBorders>
                    <w:tl2br w:val="nil"/>
                    <w:tr2bl w:val="nil"/>
                  </w:tcBorders>
                  <w:noWrap w:val="0"/>
                  <w:vAlign w:val="center"/>
                </w:tcPr>
                <w:p w14:paraId="3278C081">
                  <w:pPr>
                    <w:pStyle w:val="45"/>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0.8</w:t>
                  </w:r>
                </w:p>
              </w:tc>
              <w:tc>
                <w:tcPr>
                  <w:tcW w:w="473" w:type="pct"/>
                  <w:tcBorders>
                    <w:tl2br w:val="nil"/>
                    <w:tr2bl w:val="nil"/>
                  </w:tcBorders>
                  <w:noWrap w:val="0"/>
                  <w:vAlign w:val="center"/>
                </w:tcPr>
                <w:p w14:paraId="44FA82CA">
                  <w:pPr>
                    <w:pStyle w:val="45"/>
                    <w:rPr>
                      <w:rFonts w:hint="default" w:cs="Times New Roman"/>
                      <w:color w:val="auto"/>
                      <w:sz w:val="18"/>
                      <w:szCs w:val="18"/>
                      <w:lang w:val="en-US" w:eastAsia="zh-CN"/>
                    </w:rPr>
                  </w:pPr>
                  <w:r>
                    <w:rPr>
                      <w:rFonts w:hint="eastAsia" w:cs="Times New Roman"/>
                      <w:color w:val="auto"/>
                      <w:sz w:val="18"/>
                      <w:szCs w:val="18"/>
                      <w:lang w:val="en-US" w:eastAsia="zh-CN"/>
                    </w:rPr>
                    <w:t>25</w:t>
                  </w:r>
                </w:p>
              </w:tc>
            </w:tr>
            <w:tr w14:paraId="68D859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pct"/>
                  <w:tcBorders>
                    <w:tl2br w:val="nil"/>
                    <w:tr2bl w:val="nil"/>
                  </w:tcBorders>
                  <w:noWrap w:val="0"/>
                  <w:vAlign w:val="center"/>
                </w:tcPr>
                <w:p w14:paraId="67F52B87">
                  <w:pPr>
                    <w:pStyle w:val="45"/>
                    <w:rPr>
                      <w:rFonts w:hint="default" w:cs="Times New Roman"/>
                      <w:color w:val="auto"/>
                      <w:sz w:val="18"/>
                      <w:szCs w:val="18"/>
                      <w:lang w:val="en-US" w:eastAsia="zh-CN"/>
                    </w:rPr>
                  </w:pPr>
                  <w:r>
                    <w:rPr>
                      <w:rFonts w:hint="eastAsia" w:cs="Times New Roman"/>
                      <w:color w:val="auto"/>
                      <w:sz w:val="18"/>
                      <w:szCs w:val="18"/>
                      <w:lang w:val="en-US" w:eastAsia="zh-CN"/>
                    </w:rPr>
                    <w:t>筛分车间排口</w:t>
                  </w:r>
                </w:p>
              </w:tc>
              <w:tc>
                <w:tcPr>
                  <w:tcW w:w="751" w:type="dxa"/>
                  <w:tcBorders>
                    <w:tl2br w:val="nil"/>
                    <w:tr2bl w:val="nil"/>
                  </w:tcBorders>
                  <w:noWrap w:val="0"/>
                  <w:vAlign w:val="center"/>
                </w:tcPr>
                <w:p w14:paraId="2508FD94">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DA006</w:t>
                  </w:r>
                </w:p>
              </w:tc>
              <w:tc>
                <w:tcPr>
                  <w:tcW w:w="587" w:type="pct"/>
                  <w:tcBorders>
                    <w:tl2br w:val="nil"/>
                    <w:tr2bl w:val="nil"/>
                  </w:tcBorders>
                  <w:noWrap w:val="0"/>
                  <w:vAlign w:val="center"/>
                </w:tcPr>
                <w:p w14:paraId="0A4CFE6F">
                  <w:pPr>
                    <w:ind w:left="0" w:leftChars="0" w:right="0" w:righ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179" w:type="pct"/>
                  <w:tcBorders>
                    <w:tl2br w:val="nil"/>
                    <w:tr2bl w:val="nil"/>
                  </w:tcBorders>
                  <w:noWrap w:val="0"/>
                  <w:vAlign w:val="center"/>
                </w:tcPr>
                <w:p w14:paraId="13AE67D7">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r>
                    <w:rPr>
                      <w:rFonts w:hint="default" w:ascii="Times New Roman" w:hAnsi="Times New Roman" w:cs="Times New Roman"/>
                      <w:color w:val="auto"/>
                      <w:sz w:val="18"/>
                      <w:szCs w:val="18"/>
                      <w:lang w:val="en-US" w:eastAsia="zh-CN"/>
                    </w:rPr>
                    <w:t>102°</w:t>
                  </w:r>
                  <w:r>
                    <w:rPr>
                      <w:rFonts w:hint="eastAsia" w:ascii="Times New Roman" w:hAnsi="Times New Roman" w:cs="Times New Roman"/>
                      <w:color w:val="auto"/>
                      <w:sz w:val="18"/>
                      <w:szCs w:val="18"/>
                      <w:lang w:val="en-US" w:eastAsia="zh-CN"/>
                    </w:rPr>
                    <w:t>10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3.47</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w:t>
                  </w:r>
                </w:p>
                <w:p w14:paraId="7F27FD7D">
                  <w:pPr>
                    <w:pStyle w:val="4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w:t>
                  </w:r>
                  <w:r>
                    <w:rPr>
                      <w:rFonts w:hint="default" w:ascii="Times New Roman" w:hAnsi="Times New Roman" w:cs="Times New Roman"/>
                      <w:color w:val="auto"/>
                      <w:sz w:val="18"/>
                      <w:szCs w:val="18"/>
                      <w:lang w:val="en-US" w:eastAsia="zh-CN"/>
                    </w:rPr>
                    <w:t>24°4</w:t>
                  </w: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34.45</w:t>
                  </w:r>
                  <w:r>
                    <w:rPr>
                      <w:rFonts w:hint="default" w:ascii="Times New Roman" w:hAnsi="Times New Roman" w:cs="Times New Roman"/>
                      <w:color w:val="auto"/>
                      <w:sz w:val="18"/>
                      <w:szCs w:val="18"/>
                      <w:lang w:val="en-US" w:eastAsia="zh-CN"/>
                    </w:rPr>
                    <w:t>″</w:t>
                  </w:r>
                </w:p>
              </w:tc>
              <w:tc>
                <w:tcPr>
                  <w:tcW w:w="870" w:type="dxa"/>
                  <w:tcBorders>
                    <w:tl2br w:val="nil"/>
                    <w:tr2bl w:val="nil"/>
                  </w:tcBorders>
                  <w:noWrap w:val="0"/>
                  <w:vAlign w:val="center"/>
                </w:tcPr>
                <w:p w14:paraId="2A9532A2">
                  <w:pPr>
                    <w:pStyle w:val="45"/>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23.5</w:t>
                  </w:r>
                </w:p>
              </w:tc>
              <w:tc>
                <w:tcPr>
                  <w:tcW w:w="1037" w:type="dxa"/>
                  <w:tcBorders>
                    <w:tl2br w:val="nil"/>
                    <w:tr2bl w:val="nil"/>
                  </w:tcBorders>
                  <w:noWrap w:val="0"/>
                  <w:vAlign w:val="center"/>
                </w:tcPr>
                <w:p w14:paraId="6E0A51CF">
                  <w:pPr>
                    <w:pStyle w:val="45"/>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473" w:type="pct"/>
                  <w:tcBorders>
                    <w:tl2br w:val="nil"/>
                    <w:tr2bl w:val="nil"/>
                  </w:tcBorders>
                  <w:noWrap w:val="0"/>
                  <w:vAlign w:val="center"/>
                </w:tcPr>
                <w:p w14:paraId="33549ADF">
                  <w:pPr>
                    <w:pStyle w:val="45"/>
                    <w:rPr>
                      <w:rFonts w:hint="default" w:cs="Times New Roman"/>
                      <w:color w:val="auto"/>
                      <w:sz w:val="18"/>
                      <w:szCs w:val="18"/>
                      <w:lang w:val="en-US" w:eastAsia="zh-CN"/>
                    </w:rPr>
                  </w:pPr>
                  <w:r>
                    <w:rPr>
                      <w:rFonts w:hint="eastAsia" w:cs="Times New Roman"/>
                      <w:color w:val="auto"/>
                      <w:sz w:val="18"/>
                      <w:szCs w:val="18"/>
                      <w:lang w:val="en-US" w:eastAsia="zh-CN"/>
                    </w:rPr>
                    <w:t>25</w:t>
                  </w:r>
                </w:p>
              </w:tc>
            </w:tr>
          </w:tbl>
          <w:p w14:paraId="3B8FCCA9">
            <w:pPr>
              <w:pStyle w:val="3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4</w:t>
            </w:r>
            <w:r>
              <w:rPr>
                <w:rFonts w:hint="default" w:ascii="Times New Roman" w:hAnsi="Times New Roman" w:cs="Times New Roman"/>
                <w:color w:val="auto"/>
              </w:rPr>
              <w:t xml:space="preserve">   本项目无组织废气排放情况表</w:t>
            </w:r>
          </w:p>
          <w:tbl>
            <w:tblPr>
              <w:tblStyle w:val="21"/>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851"/>
              <w:gridCol w:w="846"/>
              <w:gridCol w:w="3920"/>
              <w:gridCol w:w="784"/>
            </w:tblGrid>
            <w:tr w14:paraId="7129EC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741FBE1D">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产污环节</w:t>
                  </w:r>
                </w:p>
              </w:tc>
              <w:tc>
                <w:tcPr>
                  <w:tcW w:w="549" w:type="pct"/>
                  <w:tcBorders>
                    <w:tl2br w:val="nil"/>
                    <w:tr2bl w:val="nil"/>
                  </w:tcBorders>
                  <w:noWrap w:val="0"/>
                  <w:vAlign w:val="center"/>
                </w:tcPr>
                <w:p w14:paraId="595033FC">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污染物种类</w:t>
                  </w:r>
                </w:p>
              </w:tc>
              <w:tc>
                <w:tcPr>
                  <w:tcW w:w="546" w:type="pct"/>
                  <w:tcBorders>
                    <w:tl2br w:val="nil"/>
                    <w:tr2bl w:val="nil"/>
                  </w:tcBorders>
                  <w:noWrap w:val="0"/>
                  <w:vAlign w:val="center"/>
                </w:tcPr>
                <w:p w14:paraId="33C99CE9">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产生量（t/a）</w:t>
                  </w:r>
                </w:p>
              </w:tc>
              <w:tc>
                <w:tcPr>
                  <w:tcW w:w="2530" w:type="pct"/>
                  <w:tcBorders>
                    <w:tl2br w:val="nil"/>
                    <w:tr2bl w:val="nil"/>
                  </w:tcBorders>
                  <w:noWrap w:val="0"/>
                  <w:vAlign w:val="center"/>
                </w:tcPr>
                <w:p w14:paraId="5F35B0CA">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治理措施及效率</w:t>
                  </w:r>
                </w:p>
              </w:tc>
              <w:tc>
                <w:tcPr>
                  <w:tcW w:w="506" w:type="pct"/>
                  <w:tcBorders>
                    <w:tl2br w:val="nil"/>
                    <w:tr2bl w:val="nil"/>
                  </w:tcBorders>
                  <w:noWrap w:val="0"/>
                  <w:vAlign w:val="center"/>
                </w:tcPr>
                <w:p w14:paraId="1DFDCCFB">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排放量（t/a）</w:t>
                  </w:r>
                </w:p>
              </w:tc>
            </w:tr>
            <w:tr w14:paraId="66C16D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0F572958">
                  <w:pPr>
                    <w:pStyle w:val="45"/>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堆场扬尘</w:t>
                  </w:r>
                </w:p>
              </w:tc>
              <w:tc>
                <w:tcPr>
                  <w:tcW w:w="549" w:type="pct"/>
                  <w:tcBorders>
                    <w:tl2br w:val="nil"/>
                    <w:tr2bl w:val="nil"/>
                  </w:tcBorders>
                  <w:noWrap w:val="0"/>
                  <w:vAlign w:val="center"/>
                </w:tcPr>
                <w:p w14:paraId="37C68467">
                  <w:pPr>
                    <w:pStyle w:val="4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w:t>
                  </w:r>
                  <w:r>
                    <w:rPr>
                      <w:rFonts w:hint="eastAsia" w:cs="Times New Roman"/>
                      <w:color w:val="auto"/>
                      <w:sz w:val="18"/>
                      <w:szCs w:val="18"/>
                      <w:lang w:val="en-US" w:eastAsia="zh-CN"/>
                    </w:rPr>
                    <w:t>粉尘</w:t>
                  </w:r>
                </w:p>
              </w:tc>
              <w:tc>
                <w:tcPr>
                  <w:tcW w:w="546" w:type="pct"/>
                  <w:tcBorders>
                    <w:tl2br w:val="nil"/>
                    <w:tr2bl w:val="nil"/>
                  </w:tcBorders>
                  <w:noWrap w:val="0"/>
                  <w:vAlign w:val="center"/>
                </w:tcPr>
                <w:p w14:paraId="265C9FAF">
                  <w:pPr>
                    <w:pStyle w:val="45"/>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少量</w:t>
                  </w:r>
                </w:p>
              </w:tc>
              <w:tc>
                <w:tcPr>
                  <w:tcW w:w="2530" w:type="pct"/>
                  <w:tcBorders>
                    <w:tl2br w:val="nil"/>
                    <w:tr2bl w:val="nil"/>
                  </w:tcBorders>
                  <w:noWrap w:val="0"/>
                  <w:vAlign w:val="center"/>
                </w:tcPr>
                <w:p w14:paraId="2620544F">
                  <w:pPr>
                    <w:pStyle w:val="4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Cs/>
                      <w:color w:val="auto"/>
                      <w:sz w:val="18"/>
                      <w:szCs w:val="18"/>
                      <w:highlight w:val="none"/>
                    </w:rPr>
                    <w:t>喷淋设施</w:t>
                  </w:r>
                </w:p>
              </w:tc>
              <w:tc>
                <w:tcPr>
                  <w:tcW w:w="506" w:type="pct"/>
                  <w:tcBorders>
                    <w:tl2br w:val="nil"/>
                    <w:tr2bl w:val="nil"/>
                  </w:tcBorders>
                  <w:noWrap w:val="0"/>
                  <w:vAlign w:val="center"/>
                </w:tcPr>
                <w:p w14:paraId="7AAE7761">
                  <w:pPr>
                    <w:pStyle w:val="45"/>
                    <w:rPr>
                      <w:rStyle w:val="50"/>
                      <w:rFonts w:hint="default" w:ascii="Times New Roman" w:hAnsi="Times New Roman" w:eastAsia="宋体" w:cs="Times New Roman"/>
                      <w:color w:val="auto"/>
                      <w:sz w:val="18"/>
                      <w:szCs w:val="18"/>
                      <w:lang w:val="en-US" w:eastAsia="zh-CN"/>
                    </w:rPr>
                  </w:pPr>
                  <w:r>
                    <w:rPr>
                      <w:rStyle w:val="50"/>
                      <w:rFonts w:hint="eastAsia" w:cs="Times New Roman"/>
                      <w:color w:val="auto"/>
                      <w:sz w:val="18"/>
                      <w:szCs w:val="18"/>
                      <w:lang w:val="en-US" w:eastAsia="zh-CN"/>
                    </w:rPr>
                    <w:t>少量</w:t>
                  </w:r>
                </w:p>
              </w:tc>
            </w:tr>
            <w:tr w14:paraId="2060DF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487A22DC">
                  <w:pPr>
                    <w:pStyle w:val="4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缓冷场拆包区粉尘</w:t>
                  </w:r>
                </w:p>
              </w:tc>
              <w:tc>
                <w:tcPr>
                  <w:tcW w:w="549" w:type="pct"/>
                  <w:tcBorders>
                    <w:tl2br w:val="nil"/>
                    <w:tr2bl w:val="nil"/>
                  </w:tcBorders>
                  <w:noWrap w:val="0"/>
                  <w:vAlign w:val="center"/>
                </w:tcPr>
                <w:p w14:paraId="296E70EF">
                  <w:pPr>
                    <w:ind w:left="0" w:leftChars="0" w:right="0" w:rightChars="0" w:firstLine="0" w:firstLineChars="0"/>
                    <w:jc w:val="center"/>
                    <w:rPr>
                      <w:rFonts w:hint="default" w:cs="Times New Roman"/>
                      <w:color w:val="auto"/>
                      <w:sz w:val="18"/>
                      <w:szCs w:val="18"/>
                      <w:lang w:val="en-US" w:eastAsia="zh-CN"/>
                    </w:rPr>
                  </w:pPr>
                  <w:r>
                    <w:rPr>
                      <w:rFonts w:hint="default" w:ascii="Times New Roman" w:hAnsi="Times New Roman" w:eastAsia="宋体" w:cs="Times New Roman"/>
                      <w:color w:val="auto"/>
                      <w:sz w:val="18"/>
                      <w:szCs w:val="18"/>
                    </w:rPr>
                    <w:t>无组织</w:t>
                  </w:r>
                  <w:r>
                    <w:rPr>
                      <w:rFonts w:hint="eastAsia" w:cs="Times New Roman"/>
                      <w:color w:val="auto"/>
                      <w:sz w:val="18"/>
                      <w:szCs w:val="18"/>
                      <w:lang w:val="en-US" w:eastAsia="zh-CN"/>
                    </w:rPr>
                    <w:t>粉尘</w:t>
                  </w:r>
                </w:p>
              </w:tc>
              <w:tc>
                <w:tcPr>
                  <w:tcW w:w="546" w:type="pct"/>
                  <w:tcBorders>
                    <w:tl2br w:val="nil"/>
                    <w:tr2bl w:val="nil"/>
                  </w:tcBorders>
                  <w:noWrap w:val="0"/>
                  <w:vAlign w:val="center"/>
                </w:tcPr>
                <w:p w14:paraId="171ACD7D">
                  <w:pPr>
                    <w:pStyle w:val="45"/>
                    <w:rPr>
                      <w:rStyle w:val="50"/>
                      <w:rFonts w:hint="default" w:ascii="Times New Roman" w:hAnsi="Times New Roman" w:eastAsia="宋体" w:cs="Times New Roman"/>
                      <w:color w:val="auto"/>
                      <w:sz w:val="18"/>
                      <w:szCs w:val="18"/>
                      <w:lang w:val="en-US" w:eastAsia="zh-CN"/>
                    </w:rPr>
                  </w:pPr>
                  <w:r>
                    <w:rPr>
                      <w:rStyle w:val="50"/>
                      <w:rFonts w:hint="eastAsia" w:cs="Times New Roman"/>
                      <w:color w:val="auto"/>
                      <w:sz w:val="18"/>
                      <w:szCs w:val="18"/>
                      <w:lang w:val="en-US" w:eastAsia="zh-CN"/>
                    </w:rPr>
                    <w:t>1.3</w:t>
                  </w:r>
                </w:p>
              </w:tc>
              <w:tc>
                <w:tcPr>
                  <w:tcW w:w="2530" w:type="pct"/>
                  <w:tcBorders>
                    <w:tl2br w:val="nil"/>
                    <w:tr2bl w:val="nil"/>
                  </w:tcBorders>
                  <w:noWrap w:val="0"/>
                  <w:vAlign w:val="center"/>
                </w:tcPr>
                <w:p w14:paraId="2D7ACF06">
                  <w:pPr>
                    <w:pStyle w:val="4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水喷洒降尘</w:t>
                  </w:r>
                  <w:r>
                    <w:rPr>
                      <w:rFonts w:hint="default" w:ascii="Times New Roman" w:hAnsi="Times New Roman" w:cs="Times New Roman"/>
                      <w:bCs/>
                      <w:color w:val="auto"/>
                      <w:sz w:val="18"/>
                      <w:szCs w:val="18"/>
                      <w:highlight w:val="none"/>
                    </w:rPr>
                    <w:t>（粉尘控制效率达7</w:t>
                  </w:r>
                  <w:r>
                    <w:rPr>
                      <w:rFonts w:hint="eastAsia" w:ascii="Times New Roman" w:hAnsi="Times New Roman" w:cs="Times New Roman"/>
                      <w:bCs/>
                      <w:color w:val="auto"/>
                      <w:sz w:val="18"/>
                      <w:szCs w:val="18"/>
                      <w:highlight w:val="none"/>
                      <w:lang w:val="en-US" w:eastAsia="zh-CN"/>
                    </w:rPr>
                    <w:t>4</w:t>
                  </w:r>
                  <w:r>
                    <w:rPr>
                      <w:rFonts w:hint="default" w:ascii="Times New Roman" w:hAnsi="Times New Roman" w:cs="Times New Roman"/>
                      <w:bCs/>
                      <w:color w:val="auto"/>
                      <w:sz w:val="18"/>
                      <w:szCs w:val="18"/>
                      <w:highlight w:val="none"/>
                    </w:rPr>
                    <w:t>%）</w:t>
                  </w:r>
                </w:p>
              </w:tc>
              <w:tc>
                <w:tcPr>
                  <w:tcW w:w="506" w:type="pct"/>
                  <w:tcBorders>
                    <w:tl2br w:val="nil"/>
                    <w:tr2bl w:val="nil"/>
                  </w:tcBorders>
                  <w:noWrap w:val="0"/>
                  <w:vAlign w:val="center"/>
                </w:tcPr>
                <w:p w14:paraId="54878895">
                  <w:pPr>
                    <w:pStyle w:val="45"/>
                    <w:rPr>
                      <w:rStyle w:val="50"/>
                      <w:rFonts w:hint="default" w:ascii="Times New Roman" w:hAnsi="Times New Roman" w:eastAsia="宋体" w:cs="Times New Roman"/>
                      <w:color w:val="auto"/>
                      <w:sz w:val="18"/>
                      <w:szCs w:val="18"/>
                      <w:lang w:val="en-US" w:eastAsia="zh-CN"/>
                    </w:rPr>
                  </w:pPr>
                  <w:r>
                    <w:rPr>
                      <w:rStyle w:val="50"/>
                      <w:rFonts w:hint="eastAsia" w:cs="Times New Roman"/>
                      <w:color w:val="auto"/>
                      <w:sz w:val="18"/>
                      <w:szCs w:val="18"/>
                      <w:lang w:val="en-US" w:eastAsia="zh-CN"/>
                    </w:rPr>
                    <w:t>0.44</w:t>
                  </w:r>
                </w:p>
              </w:tc>
            </w:tr>
            <w:tr w14:paraId="3169CF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1E59DC49">
                  <w:pPr>
                    <w:pStyle w:val="4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各料仓受料过程及皮带输送过程产生的粉尘</w:t>
                  </w:r>
                </w:p>
              </w:tc>
              <w:tc>
                <w:tcPr>
                  <w:tcW w:w="549" w:type="pct"/>
                  <w:tcBorders>
                    <w:tl2br w:val="nil"/>
                    <w:tr2bl w:val="nil"/>
                  </w:tcBorders>
                  <w:noWrap w:val="0"/>
                  <w:vAlign w:val="center"/>
                </w:tcPr>
                <w:p w14:paraId="705A8F4B">
                  <w:pPr>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无组织</w:t>
                  </w:r>
                  <w:r>
                    <w:rPr>
                      <w:rFonts w:hint="eastAsia" w:cs="Times New Roman"/>
                      <w:color w:val="auto"/>
                      <w:sz w:val="18"/>
                      <w:szCs w:val="18"/>
                      <w:lang w:val="en-US" w:eastAsia="zh-CN"/>
                    </w:rPr>
                    <w:t>粉尘</w:t>
                  </w:r>
                </w:p>
              </w:tc>
              <w:tc>
                <w:tcPr>
                  <w:tcW w:w="546" w:type="pct"/>
                  <w:tcBorders>
                    <w:tl2br w:val="nil"/>
                    <w:tr2bl w:val="nil"/>
                  </w:tcBorders>
                  <w:noWrap w:val="0"/>
                  <w:vAlign w:val="center"/>
                </w:tcPr>
                <w:p w14:paraId="71623851">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w:t>
                  </w:r>
                </w:p>
              </w:tc>
              <w:tc>
                <w:tcPr>
                  <w:tcW w:w="2530" w:type="pct"/>
                  <w:tcBorders>
                    <w:tl2br w:val="nil"/>
                    <w:tr2bl w:val="nil"/>
                  </w:tcBorders>
                  <w:noWrap w:val="0"/>
                  <w:vAlign w:val="center"/>
                </w:tcPr>
                <w:p w14:paraId="63619F31">
                  <w:pPr>
                    <w:pStyle w:val="45"/>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rPr>
                    <w:t>本项目皮带设置密闭式通廊，料仓顶部设置洒水喷头，针对倒料采取喷雾控尘，可有效降低无组织粉尘排放量（粉尘控制效率达70%）</w:t>
                  </w:r>
                </w:p>
              </w:tc>
              <w:tc>
                <w:tcPr>
                  <w:tcW w:w="506" w:type="pct"/>
                  <w:tcBorders>
                    <w:tl2br w:val="nil"/>
                    <w:tr2bl w:val="nil"/>
                  </w:tcBorders>
                  <w:noWrap w:val="0"/>
                  <w:vAlign w:val="center"/>
                </w:tcPr>
                <w:p w14:paraId="31FB97B3">
                  <w:pPr>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0.36</w:t>
                  </w:r>
                </w:p>
              </w:tc>
            </w:tr>
            <w:tr w14:paraId="3698D1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5832919B">
                  <w:pPr>
                    <w:pStyle w:val="4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药剂废气</w:t>
                  </w:r>
                </w:p>
              </w:tc>
              <w:tc>
                <w:tcPr>
                  <w:tcW w:w="549" w:type="pct"/>
                  <w:tcBorders>
                    <w:tl2br w:val="nil"/>
                    <w:tr2bl w:val="nil"/>
                  </w:tcBorders>
                  <w:noWrap w:val="0"/>
                  <w:vAlign w:val="center"/>
                </w:tcPr>
                <w:p w14:paraId="14BC4C5E">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恶臭</w:t>
                  </w:r>
                </w:p>
              </w:tc>
              <w:tc>
                <w:tcPr>
                  <w:tcW w:w="546" w:type="pct"/>
                  <w:tcBorders>
                    <w:tl2br w:val="nil"/>
                    <w:tr2bl w:val="nil"/>
                  </w:tcBorders>
                  <w:noWrap w:val="0"/>
                  <w:vAlign w:val="center"/>
                </w:tcPr>
                <w:p w14:paraId="45CD6BFB">
                  <w:pPr>
                    <w:pStyle w:val="45"/>
                    <w:rPr>
                      <w:rFonts w:hint="default" w:cs="Times New Roman"/>
                      <w:color w:val="auto"/>
                      <w:sz w:val="18"/>
                      <w:szCs w:val="18"/>
                      <w:lang w:val="en-US" w:eastAsia="zh-CN"/>
                    </w:rPr>
                  </w:pPr>
                  <w:r>
                    <w:rPr>
                      <w:rFonts w:hint="eastAsia" w:cs="Times New Roman"/>
                      <w:color w:val="auto"/>
                      <w:sz w:val="18"/>
                      <w:szCs w:val="18"/>
                      <w:lang w:val="en-US" w:eastAsia="zh-CN"/>
                    </w:rPr>
                    <w:t>少量</w:t>
                  </w:r>
                </w:p>
              </w:tc>
              <w:tc>
                <w:tcPr>
                  <w:tcW w:w="2530" w:type="pct"/>
                  <w:tcBorders>
                    <w:tl2br w:val="nil"/>
                    <w:tr2bl w:val="nil"/>
                  </w:tcBorders>
                  <w:noWrap w:val="0"/>
                  <w:vAlign w:val="center"/>
                </w:tcPr>
                <w:p w14:paraId="2CE43E4A">
                  <w:pPr>
                    <w:pStyle w:val="45"/>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加强通风</w:t>
                  </w:r>
                </w:p>
              </w:tc>
              <w:tc>
                <w:tcPr>
                  <w:tcW w:w="506" w:type="pct"/>
                  <w:tcBorders>
                    <w:tl2br w:val="nil"/>
                    <w:tr2bl w:val="nil"/>
                  </w:tcBorders>
                  <w:noWrap w:val="0"/>
                  <w:vAlign w:val="center"/>
                </w:tcPr>
                <w:p w14:paraId="5850F954">
                  <w:pPr>
                    <w:ind w:left="0" w:leftChars="0" w:right="0" w:rightChars="0"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少量</w:t>
                  </w:r>
                </w:p>
              </w:tc>
            </w:tr>
            <w:tr w14:paraId="57A435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5F8ED858">
                  <w:pPr>
                    <w:pStyle w:val="4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上料、破碎、筛分工序逸散粉尘</w:t>
                  </w:r>
                </w:p>
              </w:tc>
              <w:tc>
                <w:tcPr>
                  <w:tcW w:w="549" w:type="pct"/>
                  <w:tcBorders>
                    <w:tl2br w:val="nil"/>
                    <w:tr2bl w:val="nil"/>
                  </w:tcBorders>
                  <w:noWrap w:val="0"/>
                  <w:vAlign w:val="center"/>
                </w:tcPr>
                <w:p w14:paraId="6FBEA44F">
                  <w:pPr>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无组织</w:t>
                  </w:r>
                  <w:r>
                    <w:rPr>
                      <w:rFonts w:hint="eastAsia" w:cs="Times New Roman"/>
                      <w:color w:val="auto"/>
                      <w:sz w:val="18"/>
                      <w:szCs w:val="18"/>
                      <w:lang w:val="en-US" w:eastAsia="zh-CN"/>
                    </w:rPr>
                    <w:t>粉尘</w:t>
                  </w:r>
                </w:p>
              </w:tc>
              <w:tc>
                <w:tcPr>
                  <w:tcW w:w="546" w:type="pct"/>
                  <w:tcBorders>
                    <w:tl2br w:val="nil"/>
                    <w:tr2bl w:val="nil"/>
                  </w:tcBorders>
                  <w:noWrap w:val="0"/>
                  <w:vAlign w:val="center"/>
                </w:tcPr>
                <w:p w14:paraId="048511F9">
                  <w:pPr>
                    <w:pStyle w:val="45"/>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55.59</w:t>
                  </w:r>
                </w:p>
              </w:tc>
              <w:tc>
                <w:tcPr>
                  <w:tcW w:w="2530" w:type="pct"/>
                  <w:tcBorders>
                    <w:tl2br w:val="nil"/>
                    <w:tr2bl w:val="nil"/>
                  </w:tcBorders>
                  <w:noWrap w:val="0"/>
                  <w:vAlign w:val="center"/>
                </w:tcPr>
                <w:p w14:paraId="442CBC72">
                  <w:pPr>
                    <w:pStyle w:val="45"/>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auto"/>
                      <w:sz w:val="18"/>
                      <w:szCs w:val="18"/>
                      <w:highlight w:val="none"/>
                    </w:rPr>
                    <w:t>本项目针对每个破碎、筛分设备采用彩钢瓦进行密闭，粉尘排放量可削减50%，</w:t>
                  </w:r>
                  <w:r>
                    <w:rPr>
                      <w:rFonts w:hint="default" w:ascii="Times New Roman" w:hAnsi="Times New Roman" w:cs="Times New Roman"/>
                      <w:color w:val="auto"/>
                      <w:sz w:val="18"/>
                      <w:szCs w:val="18"/>
                      <w:highlight w:val="none"/>
                    </w:rPr>
                    <w:t>同时对破碎、筛分设备产尘点洒水控尘，</w:t>
                  </w:r>
                  <w:r>
                    <w:rPr>
                      <w:rFonts w:hint="default" w:ascii="Times New Roman" w:hAnsi="Times New Roman" w:cs="Times New Roman"/>
                      <w:bCs/>
                      <w:color w:val="auto"/>
                      <w:sz w:val="18"/>
                      <w:szCs w:val="18"/>
                      <w:highlight w:val="none"/>
                    </w:rPr>
                    <w:t>可有效降低70%的粉尘，则粉尘综合去除效率为85%。</w:t>
                  </w:r>
                </w:p>
              </w:tc>
              <w:tc>
                <w:tcPr>
                  <w:tcW w:w="506" w:type="pct"/>
                  <w:tcBorders>
                    <w:tl2br w:val="nil"/>
                    <w:tr2bl w:val="nil"/>
                  </w:tcBorders>
                  <w:noWrap w:val="0"/>
                  <w:vAlign w:val="center"/>
                </w:tcPr>
                <w:p w14:paraId="24CA5B9D">
                  <w:pPr>
                    <w:pStyle w:val="45"/>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8.34</w:t>
                  </w:r>
                </w:p>
              </w:tc>
            </w:tr>
            <w:tr w14:paraId="33C8DA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1216ACC7">
                  <w:pPr>
                    <w:pStyle w:val="4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车辆运输扬尘</w:t>
                  </w:r>
                </w:p>
              </w:tc>
              <w:tc>
                <w:tcPr>
                  <w:tcW w:w="549" w:type="pct"/>
                  <w:tcBorders>
                    <w:tl2br w:val="nil"/>
                    <w:tr2bl w:val="nil"/>
                  </w:tcBorders>
                  <w:noWrap w:val="0"/>
                  <w:vAlign w:val="center"/>
                </w:tcPr>
                <w:p w14:paraId="5866AD56">
                  <w:pPr>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无组织</w:t>
                  </w:r>
                  <w:r>
                    <w:rPr>
                      <w:rFonts w:hint="eastAsia" w:cs="Times New Roman"/>
                      <w:color w:val="auto"/>
                      <w:sz w:val="18"/>
                      <w:szCs w:val="18"/>
                      <w:lang w:val="en-US" w:eastAsia="zh-CN"/>
                    </w:rPr>
                    <w:t>粉尘</w:t>
                  </w:r>
                </w:p>
              </w:tc>
              <w:tc>
                <w:tcPr>
                  <w:tcW w:w="546" w:type="pct"/>
                  <w:tcBorders>
                    <w:tl2br w:val="nil"/>
                    <w:tr2bl w:val="nil"/>
                  </w:tcBorders>
                  <w:noWrap w:val="0"/>
                  <w:vAlign w:val="center"/>
                </w:tcPr>
                <w:p w14:paraId="43D359F7">
                  <w:pPr>
                    <w:pStyle w:val="45"/>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5.3</w:t>
                  </w:r>
                </w:p>
              </w:tc>
              <w:tc>
                <w:tcPr>
                  <w:tcW w:w="2530" w:type="pct"/>
                  <w:tcBorders>
                    <w:tl2br w:val="nil"/>
                    <w:tr2bl w:val="nil"/>
                  </w:tcBorders>
                  <w:noWrap w:val="0"/>
                  <w:vAlign w:val="center"/>
                </w:tcPr>
                <w:p w14:paraId="716F107E">
                  <w:pPr>
                    <w:pStyle w:val="45"/>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auto"/>
                      <w:sz w:val="18"/>
                      <w:szCs w:val="18"/>
                      <w:highlight w:val="none"/>
                    </w:rPr>
                    <w:t>项目区配套设置</w:t>
                  </w:r>
                  <w:r>
                    <w:rPr>
                      <w:rFonts w:hint="default" w:ascii="Times New Roman" w:hAnsi="Times New Roman" w:cs="Times New Roman"/>
                      <w:bCs/>
                      <w:color w:val="auto"/>
                      <w:sz w:val="18"/>
                      <w:szCs w:val="18"/>
                      <w:highlight w:val="none"/>
                      <w:lang w:val="en-US" w:eastAsia="zh-CN"/>
                    </w:rPr>
                    <w:t>车辆冲洗区及</w:t>
                  </w:r>
                  <w:r>
                    <w:rPr>
                      <w:rFonts w:hint="default" w:ascii="Times New Roman" w:hAnsi="Times New Roman" w:cs="Times New Roman"/>
                      <w:bCs/>
                      <w:color w:val="auto"/>
                      <w:sz w:val="18"/>
                      <w:szCs w:val="18"/>
                      <w:highlight w:val="none"/>
                    </w:rPr>
                    <w:t>一个洗车废水沉淀池，车辆运输扬尘可通过</w:t>
                  </w:r>
                  <w:r>
                    <w:rPr>
                      <w:rFonts w:hint="default" w:ascii="Times New Roman" w:hAnsi="Times New Roman" w:cs="Times New Roman"/>
                      <w:bCs/>
                      <w:color w:val="auto"/>
                      <w:sz w:val="18"/>
                      <w:szCs w:val="18"/>
                      <w:highlight w:val="none"/>
                      <w:lang w:val="en-US" w:eastAsia="zh-CN"/>
                    </w:rPr>
                    <w:t>厂区道路硬化、</w:t>
                  </w:r>
                  <w:r>
                    <w:rPr>
                      <w:rFonts w:hint="default" w:ascii="Times New Roman" w:hAnsi="Times New Roman" w:cs="Times New Roman"/>
                      <w:bCs/>
                      <w:color w:val="auto"/>
                      <w:sz w:val="18"/>
                      <w:szCs w:val="18"/>
                      <w:highlight w:val="none"/>
                    </w:rPr>
                    <w:t>加强路面养护及运输道路洒水控尘、对出场车辆轮胎进行清洗及做好运输车辆车厢采用篷布措施来得到控制，抑尘效率70%</w:t>
                  </w:r>
                  <w:r>
                    <w:rPr>
                      <w:rFonts w:hint="default" w:ascii="Times New Roman" w:hAnsi="Times New Roman" w:cs="Times New Roman"/>
                      <w:bCs/>
                      <w:color w:val="auto"/>
                      <w:sz w:val="18"/>
                      <w:szCs w:val="18"/>
                      <w:highlight w:val="none"/>
                      <w:lang w:eastAsia="zh-CN"/>
                    </w:rPr>
                    <w:t>。</w:t>
                  </w:r>
                </w:p>
              </w:tc>
              <w:tc>
                <w:tcPr>
                  <w:tcW w:w="506" w:type="pct"/>
                  <w:tcBorders>
                    <w:tl2br w:val="nil"/>
                    <w:tr2bl w:val="nil"/>
                  </w:tcBorders>
                  <w:noWrap w:val="0"/>
                  <w:vAlign w:val="center"/>
                </w:tcPr>
                <w:p w14:paraId="2032285D">
                  <w:pPr>
                    <w:pStyle w:val="45"/>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1.59</w:t>
                  </w:r>
                </w:p>
              </w:tc>
            </w:tr>
            <w:tr w14:paraId="19A698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0EE3E1CC">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机械及运输车辆</w:t>
                  </w:r>
                  <w:r>
                    <w:rPr>
                      <w:rFonts w:hint="default" w:ascii="Times New Roman" w:hAnsi="Times New Roman" w:eastAsia="宋体" w:cs="Times New Roman"/>
                      <w:color w:val="auto"/>
                      <w:kern w:val="0"/>
                      <w:sz w:val="18"/>
                      <w:szCs w:val="18"/>
                      <w:highlight w:val="none"/>
                      <w:lang w:val="en-US" w:eastAsia="zh-CN"/>
                    </w:rPr>
                    <w:t>燃油废气</w:t>
                  </w:r>
                </w:p>
              </w:tc>
              <w:tc>
                <w:tcPr>
                  <w:tcW w:w="549" w:type="pct"/>
                  <w:tcBorders>
                    <w:tl2br w:val="nil"/>
                    <w:tr2bl w:val="nil"/>
                  </w:tcBorders>
                  <w:noWrap w:val="0"/>
                  <w:vAlign w:val="center"/>
                </w:tcPr>
                <w:p w14:paraId="0081FCF7">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无组织废气</w:t>
                  </w:r>
                </w:p>
              </w:tc>
              <w:tc>
                <w:tcPr>
                  <w:tcW w:w="546" w:type="pct"/>
                  <w:tcBorders>
                    <w:tl2br w:val="nil"/>
                    <w:tr2bl w:val="nil"/>
                  </w:tcBorders>
                  <w:noWrap w:val="0"/>
                  <w:vAlign w:val="center"/>
                </w:tcPr>
                <w:p w14:paraId="3A214E09">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bidi="ar-SA"/>
                    </w:rPr>
                    <w:t>少量</w:t>
                  </w:r>
                </w:p>
              </w:tc>
              <w:tc>
                <w:tcPr>
                  <w:tcW w:w="2530" w:type="pct"/>
                  <w:tcBorders>
                    <w:tl2br w:val="nil"/>
                    <w:tr2bl w:val="nil"/>
                  </w:tcBorders>
                  <w:noWrap w:val="0"/>
                  <w:vAlign w:val="center"/>
                </w:tcPr>
                <w:p w14:paraId="7C9502CE">
                  <w:pPr>
                    <w:pStyle w:val="55"/>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rPr>
                    <w:t>通过合理安排机械使用时间、车辆限速限载等措施减少施工机械废气和运输废气的产生。</w:t>
                  </w:r>
                </w:p>
              </w:tc>
              <w:tc>
                <w:tcPr>
                  <w:tcW w:w="506" w:type="pct"/>
                  <w:tcBorders>
                    <w:tl2br w:val="nil"/>
                    <w:tr2bl w:val="nil"/>
                  </w:tcBorders>
                  <w:noWrap w:val="0"/>
                  <w:vAlign w:val="center"/>
                </w:tcPr>
                <w:p w14:paraId="69D4D59F">
                  <w:pPr>
                    <w:pStyle w:val="55"/>
                    <w:adjustRightInd w:val="0"/>
                    <w:snapToGrid w:val="0"/>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rPr>
                    <w:t>少量</w:t>
                  </w:r>
                </w:p>
              </w:tc>
            </w:tr>
            <w:tr w14:paraId="743D6E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67" w:type="pct"/>
                  <w:tcBorders>
                    <w:tl2br w:val="nil"/>
                    <w:tr2bl w:val="nil"/>
                  </w:tcBorders>
                  <w:noWrap w:val="0"/>
                  <w:vAlign w:val="center"/>
                </w:tcPr>
                <w:p w14:paraId="45C3A26F">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合计</w:t>
                  </w:r>
                </w:p>
              </w:tc>
              <w:tc>
                <w:tcPr>
                  <w:tcW w:w="549" w:type="pct"/>
                  <w:tcBorders>
                    <w:tl2br w:val="nil"/>
                    <w:tr2bl w:val="nil"/>
                  </w:tcBorders>
                  <w:noWrap w:val="0"/>
                  <w:vAlign w:val="center"/>
                </w:tcPr>
                <w:p w14:paraId="32105DDC">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46" w:type="pct"/>
                  <w:tcBorders>
                    <w:tl2br w:val="nil"/>
                    <w:tr2bl w:val="nil"/>
                  </w:tcBorders>
                  <w:noWrap w:val="0"/>
                  <w:vAlign w:val="center"/>
                </w:tcPr>
                <w:p w14:paraId="6A28C8F4">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63.39</w:t>
                  </w:r>
                </w:p>
              </w:tc>
              <w:tc>
                <w:tcPr>
                  <w:tcW w:w="2530" w:type="pct"/>
                  <w:tcBorders>
                    <w:tl2br w:val="nil"/>
                    <w:tr2bl w:val="nil"/>
                  </w:tcBorders>
                  <w:noWrap w:val="0"/>
                  <w:vAlign w:val="center"/>
                </w:tcPr>
                <w:p w14:paraId="71A6E32D">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06" w:type="pct"/>
                  <w:tcBorders>
                    <w:tl2br w:val="nil"/>
                    <w:tr2bl w:val="nil"/>
                  </w:tcBorders>
                  <w:noWrap w:val="0"/>
                  <w:vAlign w:val="center"/>
                </w:tcPr>
                <w:p w14:paraId="393B9892">
                  <w:pPr>
                    <w:pStyle w:val="45"/>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10.73</w:t>
                  </w:r>
                </w:p>
              </w:tc>
            </w:tr>
          </w:tbl>
          <w:p w14:paraId="6FEF7331">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lang w:val="en-US" w:eastAsia="zh-CN"/>
              </w:rPr>
              <w:t>1.3项目大气治理措施及可行性分析</w:t>
            </w:r>
          </w:p>
          <w:p w14:paraId="4EFBB450">
            <w:pPr>
              <w:spacing w:line="360" w:lineRule="auto"/>
              <w:ind w:firstLine="482" w:firstLineChars="200"/>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lang w:val="en-US" w:eastAsia="zh-CN"/>
              </w:rPr>
              <w:t>（1）有</w:t>
            </w:r>
            <w:r>
              <w:rPr>
                <w:rFonts w:hint="eastAsia" w:ascii="Times New Roman" w:hAnsi="Times New Roman" w:cs="Times New Roman"/>
                <w:b/>
                <w:bCs/>
                <w:color w:val="auto"/>
                <w:sz w:val="24"/>
                <w:lang w:val="en-US" w:eastAsia="zh-CN"/>
              </w:rPr>
              <w:t>组织</w:t>
            </w:r>
            <w:r>
              <w:rPr>
                <w:rFonts w:hint="default" w:ascii="Times New Roman" w:hAnsi="Times New Roman" w:eastAsia="宋体" w:cs="Times New Roman"/>
                <w:b/>
                <w:bCs/>
                <w:color w:val="auto"/>
                <w:sz w:val="24"/>
                <w:lang w:val="en-US" w:eastAsia="zh-CN"/>
              </w:rPr>
              <w:t>废气</w:t>
            </w:r>
          </w:p>
          <w:p w14:paraId="7FCD111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排污许可证申请与核发技术规范 废弃资源加工工业</w:t>
            </w:r>
            <w:r>
              <w:rPr>
                <w:rFonts w:hint="eastAsia" w:cs="Times New Roman"/>
                <w:color w:val="auto"/>
                <w:sz w:val="24"/>
                <w:szCs w:val="24"/>
                <w:lang w:val="en-US" w:eastAsia="zh-CN"/>
              </w:rPr>
              <w:t>》（HJ1034-2019）附录A废弃资源加工工业排污单位污染防治可行性技术参考表处理废气治理技术如下表。</w:t>
            </w:r>
          </w:p>
          <w:p w14:paraId="5C5C339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黑体" w:hAnsi="黑体" w:eastAsia="黑体" w:cs="黑体"/>
                <w:b w:val="0"/>
                <w:bCs w:val="0"/>
                <w:color w:val="auto"/>
                <w:kern w:val="0"/>
                <w:sz w:val="21"/>
                <w:szCs w:val="21"/>
                <w:lang w:val="en-US" w:eastAsia="zh-CN" w:bidi="ar"/>
              </w:rPr>
            </w:pPr>
            <w:r>
              <w:rPr>
                <w:rFonts w:hint="eastAsia" w:ascii="黑体" w:hAnsi="黑体" w:eastAsia="黑体" w:cs="黑体"/>
                <w:b w:val="0"/>
                <w:bCs w:val="0"/>
                <w:color w:val="auto"/>
                <w:kern w:val="0"/>
                <w:sz w:val="21"/>
                <w:szCs w:val="21"/>
                <w:lang w:val="en-US" w:eastAsia="zh-CN" w:bidi="ar"/>
              </w:rPr>
              <w:t>表4-5 项目废气治理措施与排污许可可行技术对照</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597"/>
              <w:gridCol w:w="2696"/>
              <w:gridCol w:w="1892"/>
            </w:tblGrid>
            <w:tr w14:paraId="0AE2C7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tcBorders>
                    <w:tl2br w:val="nil"/>
                    <w:tr2bl w:val="nil"/>
                  </w:tcBorders>
                  <w:vAlign w:val="center"/>
                </w:tcPr>
                <w:p w14:paraId="1B145D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废弃资源种类</w:t>
                  </w:r>
                </w:p>
              </w:tc>
              <w:tc>
                <w:tcPr>
                  <w:tcW w:w="1030" w:type="pct"/>
                  <w:tcBorders>
                    <w:tl2br w:val="nil"/>
                    <w:tr2bl w:val="nil"/>
                  </w:tcBorders>
                  <w:vAlign w:val="center"/>
                </w:tcPr>
                <w:p w14:paraId="58D50E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主要生产单元</w:t>
                  </w:r>
                </w:p>
              </w:tc>
              <w:tc>
                <w:tcPr>
                  <w:tcW w:w="1739" w:type="pct"/>
                  <w:tcBorders>
                    <w:tl2br w:val="nil"/>
                    <w:tr2bl w:val="nil"/>
                  </w:tcBorders>
                  <w:vAlign w:val="center"/>
                </w:tcPr>
                <w:p w14:paraId="54876A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主要污染物</w:t>
                  </w:r>
                </w:p>
              </w:tc>
              <w:tc>
                <w:tcPr>
                  <w:tcW w:w="1220" w:type="pct"/>
                  <w:tcBorders>
                    <w:tl2br w:val="nil"/>
                    <w:tr2bl w:val="nil"/>
                  </w:tcBorders>
                  <w:vAlign w:val="center"/>
                </w:tcPr>
                <w:p w14:paraId="1F5A1E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可行技术</w:t>
                  </w:r>
                </w:p>
              </w:tc>
            </w:tr>
            <w:tr w14:paraId="14FC54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009" w:type="pct"/>
                  <w:tcBorders>
                    <w:tl2br w:val="nil"/>
                    <w:tr2bl w:val="nil"/>
                  </w:tcBorders>
                  <w:vAlign w:val="center"/>
                </w:tcPr>
                <w:p w14:paraId="72763F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其他废弃资源</w:t>
                  </w:r>
                </w:p>
              </w:tc>
              <w:tc>
                <w:tcPr>
                  <w:tcW w:w="1030" w:type="pct"/>
                  <w:tcBorders>
                    <w:tl2br w:val="nil"/>
                    <w:tr2bl w:val="nil"/>
                  </w:tcBorders>
                  <w:vAlign w:val="center"/>
                </w:tcPr>
                <w:p w14:paraId="50DCB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加工</w:t>
                  </w:r>
                </w:p>
              </w:tc>
              <w:tc>
                <w:tcPr>
                  <w:tcW w:w="1739" w:type="pct"/>
                  <w:tcBorders>
                    <w:tl2br w:val="nil"/>
                    <w:tr2bl w:val="nil"/>
                  </w:tcBorders>
                  <w:vAlign w:val="center"/>
                </w:tcPr>
                <w:p w14:paraId="09C900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颗粒物</w:t>
                  </w:r>
                </w:p>
              </w:tc>
              <w:tc>
                <w:tcPr>
                  <w:tcW w:w="1220" w:type="pct"/>
                  <w:tcBorders>
                    <w:tl2br w:val="nil"/>
                    <w:tr2bl w:val="nil"/>
                  </w:tcBorders>
                  <w:vAlign w:val="center"/>
                </w:tcPr>
                <w:p w14:paraId="3660F0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布袋除尘器</w:t>
                  </w:r>
                </w:p>
              </w:tc>
            </w:tr>
          </w:tbl>
          <w:p w14:paraId="0AA095B4">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lang w:val="en-US" w:eastAsia="zh-CN"/>
              </w:rPr>
              <w:t>项目</w:t>
            </w:r>
            <w:r>
              <w:rPr>
                <w:rFonts w:hint="eastAsia" w:cs="Times New Roman"/>
                <w:b w:val="0"/>
                <w:bCs w:val="0"/>
                <w:color w:val="auto"/>
                <w:sz w:val="24"/>
                <w:lang w:val="en-US" w:eastAsia="zh-CN"/>
              </w:rPr>
              <w:t>在上料口、</w:t>
            </w:r>
            <w:r>
              <w:rPr>
                <w:rFonts w:hint="eastAsia" w:ascii="Times New Roman" w:hAnsi="Times New Roman" w:cs="Times New Roman"/>
                <w:b w:val="0"/>
                <w:bCs w:val="0"/>
                <w:color w:val="auto"/>
                <w:sz w:val="24"/>
                <w:lang w:val="en-US" w:eastAsia="zh-CN"/>
              </w:rPr>
              <w:t>破碎</w:t>
            </w:r>
            <w:r>
              <w:rPr>
                <w:rFonts w:hint="eastAsia" w:cs="Times New Roman"/>
                <w:b w:val="0"/>
                <w:bCs w:val="0"/>
                <w:color w:val="auto"/>
                <w:sz w:val="24"/>
                <w:lang w:val="en-US" w:eastAsia="zh-CN"/>
              </w:rPr>
              <w:t>机</w:t>
            </w:r>
            <w:r>
              <w:rPr>
                <w:rFonts w:hint="eastAsia" w:ascii="Times New Roman" w:hAnsi="Times New Roman" w:cs="Times New Roman"/>
                <w:b w:val="0"/>
                <w:bCs w:val="0"/>
                <w:color w:val="auto"/>
                <w:sz w:val="24"/>
                <w:lang w:val="en-US" w:eastAsia="zh-CN"/>
              </w:rPr>
              <w:t>及筛分</w:t>
            </w:r>
            <w:r>
              <w:rPr>
                <w:rFonts w:hint="eastAsia" w:cs="Times New Roman"/>
                <w:b w:val="0"/>
                <w:bCs w:val="0"/>
                <w:color w:val="auto"/>
                <w:sz w:val="24"/>
                <w:lang w:val="en-US" w:eastAsia="zh-CN"/>
              </w:rPr>
              <w:t>机上方安装集气罩，上料、破碎及筛分</w:t>
            </w:r>
            <w:r>
              <w:rPr>
                <w:rFonts w:hint="eastAsia" w:ascii="Times New Roman" w:hAnsi="Times New Roman" w:cs="Times New Roman"/>
                <w:b w:val="0"/>
                <w:bCs w:val="0"/>
                <w:color w:val="auto"/>
                <w:sz w:val="24"/>
                <w:lang w:val="en-US" w:eastAsia="zh-CN"/>
              </w:rPr>
              <w:t>工序产生的</w:t>
            </w:r>
            <w:r>
              <w:rPr>
                <w:rFonts w:hint="eastAsia" w:cs="Times New Roman"/>
                <w:color w:val="auto"/>
                <w:sz w:val="24"/>
                <w:szCs w:val="24"/>
                <w:lang w:val="en-US" w:eastAsia="zh-CN"/>
              </w:rPr>
              <w:t>颗粒物</w:t>
            </w:r>
            <w:r>
              <w:rPr>
                <w:rFonts w:hint="default" w:ascii="Times New Roman" w:hAnsi="Times New Roman" w:eastAsia="宋体" w:cs="Times New Roman"/>
                <w:bCs/>
                <w:color w:val="auto"/>
                <w:sz w:val="24"/>
              </w:rPr>
              <w:t>经</w:t>
            </w:r>
            <w:r>
              <w:rPr>
                <w:rFonts w:hint="eastAsia" w:cs="Times New Roman"/>
                <w:bCs/>
                <w:color w:val="auto"/>
                <w:sz w:val="24"/>
                <w:lang w:val="en-US" w:eastAsia="zh-CN"/>
              </w:rPr>
              <w:t>集气罩收集后进入</w:t>
            </w:r>
            <w:r>
              <w:rPr>
                <w:rFonts w:hint="default" w:ascii="Times New Roman" w:hAnsi="Times New Roman" w:eastAsia="宋体" w:cs="Times New Roman"/>
                <w:bCs/>
                <w:color w:val="auto"/>
                <w:sz w:val="24"/>
              </w:rPr>
              <w:t>布袋除尘器处理后。</w:t>
            </w:r>
            <w:r>
              <w:rPr>
                <w:rFonts w:hint="eastAsia" w:cs="Times New Roman"/>
                <w:bCs/>
                <w:color w:val="auto"/>
                <w:sz w:val="24"/>
                <w:lang w:val="en-US" w:eastAsia="zh-CN"/>
              </w:rPr>
              <w:t>本项目采用布袋除尘器除尘，</w:t>
            </w:r>
            <w:r>
              <w:rPr>
                <w:rFonts w:hint="default" w:ascii="Times New Roman" w:hAnsi="Times New Roman" w:eastAsia="宋体" w:cs="Times New Roman"/>
                <w:color w:val="auto"/>
                <w:kern w:val="2"/>
                <w:sz w:val="24"/>
                <w:szCs w:val="24"/>
                <w:lang w:val="en-US" w:eastAsia="zh-CN" w:bidi="ar-SA"/>
              </w:rPr>
              <w:t>布袋除尘器是一种干式滤尘装置，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r>
              <w:rPr>
                <w:rFonts w:hint="eastAsia" w:cs="Times New Roman"/>
                <w:color w:val="auto"/>
                <w:kern w:val="2"/>
                <w:sz w:val="24"/>
                <w:szCs w:val="24"/>
                <w:lang w:val="en-US" w:eastAsia="zh-CN" w:bidi="ar-SA"/>
              </w:rPr>
              <w:t>根据建设单位提供资料本项目</w:t>
            </w:r>
            <w:r>
              <w:rPr>
                <w:rFonts w:hint="default" w:ascii="Times New Roman" w:hAnsi="Times New Roman" w:eastAsia="宋体" w:cs="Times New Roman"/>
                <w:color w:val="auto"/>
                <w:kern w:val="2"/>
                <w:sz w:val="24"/>
                <w:szCs w:val="24"/>
                <w:lang w:val="en-US" w:eastAsia="zh-CN" w:bidi="ar-SA"/>
              </w:rPr>
              <w:t>布袋除尘效率</w:t>
            </w:r>
            <w:r>
              <w:rPr>
                <w:rFonts w:hint="default" w:ascii="Arial" w:hAnsi="Arial" w:eastAsia="宋体" w:cs="Arial"/>
                <w:color w:val="auto"/>
                <w:kern w:val="2"/>
                <w:sz w:val="24"/>
                <w:szCs w:val="24"/>
                <w:lang w:val="en-US" w:eastAsia="zh-CN" w:bidi="ar-SA"/>
              </w:rPr>
              <w:t>≥</w:t>
            </w:r>
            <w:r>
              <w:rPr>
                <w:rFonts w:hint="eastAsia" w:cs="Times New Roman"/>
                <w:color w:val="auto"/>
                <w:kern w:val="2"/>
                <w:sz w:val="24"/>
                <w:szCs w:val="24"/>
                <w:lang w:val="en-US" w:eastAsia="zh-CN" w:bidi="ar-SA"/>
              </w:rPr>
              <w:t>99</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，本项目以99%计算</w:t>
            </w:r>
            <w:r>
              <w:rPr>
                <w:rFonts w:hint="default" w:ascii="Times New Roman" w:hAnsi="Times New Roman" w:eastAsia="宋体" w:cs="Times New Roman"/>
                <w:color w:val="auto"/>
                <w:kern w:val="2"/>
                <w:sz w:val="24"/>
                <w:szCs w:val="24"/>
                <w:lang w:val="en-US" w:eastAsia="zh-CN" w:bidi="ar-SA"/>
              </w:rPr>
              <w:t>。</w:t>
            </w:r>
          </w:p>
          <w:p w14:paraId="65E9AC0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综上所述，项目采用</w:t>
            </w:r>
            <w:r>
              <w:rPr>
                <w:rFonts w:hint="eastAsia" w:ascii="Times New Roman" w:hAnsi="Times New Roman" w:cs="Times New Roman"/>
                <w:color w:val="auto"/>
                <w:kern w:val="2"/>
                <w:sz w:val="24"/>
                <w:szCs w:val="24"/>
                <w:lang w:val="en-US" w:eastAsia="zh-CN" w:bidi="ar-SA"/>
              </w:rPr>
              <w:t>布袋除尘器除尘</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颗粒物排放</w:t>
            </w:r>
            <w:r>
              <w:rPr>
                <w:rFonts w:hint="eastAsia" w:cs="Times New Roman"/>
                <w:color w:val="auto"/>
                <w:kern w:val="2"/>
                <w:sz w:val="24"/>
                <w:szCs w:val="24"/>
                <w:lang w:val="en-US" w:eastAsia="zh-CN" w:bidi="ar-SA"/>
              </w:rPr>
              <w:t>浓度能</w:t>
            </w:r>
            <w:r>
              <w:rPr>
                <w:rFonts w:hint="default" w:ascii="Times New Roman" w:hAnsi="Times New Roman" w:eastAsia="宋体" w:cs="Times New Roman"/>
                <w:color w:val="auto"/>
                <w:kern w:val="2"/>
                <w:sz w:val="24"/>
                <w:szCs w:val="24"/>
                <w:lang w:val="en-US" w:eastAsia="zh-CN" w:bidi="ar-SA"/>
              </w:rPr>
              <w:t>满足</w:t>
            </w:r>
            <w:r>
              <w:rPr>
                <w:rFonts w:hint="default" w:ascii="Times New Roman" w:hAnsi="Times New Roman" w:eastAsia="宋体" w:cs="Times New Roman"/>
                <w:color w:val="auto"/>
                <w:sz w:val="24"/>
                <w:szCs w:val="24"/>
                <w:lang w:eastAsia="zh-CN"/>
              </w:rPr>
              <w:t>《铜、镍、钴工业污染物排放标准》（GB25467-2010）</w:t>
            </w:r>
            <w:r>
              <w:rPr>
                <w:rFonts w:hint="eastAsia" w:cs="Times New Roman"/>
                <w:color w:val="auto"/>
                <w:sz w:val="24"/>
                <w:szCs w:val="24"/>
                <w:lang w:val="en-US" w:eastAsia="zh-CN"/>
              </w:rPr>
              <w:t>浓度限值</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因此，本项目治理措施可行。</w:t>
            </w:r>
          </w:p>
          <w:p w14:paraId="7AE51C43">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（2）无</w:t>
            </w:r>
            <w:r>
              <w:rPr>
                <w:rFonts w:hint="eastAsia" w:ascii="Times New Roman" w:hAnsi="Times New Roman" w:cs="Times New Roman"/>
                <w:b/>
                <w:bCs/>
                <w:color w:val="auto"/>
                <w:sz w:val="24"/>
                <w:lang w:val="en-US" w:eastAsia="zh-CN"/>
              </w:rPr>
              <w:t>组织</w:t>
            </w:r>
            <w:r>
              <w:rPr>
                <w:rFonts w:hint="default" w:ascii="Times New Roman" w:hAnsi="Times New Roman" w:eastAsia="宋体" w:cs="Times New Roman"/>
                <w:b/>
                <w:bCs/>
                <w:color w:val="auto"/>
                <w:sz w:val="24"/>
                <w:lang w:val="en-US" w:eastAsia="zh-CN"/>
              </w:rPr>
              <w:t>废气</w:t>
            </w:r>
          </w:p>
          <w:p w14:paraId="0CA9744C">
            <w:pPr>
              <w:spacing w:line="360" w:lineRule="auto"/>
              <w:ind w:firstLine="480" w:firstLineChars="200"/>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2"/>
                <w:sz w:val="24"/>
                <w:szCs w:val="24"/>
                <w:lang w:val="en-US" w:eastAsia="zh-CN" w:bidi="ar-SA"/>
              </w:rPr>
              <w:t>项目无组织废气主要是</w:t>
            </w:r>
            <w:r>
              <w:rPr>
                <w:rFonts w:hint="default" w:ascii="Times New Roman" w:hAnsi="Times New Roman" w:eastAsia="宋体" w:cs="Times New Roman"/>
                <w:color w:val="auto"/>
                <w:kern w:val="0"/>
                <w:sz w:val="24"/>
                <w:szCs w:val="24"/>
                <w:lang w:val="en-US" w:eastAsia="zh-CN" w:bidi="ar"/>
              </w:rPr>
              <w:t>铜冶炼渣堆场粉尘</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0"/>
                <w:sz w:val="24"/>
                <w:szCs w:val="24"/>
                <w:lang w:val="en-US" w:eastAsia="zh-CN" w:bidi="ar"/>
              </w:rPr>
              <w:t>缓冷场拆包区粉尘</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0"/>
                <w:sz w:val="24"/>
                <w:szCs w:val="24"/>
                <w:lang w:val="en-US" w:eastAsia="zh-CN" w:bidi="ar"/>
              </w:rPr>
              <w:t>各料仓受料过程及皮带输送过程产生的粉尘</w:t>
            </w:r>
            <w:r>
              <w:rPr>
                <w:rFonts w:hint="eastAsia" w:ascii="Times New Roman" w:hAnsi="Times New Roman" w:eastAsia="宋体" w:cs="Times New Roman"/>
                <w:color w:val="auto"/>
                <w:kern w:val="0"/>
                <w:sz w:val="24"/>
                <w:szCs w:val="24"/>
                <w:lang w:val="en-US" w:eastAsia="zh-CN" w:bidi="ar"/>
              </w:rPr>
              <w:t>，药剂废气，</w:t>
            </w:r>
            <w:r>
              <w:rPr>
                <w:rFonts w:hint="eastAsia" w:ascii="Times New Roman" w:hAnsi="Times New Roman" w:cs="Times New Roman"/>
                <w:color w:val="auto"/>
                <w:kern w:val="2"/>
                <w:sz w:val="24"/>
                <w:szCs w:val="24"/>
                <w:lang w:val="en-US" w:eastAsia="zh-CN" w:bidi="ar-SA"/>
              </w:rPr>
              <w:t>上料、破碎、筛分工序逸散粉尘，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车辆运输扬尘</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auto"/>
                <w:kern w:val="2"/>
                <w:sz w:val="24"/>
                <w:szCs w:val="24"/>
                <w:highlight w:val="none"/>
                <w:lang w:val="en-US" w:eastAsia="zh-CN" w:bidi="ar-SA"/>
              </w:rPr>
              <w:t>机械及运输车辆燃油废气</w:t>
            </w:r>
            <w:r>
              <w:rPr>
                <w:rFonts w:hint="eastAsia" w:ascii="Times New Roman" w:hAnsi="Times New Roman" w:eastAsia="宋体" w:cs="Times New Roman"/>
                <w:color w:val="auto"/>
                <w:kern w:val="0"/>
                <w:sz w:val="24"/>
                <w:szCs w:val="24"/>
                <w:lang w:val="en-US" w:eastAsia="zh-CN" w:bidi="ar"/>
              </w:rPr>
              <w:t>。</w:t>
            </w:r>
          </w:p>
          <w:p w14:paraId="700311EC">
            <w:pPr>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2"/>
                <w:sz w:val="24"/>
                <w:szCs w:val="24"/>
                <w:lang w:val="en-US" w:eastAsia="zh-CN" w:bidi="ar-SA"/>
              </w:rPr>
              <w:t>针对</w:t>
            </w:r>
            <w:r>
              <w:rPr>
                <w:rFonts w:hint="default" w:ascii="Times New Roman" w:hAnsi="Times New Roman" w:eastAsia="宋体" w:cs="Times New Roman"/>
                <w:color w:val="auto"/>
                <w:kern w:val="0"/>
                <w:sz w:val="24"/>
                <w:szCs w:val="24"/>
                <w:lang w:val="en-US" w:eastAsia="zh-CN" w:bidi="ar"/>
              </w:rPr>
              <w:t>铜冶炼渣堆场粉尘</w:t>
            </w:r>
            <w:r>
              <w:rPr>
                <w:rFonts w:hint="eastAsia" w:ascii="Times New Roman" w:hAnsi="Times New Roman" w:eastAsia="宋体" w:cs="Times New Roman"/>
                <w:color w:val="auto"/>
                <w:kern w:val="0"/>
                <w:sz w:val="24"/>
                <w:szCs w:val="24"/>
                <w:lang w:val="en-US" w:eastAsia="zh-CN" w:bidi="ar"/>
              </w:rPr>
              <w:t>和缓冷场拆包区粉尘，</w:t>
            </w:r>
            <w:r>
              <w:rPr>
                <w:rFonts w:hint="default" w:ascii="Times New Roman" w:hAnsi="Times New Roman" w:eastAsia="宋体" w:cs="Times New Roman"/>
                <w:color w:val="auto"/>
                <w:kern w:val="2"/>
                <w:sz w:val="24"/>
                <w:szCs w:val="24"/>
                <w:lang w:val="en-US" w:eastAsia="zh-CN" w:bidi="ar-SA"/>
              </w:rPr>
              <w:t>采取</w:t>
            </w:r>
            <w:r>
              <w:rPr>
                <w:rFonts w:hint="eastAsia" w:ascii="Times New Roman" w:hAnsi="Times New Roman" w:eastAsia="宋体" w:cs="Times New Roman"/>
                <w:color w:val="auto"/>
                <w:kern w:val="2"/>
                <w:sz w:val="24"/>
                <w:szCs w:val="24"/>
                <w:lang w:val="en-US" w:eastAsia="zh-CN" w:bidi="ar-SA"/>
              </w:rPr>
              <w:t>洒水降尘措施，</w:t>
            </w:r>
            <w:r>
              <w:rPr>
                <w:rFonts w:hint="default" w:ascii="Times New Roman" w:hAnsi="Times New Roman" w:cs="Times New Roman"/>
                <w:color w:val="auto"/>
                <w:sz w:val="24"/>
                <w:highlight w:val="none"/>
              </w:rPr>
              <w:t>根据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工业源固体物料堆场颗粒物核算系数手册</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附录4可知，洒水控制效率为74%</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kern w:val="0"/>
                <w:sz w:val="24"/>
                <w:szCs w:val="24"/>
                <w:lang w:val="en-US" w:eastAsia="zh-CN" w:bidi="ar"/>
              </w:rPr>
              <w:t>各料仓受料过程及皮带输送过程产生的粉尘</w:t>
            </w:r>
            <w:r>
              <w:rPr>
                <w:rFonts w:hint="eastAsia" w:ascii="Times New Roman" w:hAnsi="Times New Roman" w:eastAsia="宋体" w:cs="Times New Roman"/>
                <w:color w:val="auto"/>
                <w:kern w:val="0"/>
                <w:sz w:val="24"/>
                <w:szCs w:val="24"/>
                <w:lang w:val="en-US" w:eastAsia="zh-CN" w:bidi="ar"/>
              </w:rPr>
              <w:t>，采取</w:t>
            </w:r>
            <w:r>
              <w:rPr>
                <w:rFonts w:hint="default" w:ascii="Times New Roman" w:hAnsi="Times New Roman" w:eastAsia="宋体" w:cs="Times New Roman"/>
                <w:color w:val="auto"/>
                <w:kern w:val="0"/>
                <w:sz w:val="24"/>
                <w:szCs w:val="24"/>
                <w:lang w:val="en-US" w:eastAsia="zh-CN" w:bidi="ar"/>
              </w:rPr>
              <w:t>皮带设置密闭式通廊，料仓顶部设置洒水喷头，针对倒料采取喷雾控尘，可有效降低无组织粉尘排放量（粉尘控制效率达70%）</w:t>
            </w:r>
            <w:r>
              <w:rPr>
                <w:rFonts w:hint="eastAsia" w:ascii="Times New Roman" w:hAnsi="Times New Roman" w:eastAsia="宋体" w:cs="Times New Roman"/>
                <w:color w:val="auto"/>
                <w:kern w:val="0"/>
                <w:sz w:val="24"/>
                <w:szCs w:val="24"/>
                <w:lang w:val="en-US" w:eastAsia="zh-CN" w:bidi="ar"/>
              </w:rPr>
              <w:t>；药剂废气采取加强通风措施；上料、破碎、筛分工序逸散粉尘</w:t>
            </w:r>
            <w:r>
              <w:rPr>
                <w:rFonts w:hint="default" w:ascii="Times New Roman" w:hAnsi="Times New Roman" w:eastAsia="宋体" w:cs="Times New Roman"/>
                <w:color w:val="auto"/>
                <w:kern w:val="0"/>
                <w:sz w:val="24"/>
                <w:szCs w:val="24"/>
                <w:lang w:val="en-US" w:eastAsia="zh-CN" w:bidi="ar"/>
              </w:rPr>
              <w:t>针对每个破碎、筛分设备采用彩钢瓦进行密闭，粉尘排放量可削减50%，同时对破碎、筛分设备产尘点洒水控尘，可有效降低70%的粉尘，则粉尘综合去除效率为85%</w:t>
            </w:r>
            <w:r>
              <w:rPr>
                <w:rFonts w:hint="eastAsia" w:ascii="Times New Roman" w:hAnsi="Times New Roman" w:eastAsia="宋体" w:cs="Times New Roman"/>
                <w:color w:val="auto"/>
                <w:kern w:val="0"/>
                <w:sz w:val="24"/>
                <w:szCs w:val="24"/>
                <w:lang w:val="en-US" w:eastAsia="zh-CN" w:bidi="ar"/>
              </w:rPr>
              <w:t>；运输车辆扬尘，通过</w:t>
            </w:r>
            <w:r>
              <w:rPr>
                <w:rFonts w:hint="default" w:ascii="Times New Roman" w:hAnsi="Times New Roman" w:eastAsia="宋体" w:cs="Times New Roman"/>
                <w:color w:val="auto"/>
                <w:kern w:val="0"/>
                <w:sz w:val="24"/>
                <w:szCs w:val="24"/>
                <w:lang w:val="en-US" w:eastAsia="zh-CN" w:bidi="ar"/>
              </w:rPr>
              <w:t>配套设置车辆冲洗区及一个洗车废水沉淀池，车辆运输扬尘可通过厂区道路硬化、加强路面养护及运输道路洒水控尘、对出场车辆轮胎进行清洗及做好运输车辆车厢采用篷布措施来得到控制，抑尘效率70%</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机械及运输车辆燃油废气通过合理安排机械使用时间、车辆限速限载等措施减少施工机械废气和运输废气的产生</w:t>
            </w:r>
            <w:r>
              <w:rPr>
                <w:rFonts w:hint="eastAsia" w:cs="Times New Roman"/>
                <w:color w:val="auto"/>
                <w:kern w:val="0"/>
                <w:sz w:val="24"/>
                <w:szCs w:val="24"/>
                <w:lang w:val="en-US" w:eastAsia="zh-CN" w:bidi="ar"/>
              </w:rPr>
              <w:t>。</w:t>
            </w:r>
          </w:p>
          <w:p w14:paraId="45F8B1CF">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通过采取上述治理措施后</w:t>
            </w:r>
            <w:r>
              <w:rPr>
                <w:rFonts w:hint="default" w:ascii="Times New Roman" w:hAnsi="Times New Roman" w:eastAsia="宋体" w:cs="Times New Roman"/>
                <w:color w:val="auto"/>
                <w:sz w:val="24"/>
                <w:lang w:val="en-US" w:eastAsia="zh-CN"/>
              </w:rPr>
              <w:t>，</w:t>
            </w:r>
            <w:r>
              <w:rPr>
                <w:rFonts w:hint="default" w:ascii="Times New Roman" w:hAnsi="Times New Roman" w:cs="Times New Roman"/>
                <w:bCs/>
                <w:color w:val="auto"/>
                <w:kern w:val="0"/>
                <w:sz w:val="24"/>
                <w:szCs w:val="24"/>
                <w:lang w:val="en-US" w:eastAsia="zh-CN"/>
              </w:rPr>
              <w:t>可以有效的降低无</w:t>
            </w:r>
            <w:r>
              <w:rPr>
                <w:rFonts w:hint="eastAsia" w:ascii="Times New Roman" w:hAnsi="Times New Roman" w:cs="Times New Roman"/>
                <w:bCs/>
                <w:color w:val="auto"/>
                <w:kern w:val="0"/>
                <w:sz w:val="24"/>
                <w:szCs w:val="24"/>
                <w:lang w:val="en-US" w:eastAsia="zh-CN"/>
              </w:rPr>
              <w:t>组织</w:t>
            </w:r>
            <w:r>
              <w:rPr>
                <w:rFonts w:hint="default" w:ascii="Times New Roman" w:hAnsi="Times New Roman" w:cs="Times New Roman"/>
                <w:bCs/>
                <w:color w:val="auto"/>
                <w:kern w:val="0"/>
                <w:sz w:val="24"/>
                <w:szCs w:val="24"/>
                <w:lang w:val="en-US" w:eastAsia="zh-CN"/>
              </w:rPr>
              <w:t>颗粒物的排放，因此</w:t>
            </w:r>
            <w:r>
              <w:rPr>
                <w:rFonts w:hint="default" w:ascii="Times New Roman" w:hAnsi="Times New Roman" w:eastAsia="宋体" w:cs="Times New Roman"/>
                <w:color w:val="auto"/>
                <w:sz w:val="24"/>
                <w:lang w:val="en-US" w:eastAsia="zh-CN"/>
              </w:rPr>
              <w:t>本项目无组织颗粒物治理措施为可行技术。</w:t>
            </w:r>
          </w:p>
          <w:p w14:paraId="0898589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b/>
                <w:color w:val="auto"/>
                <w:sz w:val="24"/>
                <w:lang w:val="en-US" w:eastAsia="zh-CN"/>
              </w:rPr>
              <w:t>1.4达标性分析及影响分析</w:t>
            </w:r>
          </w:p>
          <w:p w14:paraId="5D7AFE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val="0"/>
                <w:bCs w:val="0"/>
                <w:color w:val="auto"/>
                <w:sz w:val="24"/>
                <w:szCs w:val="24"/>
                <w:lang w:val="en-US" w:eastAsia="zh-CN"/>
              </w:rPr>
              <w:t>项目</w:t>
            </w:r>
            <w:r>
              <w:rPr>
                <w:rFonts w:hint="eastAsia" w:ascii="Times New Roman" w:hAnsi="Times New Roman" w:cs="Times New Roman"/>
                <w:b w:val="0"/>
                <w:bCs w:val="0"/>
                <w:color w:val="auto"/>
                <w:sz w:val="24"/>
                <w:szCs w:val="24"/>
                <w:lang w:val="en-US" w:eastAsia="zh-CN"/>
              </w:rPr>
              <w:t>上料口、破碎机、筛分机上方安装集气罩收集产生的粉尘，收集后</w:t>
            </w:r>
            <w:r>
              <w:rPr>
                <w:rFonts w:hint="eastAsia" w:ascii="Times New Roman" w:hAnsi="Times New Roman" w:cs="Times New Roman"/>
                <w:bCs/>
                <w:color w:val="auto"/>
                <w:sz w:val="24"/>
                <w:szCs w:val="24"/>
                <w:lang w:val="en-US" w:eastAsia="zh-CN"/>
              </w:rPr>
              <w:t>的粉尘进入布袋除尘器处理后，经排气筒排放</w:t>
            </w:r>
            <w:r>
              <w:rPr>
                <w:rFonts w:hint="default" w:ascii="Times New Roman" w:hAnsi="Times New Roman" w:eastAsia="宋体" w:cs="Times New Roman"/>
                <w:bCs/>
                <w:color w:val="auto"/>
                <w:sz w:val="24"/>
                <w:szCs w:val="24"/>
                <w:lang w:eastAsia="zh-CN"/>
              </w:rPr>
              <w:t>。</w:t>
            </w:r>
          </w:p>
          <w:p w14:paraId="291BB81C">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根据核算，</w:t>
            </w:r>
            <w:r>
              <w:rPr>
                <w:rFonts w:hint="eastAsia" w:ascii="Times New Roman" w:hAnsi="Times New Roman" w:cs="Times New Roman"/>
                <w:color w:val="auto"/>
                <w:sz w:val="24"/>
                <w:szCs w:val="24"/>
                <w:lang w:val="en-US" w:eastAsia="zh-CN"/>
              </w:rPr>
              <w:t>上料粗碎工序产生的颗粒物经布袋除尘器</w:t>
            </w:r>
            <w:r>
              <w:rPr>
                <w:rFonts w:hint="default" w:ascii="Times New Roman" w:hAnsi="Times New Roman" w:eastAsia="宋体" w:cs="Times New Roman"/>
                <w:bCs/>
                <w:color w:val="auto"/>
                <w:sz w:val="24"/>
                <w:szCs w:val="24"/>
              </w:rPr>
              <w:t>处理后</w:t>
            </w:r>
            <w:r>
              <w:rPr>
                <w:rFonts w:hint="default" w:ascii="Times New Roman" w:hAnsi="Times New Roman" w:eastAsia="宋体" w:cs="Times New Roman"/>
                <w:bCs/>
                <w:color w:val="auto"/>
                <w:sz w:val="24"/>
                <w:lang w:val="en-US" w:eastAsia="zh-CN"/>
              </w:rPr>
              <w:t>（除尘效率</w:t>
            </w:r>
            <w:r>
              <w:rPr>
                <w:rFonts w:hint="eastAsia" w:ascii="Times New Roman" w:hAnsi="Times New Roman" w:cs="Times New Roman"/>
                <w:bCs/>
                <w:color w:val="auto"/>
                <w:sz w:val="24"/>
                <w:lang w:val="en-US" w:eastAsia="zh-CN"/>
              </w:rPr>
              <w:t>99</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szCs w:val="24"/>
                <w:lang w:eastAsia="zh-CN"/>
              </w:rPr>
              <w:t>，</w:t>
            </w:r>
            <w:r>
              <w:rPr>
                <w:rFonts w:hint="default" w:ascii="Times New Roman" w:hAnsi="Times New Roman" w:cs="Times New Roman"/>
                <w:color w:val="auto"/>
                <w:sz w:val="24"/>
                <w:szCs w:val="24"/>
              </w:rPr>
              <w:t>颗粒物</w:t>
            </w:r>
            <w:r>
              <w:rPr>
                <w:rFonts w:hint="default" w:ascii="Times New Roman" w:hAnsi="Times New Roman" w:cs="Times New Roman"/>
                <w:color w:val="auto"/>
                <w:sz w:val="24"/>
                <w:szCs w:val="24"/>
                <w:lang w:val="en-US" w:eastAsia="zh-CN"/>
              </w:rPr>
              <w:t>排</w:t>
            </w:r>
            <w:r>
              <w:rPr>
                <w:rFonts w:hint="default" w:ascii="Times New Roman" w:hAnsi="Times New Roman" w:eastAsia="宋体" w:cs="Times New Roman"/>
                <w:b w:val="0"/>
                <w:bCs w:val="0"/>
                <w:color w:val="auto"/>
                <w:kern w:val="2"/>
                <w:sz w:val="24"/>
                <w:szCs w:val="24"/>
                <w:lang w:val="en-US" w:eastAsia="zh-CN" w:bidi="ar-SA"/>
              </w:rPr>
              <w:t>放量为</w:t>
            </w:r>
            <w:r>
              <w:rPr>
                <w:rFonts w:hint="eastAsia" w:ascii="Times New Roman" w:hAnsi="Times New Roman" w:cs="Times New Roman"/>
                <w:b w:val="0"/>
                <w:bCs w:val="0"/>
                <w:color w:val="auto"/>
                <w:kern w:val="2"/>
                <w:sz w:val="24"/>
                <w:szCs w:val="24"/>
                <w:lang w:val="en-US" w:eastAsia="zh-CN" w:bidi="ar-SA"/>
              </w:rPr>
              <w:t>0.67t</w:t>
            </w:r>
            <w:r>
              <w:rPr>
                <w:rFonts w:hint="default" w:ascii="Times New Roman" w:hAnsi="Times New Roman" w:eastAsia="宋体" w:cs="Times New Roman"/>
                <w:b w:val="0"/>
                <w:bCs w:val="0"/>
                <w:color w:val="auto"/>
                <w:kern w:val="2"/>
                <w:sz w:val="24"/>
                <w:szCs w:val="24"/>
                <w:lang w:val="en-US" w:eastAsia="zh-CN" w:bidi="ar-SA"/>
              </w:rPr>
              <w:t>/a</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排放速率为</w:t>
            </w:r>
            <w:r>
              <w:rPr>
                <w:rFonts w:hint="eastAsia" w:ascii="Times New Roman" w:hAnsi="Times New Roman" w:cs="Times New Roman"/>
                <w:b w:val="0"/>
                <w:bCs w:val="0"/>
                <w:color w:val="auto"/>
                <w:kern w:val="2"/>
                <w:sz w:val="24"/>
                <w:szCs w:val="24"/>
                <w:lang w:val="en-US" w:eastAsia="zh-CN" w:bidi="ar-SA"/>
              </w:rPr>
              <w:t>0.13</w:t>
            </w:r>
            <w:r>
              <w:rPr>
                <w:rFonts w:hint="default" w:ascii="Times New Roman" w:hAnsi="Times New Roman" w:eastAsia="宋体" w:cs="Times New Roman"/>
                <w:b w:val="0"/>
                <w:bCs w:val="0"/>
                <w:color w:val="auto"/>
                <w:kern w:val="2"/>
                <w:sz w:val="24"/>
                <w:szCs w:val="24"/>
                <w:lang w:val="en-US" w:eastAsia="zh-CN" w:bidi="ar-SA"/>
              </w:rPr>
              <w:t>kg/h，排放浓度为</w:t>
            </w:r>
            <w:r>
              <w:rPr>
                <w:rFonts w:hint="eastAsia" w:ascii="Times New Roman" w:hAnsi="Times New Roman" w:cs="Times New Roman"/>
                <w:b w:val="0"/>
                <w:bCs w:val="0"/>
                <w:color w:val="auto"/>
                <w:kern w:val="2"/>
                <w:sz w:val="24"/>
                <w:szCs w:val="24"/>
                <w:lang w:val="en-US" w:eastAsia="zh-CN" w:bidi="ar-SA"/>
              </w:rPr>
              <w:t>4.06</w:t>
            </w:r>
            <w:r>
              <w:rPr>
                <w:rFonts w:hint="default" w:ascii="Times New Roman" w:hAnsi="Times New Roman" w:eastAsia="宋体" w:cs="Times New Roman"/>
                <w:b w:val="0"/>
                <w:bCs w:val="0"/>
                <w:color w:val="auto"/>
                <w:kern w:val="2"/>
                <w:sz w:val="24"/>
                <w:szCs w:val="24"/>
                <w:lang w:val="en-US" w:eastAsia="zh-CN" w:bidi="ar-SA"/>
              </w:rPr>
              <w:t>mg/m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，可满足</w:t>
            </w:r>
            <w:r>
              <w:rPr>
                <w:rFonts w:hint="default" w:ascii="Times New Roman" w:hAnsi="Times New Roman" w:eastAsia="宋体" w:cs="Times New Roman"/>
                <w:color w:val="auto"/>
                <w:sz w:val="24"/>
                <w:szCs w:val="24"/>
                <w:lang w:eastAsia="zh-CN"/>
              </w:rPr>
              <w:t>《铜、镍、钴工业污染物排放标准》（GB25467-2010）标准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kern w:val="2"/>
                <w:sz w:val="24"/>
                <w:szCs w:val="24"/>
                <w:lang w:val="en-US" w:eastAsia="zh-CN" w:bidi="ar-SA"/>
              </w:rPr>
              <w:t>即：颗粒物≤</w:t>
            </w:r>
            <w:r>
              <w:rPr>
                <w:rFonts w:hint="eastAsia" w:ascii="Times New Roman" w:hAnsi="Times New Roman" w:cs="Times New Roman"/>
                <w:b w:val="0"/>
                <w:bCs w:val="0"/>
                <w:color w:val="auto"/>
                <w:kern w:val="2"/>
                <w:sz w:val="24"/>
                <w:szCs w:val="24"/>
                <w:lang w:val="en-US" w:eastAsia="zh-CN" w:bidi="ar-SA"/>
              </w:rPr>
              <w:t>80</w:t>
            </w:r>
            <w:r>
              <w:rPr>
                <w:rFonts w:hint="default" w:ascii="Times New Roman" w:hAnsi="Times New Roman" w:eastAsia="宋体" w:cs="Times New Roman"/>
                <w:b w:val="0"/>
                <w:bCs w:val="0"/>
                <w:color w:val="auto"/>
                <w:kern w:val="2"/>
                <w:sz w:val="24"/>
                <w:szCs w:val="24"/>
                <w:lang w:val="en-US" w:eastAsia="zh-CN" w:bidi="ar-SA"/>
              </w:rPr>
              <w:t>mg/m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w:t>
            </w:r>
          </w:p>
          <w:p w14:paraId="5132C2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color w:val="auto"/>
                <w:sz w:val="24"/>
                <w:szCs w:val="24"/>
                <w:lang w:val="en-US" w:eastAsia="zh-CN"/>
              </w:rPr>
              <w:t>中细碎工序</w:t>
            </w:r>
            <w:r>
              <w:rPr>
                <w:rFonts w:hint="default" w:ascii="Times New Roman" w:hAnsi="Times New Roman" w:eastAsia="宋体" w:cs="Times New Roman"/>
                <w:color w:val="auto"/>
                <w:sz w:val="24"/>
                <w:szCs w:val="24"/>
                <w:lang w:val="en-US" w:eastAsia="zh-CN"/>
              </w:rPr>
              <w:t>产生的颗粒物经布袋除尘器</w:t>
            </w:r>
            <w:r>
              <w:rPr>
                <w:rFonts w:hint="default" w:ascii="Times New Roman" w:hAnsi="Times New Roman" w:eastAsia="宋体" w:cs="Times New Roman"/>
                <w:bCs/>
                <w:color w:val="auto"/>
                <w:sz w:val="24"/>
                <w:szCs w:val="24"/>
              </w:rPr>
              <w:t>处理后</w:t>
            </w:r>
            <w:r>
              <w:rPr>
                <w:rFonts w:hint="default" w:ascii="Times New Roman" w:hAnsi="Times New Roman" w:eastAsia="宋体" w:cs="Times New Roman"/>
                <w:bCs/>
                <w:color w:val="auto"/>
                <w:sz w:val="24"/>
                <w:szCs w:val="24"/>
                <w:lang w:val="en-US" w:eastAsia="zh-CN"/>
              </w:rPr>
              <w:t>（除尘效率</w:t>
            </w:r>
            <w:r>
              <w:rPr>
                <w:rFonts w:hint="eastAsia" w:cs="Times New Roman"/>
                <w:bCs/>
                <w:color w:val="auto"/>
                <w:sz w:val="24"/>
                <w:szCs w:val="24"/>
                <w:lang w:val="en-US" w:eastAsia="zh-CN"/>
              </w:rPr>
              <w:t>99</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rPr>
              <w:t>颗粒物</w:t>
            </w:r>
            <w:r>
              <w:rPr>
                <w:rFonts w:hint="default" w:ascii="Times New Roman" w:hAnsi="Times New Roman" w:eastAsia="宋体" w:cs="Times New Roman"/>
                <w:color w:val="auto"/>
                <w:sz w:val="24"/>
                <w:szCs w:val="24"/>
                <w:lang w:val="en-US" w:eastAsia="zh-CN"/>
              </w:rPr>
              <w:t>排</w:t>
            </w:r>
            <w:r>
              <w:rPr>
                <w:rFonts w:hint="default" w:ascii="Times New Roman" w:hAnsi="Times New Roman" w:eastAsia="宋体" w:cs="Times New Roman"/>
                <w:b w:val="0"/>
                <w:bCs w:val="0"/>
                <w:color w:val="auto"/>
                <w:kern w:val="2"/>
                <w:sz w:val="24"/>
                <w:szCs w:val="24"/>
                <w:lang w:val="en-US" w:eastAsia="zh-CN" w:bidi="ar-SA"/>
              </w:rPr>
              <w:t>放量为</w:t>
            </w:r>
            <w:r>
              <w:rPr>
                <w:rFonts w:hint="eastAsia" w:cs="Times New Roman"/>
                <w:b w:val="0"/>
                <w:bCs w:val="0"/>
                <w:color w:val="auto"/>
                <w:kern w:val="2"/>
                <w:sz w:val="24"/>
                <w:szCs w:val="24"/>
                <w:lang w:val="en-US" w:eastAsia="zh-CN" w:bidi="ar-SA"/>
              </w:rPr>
              <w:t>1.24t</w:t>
            </w:r>
            <w:r>
              <w:rPr>
                <w:rFonts w:hint="default" w:ascii="Times New Roman" w:hAnsi="Times New Roman" w:eastAsia="宋体" w:cs="Times New Roman"/>
                <w:b w:val="0"/>
                <w:bCs w:val="0"/>
                <w:color w:val="auto"/>
                <w:kern w:val="2"/>
                <w:sz w:val="24"/>
                <w:szCs w:val="24"/>
                <w:lang w:val="en-US" w:eastAsia="zh-CN" w:bidi="ar-SA"/>
              </w:rPr>
              <w:t>/a，排放速率为</w:t>
            </w:r>
            <w:r>
              <w:rPr>
                <w:rFonts w:hint="eastAsia" w:cs="Times New Roman"/>
                <w:b w:val="0"/>
                <w:bCs w:val="0"/>
                <w:color w:val="auto"/>
                <w:kern w:val="2"/>
                <w:sz w:val="24"/>
                <w:szCs w:val="24"/>
                <w:lang w:val="en-US" w:eastAsia="zh-CN" w:bidi="ar-SA"/>
              </w:rPr>
              <w:t>0.23</w:t>
            </w:r>
            <w:r>
              <w:rPr>
                <w:rFonts w:hint="default" w:ascii="Times New Roman" w:hAnsi="Times New Roman" w:eastAsia="宋体" w:cs="Times New Roman"/>
                <w:b w:val="0"/>
                <w:bCs w:val="0"/>
                <w:color w:val="auto"/>
                <w:kern w:val="2"/>
                <w:sz w:val="24"/>
                <w:szCs w:val="24"/>
                <w:lang w:val="en-US" w:eastAsia="zh-CN" w:bidi="ar-SA"/>
              </w:rPr>
              <w:t>kg/h，排放浓度为</w:t>
            </w:r>
            <w:r>
              <w:rPr>
                <w:rFonts w:hint="eastAsia" w:cs="Times New Roman"/>
                <w:b w:val="0"/>
                <w:bCs w:val="0"/>
                <w:color w:val="auto"/>
                <w:kern w:val="2"/>
                <w:sz w:val="24"/>
                <w:szCs w:val="24"/>
                <w:lang w:val="en-US" w:eastAsia="zh-CN" w:bidi="ar-SA"/>
              </w:rPr>
              <w:t>4.69</w:t>
            </w:r>
            <w:r>
              <w:rPr>
                <w:rFonts w:hint="default" w:ascii="Times New Roman" w:hAnsi="Times New Roman" w:eastAsia="宋体" w:cs="Times New Roman"/>
                <w:b w:val="0"/>
                <w:bCs w:val="0"/>
                <w:color w:val="auto"/>
                <w:kern w:val="2"/>
                <w:sz w:val="24"/>
                <w:szCs w:val="24"/>
                <w:lang w:val="en-US" w:eastAsia="zh-CN" w:bidi="ar-SA"/>
              </w:rPr>
              <w:t>mg/m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，可满足</w:t>
            </w:r>
            <w:r>
              <w:rPr>
                <w:rFonts w:hint="default" w:ascii="Times New Roman" w:hAnsi="Times New Roman" w:eastAsia="宋体" w:cs="Times New Roman"/>
                <w:color w:val="auto"/>
                <w:sz w:val="24"/>
                <w:szCs w:val="24"/>
                <w:lang w:eastAsia="zh-CN"/>
              </w:rPr>
              <w:t>《铜、镍、钴工业污染物排放标准》（GB25467-2010）标准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kern w:val="2"/>
                <w:sz w:val="24"/>
                <w:szCs w:val="24"/>
                <w:lang w:val="en-US" w:eastAsia="zh-CN" w:bidi="ar-SA"/>
              </w:rPr>
              <w:t>即：颗粒物≤100mg/m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w:t>
            </w:r>
          </w:p>
          <w:p w14:paraId="758ADC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筛分工序产生的颗粒物经布袋除尘器</w:t>
            </w:r>
            <w:r>
              <w:rPr>
                <w:rFonts w:hint="default" w:ascii="Times New Roman" w:hAnsi="Times New Roman" w:eastAsia="宋体" w:cs="Times New Roman"/>
                <w:bCs/>
                <w:color w:val="000000" w:themeColor="text1"/>
                <w:sz w:val="24"/>
                <w:szCs w:val="24"/>
                <w14:textFill>
                  <w14:solidFill>
                    <w14:schemeClr w14:val="tx1"/>
                  </w14:solidFill>
                </w14:textFill>
              </w:rPr>
              <w:t>处理后</w:t>
            </w:r>
            <w:r>
              <w:rPr>
                <w:rFonts w:hint="default" w:ascii="Times New Roman" w:hAnsi="Times New Roman" w:eastAsia="宋体" w:cs="Times New Roman"/>
                <w:bCs/>
                <w:color w:val="000000" w:themeColor="text1"/>
                <w:sz w:val="24"/>
                <w:lang w:val="en-US" w:eastAsia="zh-CN"/>
                <w14:textFill>
                  <w14:solidFill>
                    <w14:schemeClr w14:val="tx1"/>
                  </w14:solidFill>
                </w14:textFill>
              </w:rPr>
              <w:t>（除尘效率</w:t>
            </w:r>
            <w:r>
              <w:rPr>
                <w:rFonts w:hint="eastAsia" w:cs="Times New Roman"/>
                <w:bCs/>
                <w:color w:val="000000" w:themeColor="text1"/>
                <w:sz w:val="24"/>
                <w:lang w:val="en-US" w:eastAsia="zh-CN"/>
                <w14:textFill>
                  <w14:solidFill>
                    <w14:schemeClr w14:val="tx1"/>
                  </w14:solidFill>
                </w14:textFill>
              </w:rPr>
              <w:t>99</w:t>
            </w:r>
            <w:r>
              <w:rPr>
                <w:rFonts w:hint="default"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颗粒物</w:t>
            </w:r>
            <w:r>
              <w:rPr>
                <w:rFonts w:hint="default" w:ascii="Times New Roman" w:hAnsi="Times New Roman" w:cs="Times New Roman"/>
                <w:color w:val="000000" w:themeColor="text1"/>
                <w:sz w:val="24"/>
                <w:szCs w:val="24"/>
                <w:lang w:val="en-US" w:eastAsia="zh-CN"/>
                <w14:textFill>
                  <w14:solidFill>
                    <w14:schemeClr w14:val="tx1"/>
                  </w14:solidFill>
                </w14:textFill>
              </w:rPr>
              <w:t>排</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放量为</w:t>
            </w:r>
            <w:r>
              <w:rPr>
                <w:rFonts w:hint="eastAsia" w:cs="Times New Roman"/>
                <w:b w:val="0"/>
                <w:bCs w:val="0"/>
                <w:color w:val="000000" w:themeColor="text1"/>
                <w:kern w:val="2"/>
                <w:sz w:val="24"/>
                <w:szCs w:val="24"/>
                <w:lang w:val="en-US" w:eastAsia="zh-CN" w:bidi="ar-SA"/>
                <w14:textFill>
                  <w14:solidFill>
                    <w14:schemeClr w14:val="tx1"/>
                  </w14:solidFill>
                </w14:textFill>
              </w:rPr>
              <w:t>1.24t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/a</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排放速率为</w:t>
            </w:r>
            <w:r>
              <w:rPr>
                <w:rFonts w:hint="eastAsia" w:cs="Times New Roman"/>
                <w:b w:val="0"/>
                <w:bCs w:val="0"/>
                <w:color w:val="000000" w:themeColor="text1"/>
                <w:kern w:val="2"/>
                <w:sz w:val="24"/>
                <w:szCs w:val="24"/>
                <w:lang w:val="en-US" w:eastAsia="zh-CN" w:bidi="ar-SA"/>
                <w14:textFill>
                  <w14:solidFill>
                    <w14:schemeClr w14:val="tx1"/>
                  </w14:solidFill>
                </w14:textFill>
              </w:rPr>
              <w:t>0.23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kg/h，排放浓度为</w:t>
            </w:r>
            <w:r>
              <w:rPr>
                <w:rFonts w:hint="eastAsia" w:cs="Times New Roman"/>
                <w:b w:val="0"/>
                <w:bCs w:val="0"/>
                <w:color w:val="000000" w:themeColor="text1"/>
                <w:kern w:val="2"/>
                <w:sz w:val="24"/>
                <w:szCs w:val="24"/>
                <w:lang w:val="en-US" w:eastAsia="zh-CN" w:bidi="ar-SA"/>
                <w14:textFill>
                  <w14:solidFill>
                    <w14:schemeClr w14:val="tx1"/>
                  </w14:solidFill>
                </w14:textFill>
              </w:rPr>
              <w:t>7.19</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，可满足</w:t>
            </w:r>
            <w:r>
              <w:rPr>
                <w:rFonts w:hint="default" w:ascii="Times New Roman" w:hAnsi="Times New Roman" w:eastAsia="宋体" w:cs="Times New Roman"/>
                <w:color w:val="000000" w:themeColor="text1"/>
                <w:sz w:val="24"/>
                <w:szCs w:val="24"/>
                <w:lang w:eastAsia="zh-CN"/>
                <w14:textFill>
                  <w14:solidFill>
                    <w14:schemeClr w14:val="tx1"/>
                  </w14:solidFill>
                </w14:textFill>
              </w:rPr>
              <w:t>《铜、镍、钴工业污染物排放标准》（GB25467-2010）标准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即：颗粒物≤</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100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14:paraId="42A570A7">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根据项目周边现场的踏勘，在项目周边500m范围</w:t>
            </w:r>
            <w:r>
              <w:rPr>
                <w:rFonts w:hint="eastAsia" w:ascii="Times New Roman" w:hAnsi="Times New Roman" w:cs="Times New Roman"/>
                <w:color w:val="auto"/>
                <w:sz w:val="24"/>
                <w:szCs w:val="24"/>
                <w:lang w:val="en-US" w:eastAsia="zh-CN"/>
              </w:rPr>
              <w:t>内无关心点，</w:t>
            </w:r>
            <w:r>
              <w:rPr>
                <w:rFonts w:hint="default" w:ascii="Times New Roman" w:hAnsi="Times New Roman" w:eastAsia="宋体" w:cs="Times New Roman"/>
                <w:color w:val="auto"/>
                <w:sz w:val="24"/>
                <w:szCs w:val="24"/>
                <w:lang w:val="en-US" w:eastAsia="zh-CN"/>
              </w:rPr>
              <w:t>同时根据项目区域大气现状的调查，项目区域的大气环境属于达标区，况且本项目排放的大气再严格落实各项控制措施后，均可做到达标排放，本项目的建设对周边的大气环境及大气关心点的影响较小。</w:t>
            </w:r>
          </w:p>
          <w:p w14:paraId="461841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b/>
                <w:color w:val="auto"/>
                <w:sz w:val="24"/>
                <w:lang w:val="en-US" w:eastAsia="zh-CN"/>
              </w:rPr>
              <w:t>1.5大气监测要求</w:t>
            </w:r>
          </w:p>
          <w:p w14:paraId="62C30D8F">
            <w:pPr>
              <w:pStyle w:val="13"/>
              <w:spacing w:before="0"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本项目为改建项目，本次改建不新增污染物排放种类，不新增排气筒，现有废气自行监测计划满足本项目，本项目不再制定监测方案，现有监测计划详见下表：</w:t>
            </w:r>
          </w:p>
          <w:p w14:paraId="3D460B4E">
            <w:pPr>
              <w:pStyle w:val="13"/>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表4-</w:t>
            </w:r>
            <w:r>
              <w:rPr>
                <w:rFonts w:hint="eastAsia" w:ascii="Times New Roman" w:hAnsi="Times New Roman" w:eastAsia="黑体" w:cs="Times New Roman"/>
                <w:color w:val="auto"/>
                <w:sz w:val="21"/>
                <w:szCs w:val="21"/>
                <w:lang w:val="en-US" w:eastAsia="zh-CN"/>
              </w:rPr>
              <w:t>6</w:t>
            </w:r>
            <w:r>
              <w:rPr>
                <w:rFonts w:hint="default" w:ascii="Times New Roman" w:hAnsi="Times New Roman" w:eastAsia="黑体" w:cs="Times New Roman"/>
                <w:color w:val="auto"/>
                <w:sz w:val="21"/>
                <w:szCs w:val="21"/>
              </w:rPr>
              <w:t xml:space="preserve">  本项目废气监测情况表</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883"/>
              <w:gridCol w:w="1784"/>
              <w:gridCol w:w="937"/>
              <w:gridCol w:w="3040"/>
            </w:tblGrid>
            <w:tr w14:paraId="07E1B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11" w:type="pct"/>
                  <w:tcBorders>
                    <w:tl2br w:val="nil"/>
                    <w:tr2bl w:val="nil"/>
                  </w:tcBorders>
                  <w:noWrap w:val="0"/>
                  <w:vAlign w:val="center"/>
                </w:tcPr>
                <w:p w14:paraId="7DD24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排气筒编号</w:t>
                  </w:r>
                </w:p>
              </w:tc>
              <w:tc>
                <w:tcPr>
                  <w:tcW w:w="570" w:type="pct"/>
                  <w:tcBorders>
                    <w:tl2br w:val="nil"/>
                    <w:tr2bl w:val="nil"/>
                  </w:tcBorders>
                  <w:noWrap w:val="0"/>
                  <w:vAlign w:val="center"/>
                </w:tcPr>
                <w:p w14:paraId="2C6EBB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监测因子</w:t>
                  </w:r>
                </w:p>
              </w:tc>
              <w:tc>
                <w:tcPr>
                  <w:tcW w:w="1151" w:type="pct"/>
                  <w:tcBorders>
                    <w:tl2br w:val="nil"/>
                    <w:tr2bl w:val="nil"/>
                  </w:tcBorders>
                  <w:noWrap w:val="0"/>
                  <w:vAlign w:val="center"/>
                </w:tcPr>
                <w:p w14:paraId="1CCD3C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监测点位</w:t>
                  </w:r>
                </w:p>
              </w:tc>
              <w:tc>
                <w:tcPr>
                  <w:tcW w:w="605" w:type="pct"/>
                  <w:tcBorders>
                    <w:tl2br w:val="nil"/>
                    <w:tr2bl w:val="nil"/>
                  </w:tcBorders>
                  <w:noWrap w:val="0"/>
                  <w:vAlign w:val="center"/>
                </w:tcPr>
                <w:p w14:paraId="0BEBE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监测频率</w:t>
                  </w:r>
                </w:p>
              </w:tc>
              <w:tc>
                <w:tcPr>
                  <w:tcW w:w="1961" w:type="pct"/>
                  <w:tcBorders>
                    <w:tl2br w:val="nil"/>
                    <w:tr2bl w:val="nil"/>
                  </w:tcBorders>
                  <w:noWrap w:val="0"/>
                  <w:vAlign w:val="center"/>
                </w:tcPr>
                <w:p w14:paraId="1C144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执行标准</w:t>
                  </w:r>
                </w:p>
              </w:tc>
            </w:tr>
            <w:tr w14:paraId="43768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center"/>
                </w:tcPr>
                <w:p w14:paraId="06AC82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（DA00</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p>
              </w:tc>
              <w:tc>
                <w:tcPr>
                  <w:tcW w:w="570" w:type="pct"/>
                  <w:tcBorders>
                    <w:tl2br w:val="nil"/>
                    <w:tr2bl w:val="nil"/>
                  </w:tcBorders>
                  <w:noWrap w:val="0"/>
                  <w:vAlign w:val="center"/>
                </w:tcPr>
                <w:p w14:paraId="06DBDC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1151" w:type="pct"/>
                  <w:tcBorders>
                    <w:tl2br w:val="nil"/>
                    <w:tr2bl w:val="nil"/>
                  </w:tcBorders>
                  <w:noWrap w:val="0"/>
                  <w:vAlign w:val="center"/>
                </w:tcPr>
                <w:p w14:paraId="1AD11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给料仓排口</w:t>
                  </w:r>
                </w:p>
              </w:tc>
              <w:tc>
                <w:tcPr>
                  <w:tcW w:w="605" w:type="pct"/>
                  <w:tcBorders>
                    <w:tl2br w:val="nil"/>
                    <w:tr2bl w:val="nil"/>
                  </w:tcBorders>
                  <w:noWrap w:val="0"/>
                  <w:vAlign w:val="center"/>
                </w:tcPr>
                <w:p w14:paraId="225F2B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次</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季度</w:t>
                  </w:r>
                </w:p>
              </w:tc>
              <w:tc>
                <w:tcPr>
                  <w:tcW w:w="1961" w:type="pct"/>
                  <w:vMerge w:val="restart"/>
                  <w:tcBorders>
                    <w:tl2br w:val="nil"/>
                    <w:tr2bl w:val="nil"/>
                  </w:tcBorders>
                  <w:noWrap w:val="0"/>
                  <w:vAlign w:val="center"/>
                </w:tcPr>
                <w:p w14:paraId="6872C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《铜、镍、钴工业污染物排放标准》（GB25467-2010）</w:t>
                  </w:r>
                  <w:r>
                    <w:rPr>
                      <w:rFonts w:hint="eastAsia" w:cs="Times New Roman"/>
                      <w:color w:val="auto"/>
                      <w:sz w:val="18"/>
                      <w:szCs w:val="18"/>
                      <w:lang w:val="en-US" w:eastAsia="zh-CN"/>
                    </w:rPr>
                    <w:t>表五、表六标准浓度限值</w:t>
                  </w:r>
                </w:p>
              </w:tc>
            </w:tr>
            <w:tr w14:paraId="45B134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center"/>
                </w:tcPr>
                <w:p w14:paraId="6AC23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DA005</w:t>
                  </w: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570" w:type="pct"/>
                  <w:tcBorders>
                    <w:tl2br w:val="nil"/>
                    <w:tr2bl w:val="nil"/>
                  </w:tcBorders>
                  <w:noWrap w:val="0"/>
                  <w:vAlign w:val="center"/>
                </w:tcPr>
                <w:p w14:paraId="338007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1151" w:type="pct"/>
                  <w:tcBorders>
                    <w:tl2br w:val="nil"/>
                    <w:tr2bl w:val="nil"/>
                  </w:tcBorders>
                  <w:noWrap w:val="0"/>
                  <w:vAlign w:val="center"/>
                </w:tcPr>
                <w:p w14:paraId="65DCF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18"/>
                      <w:szCs w:val="18"/>
                      <w:lang w:val="en-US" w:eastAsia="zh-CN"/>
                    </w:rPr>
                  </w:pPr>
                  <w:r>
                    <w:rPr>
                      <w:rFonts w:hint="eastAsia" w:cs="Times New Roman"/>
                      <w:color w:val="000000" w:themeColor="text1"/>
                      <w:sz w:val="18"/>
                      <w:szCs w:val="18"/>
                      <w:lang w:val="en-US" w:eastAsia="zh-CN"/>
                      <w14:textFill>
                        <w14:solidFill>
                          <w14:schemeClr w14:val="tx1"/>
                        </w14:solidFill>
                      </w14:textFill>
                    </w:rPr>
                    <w:t>破碎车间排口</w:t>
                  </w:r>
                </w:p>
              </w:tc>
              <w:tc>
                <w:tcPr>
                  <w:tcW w:w="605" w:type="pct"/>
                  <w:tcBorders>
                    <w:tl2br w:val="nil"/>
                    <w:tr2bl w:val="nil"/>
                  </w:tcBorders>
                  <w:noWrap w:val="0"/>
                  <w:vAlign w:val="center"/>
                </w:tcPr>
                <w:p w14:paraId="18B24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次</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季度</w:t>
                  </w:r>
                </w:p>
              </w:tc>
              <w:tc>
                <w:tcPr>
                  <w:tcW w:w="1961" w:type="pct"/>
                  <w:vMerge w:val="continue"/>
                  <w:tcBorders>
                    <w:tl2br w:val="nil"/>
                    <w:tr2bl w:val="nil"/>
                  </w:tcBorders>
                  <w:noWrap w:val="0"/>
                  <w:vAlign w:val="center"/>
                </w:tcPr>
                <w:p w14:paraId="35663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p>
              </w:tc>
            </w:tr>
            <w:tr w14:paraId="270201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center"/>
                </w:tcPr>
                <w:p w14:paraId="7EFBF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DA006</w:t>
                  </w: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570" w:type="pct"/>
                  <w:tcBorders>
                    <w:tl2br w:val="nil"/>
                    <w:tr2bl w:val="nil"/>
                  </w:tcBorders>
                  <w:noWrap w:val="0"/>
                  <w:vAlign w:val="center"/>
                </w:tcPr>
                <w:p w14:paraId="5BC9E0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1151" w:type="pct"/>
                  <w:tcBorders>
                    <w:tl2br w:val="nil"/>
                    <w:tr2bl w:val="nil"/>
                  </w:tcBorders>
                  <w:noWrap w:val="0"/>
                  <w:vAlign w:val="center"/>
                </w:tcPr>
                <w:p w14:paraId="6CD169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18"/>
                      <w:szCs w:val="18"/>
                      <w:lang w:val="en-US" w:eastAsia="zh-CN"/>
                    </w:rPr>
                  </w:pPr>
                  <w:r>
                    <w:rPr>
                      <w:rFonts w:hint="eastAsia" w:cs="Times New Roman"/>
                      <w:color w:val="000000" w:themeColor="text1"/>
                      <w:sz w:val="18"/>
                      <w:szCs w:val="18"/>
                      <w:lang w:val="en-US" w:eastAsia="zh-CN"/>
                      <w14:textFill>
                        <w14:solidFill>
                          <w14:schemeClr w14:val="tx1"/>
                        </w14:solidFill>
                      </w14:textFill>
                    </w:rPr>
                    <w:t>筛分车间排口</w:t>
                  </w:r>
                </w:p>
              </w:tc>
              <w:tc>
                <w:tcPr>
                  <w:tcW w:w="605" w:type="pct"/>
                  <w:tcBorders>
                    <w:tl2br w:val="nil"/>
                    <w:tr2bl w:val="nil"/>
                  </w:tcBorders>
                  <w:noWrap w:val="0"/>
                  <w:vAlign w:val="center"/>
                </w:tcPr>
                <w:p w14:paraId="4EECD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次</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季度</w:t>
                  </w:r>
                </w:p>
              </w:tc>
              <w:tc>
                <w:tcPr>
                  <w:tcW w:w="1961" w:type="pct"/>
                  <w:vMerge w:val="continue"/>
                  <w:tcBorders>
                    <w:tl2br w:val="nil"/>
                    <w:tr2bl w:val="nil"/>
                  </w:tcBorders>
                  <w:noWrap w:val="0"/>
                  <w:vAlign w:val="center"/>
                </w:tcPr>
                <w:p w14:paraId="46E25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p>
              </w:tc>
            </w:tr>
            <w:tr w14:paraId="7E197A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center"/>
                </w:tcPr>
                <w:p w14:paraId="0F751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w:t>
                  </w:r>
                </w:p>
              </w:tc>
              <w:tc>
                <w:tcPr>
                  <w:tcW w:w="570" w:type="pct"/>
                  <w:tcBorders>
                    <w:tl2br w:val="nil"/>
                    <w:tr2bl w:val="nil"/>
                  </w:tcBorders>
                  <w:noWrap w:val="0"/>
                  <w:vAlign w:val="center"/>
                </w:tcPr>
                <w:p w14:paraId="2676E9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r>
                    <w:rPr>
                      <w:rFonts w:hint="eastAsia" w:cs="Times New Roman"/>
                      <w:color w:val="auto"/>
                      <w:sz w:val="18"/>
                      <w:szCs w:val="18"/>
                      <w:lang w:val="en-US" w:eastAsia="zh-CN"/>
                    </w:rPr>
                    <w:t>、臭气浓度</w:t>
                  </w:r>
                </w:p>
              </w:tc>
              <w:tc>
                <w:tcPr>
                  <w:tcW w:w="1151" w:type="pct"/>
                  <w:tcBorders>
                    <w:tl2br w:val="nil"/>
                    <w:tr2bl w:val="nil"/>
                  </w:tcBorders>
                  <w:noWrap w:val="0"/>
                  <w:vAlign w:val="center"/>
                </w:tcPr>
                <w:p w14:paraId="7673EE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厂界外上风向10m设置一个点，厂界外下风向10m处侧下风向呈扇形共布设3个</w:t>
                  </w:r>
                </w:p>
              </w:tc>
              <w:tc>
                <w:tcPr>
                  <w:tcW w:w="605" w:type="pct"/>
                  <w:tcBorders>
                    <w:tl2br w:val="nil"/>
                    <w:tr2bl w:val="nil"/>
                  </w:tcBorders>
                  <w:noWrap w:val="0"/>
                  <w:vAlign w:val="center"/>
                </w:tcPr>
                <w:p w14:paraId="20825D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1次/</w:t>
                  </w:r>
                  <w:r>
                    <w:rPr>
                      <w:rFonts w:hint="eastAsia" w:cs="Times New Roman"/>
                      <w:color w:val="auto"/>
                      <w:sz w:val="18"/>
                      <w:szCs w:val="18"/>
                      <w:lang w:val="en-US" w:eastAsia="zh-CN"/>
                    </w:rPr>
                    <w:t>季度</w:t>
                  </w:r>
                </w:p>
              </w:tc>
              <w:tc>
                <w:tcPr>
                  <w:tcW w:w="1961" w:type="pct"/>
                  <w:vMerge w:val="continue"/>
                  <w:tcBorders>
                    <w:tl2br w:val="nil"/>
                    <w:tr2bl w:val="nil"/>
                  </w:tcBorders>
                  <w:noWrap w:val="0"/>
                  <w:vAlign w:val="center"/>
                </w:tcPr>
                <w:p w14:paraId="7571E7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p>
              </w:tc>
            </w:tr>
          </w:tbl>
          <w:p w14:paraId="04B4497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1.6</w:t>
            </w:r>
            <w:r>
              <w:rPr>
                <w:rFonts w:hint="default" w:ascii="Times New Roman" w:hAnsi="Times New Roman" w:eastAsia="宋体" w:cs="Times New Roman"/>
                <w:b/>
                <w:color w:val="auto"/>
                <w:sz w:val="24"/>
                <w:lang w:val="en-US" w:eastAsia="zh-CN"/>
              </w:rPr>
              <w:t>排气筒的设置合理性分析</w:t>
            </w:r>
          </w:p>
          <w:p w14:paraId="351A30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根据《铜、镍、钴工业污染物排放标准》（GB</w:t>
            </w:r>
            <w:r>
              <w:rPr>
                <w:rFonts w:hint="eastAsia" w:ascii="Times New Roman" w:hAnsi="Times New Roman" w:cs="Times New Roman"/>
                <w:snapToGrid w:val="0"/>
                <w:color w:val="auto"/>
                <w:kern w:val="0"/>
                <w:sz w:val="24"/>
                <w:highlight w:val="none"/>
                <w:lang w:val="en-US" w:eastAsia="zh-CN"/>
              </w:rPr>
              <w:t>25467</w:t>
            </w:r>
            <w:r>
              <w:rPr>
                <w:rFonts w:hint="default" w:ascii="Times New Roman" w:hAnsi="Times New Roman" w:cs="Times New Roman"/>
                <w:snapToGrid w:val="0"/>
                <w:color w:val="auto"/>
                <w:kern w:val="0"/>
                <w:sz w:val="24"/>
                <w:highlight w:val="none"/>
              </w:rPr>
              <w:t>-</w:t>
            </w:r>
            <w:r>
              <w:rPr>
                <w:rFonts w:hint="eastAsia" w:ascii="Times New Roman" w:hAnsi="Times New Roman" w:cs="Times New Roman"/>
                <w:snapToGrid w:val="0"/>
                <w:color w:val="auto"/>
                <w:kern w:val="0"/>
                <w:sz w:val="24"/>
                <w:highlight w:val="none"/>
                <w:lang w:val="en-US" w:eastAsia="zh-CN"/>
              </w:rPr>
              <w:t>2010</w:t>
            </w:r>
            <w:r>
              <w:rPr>
                <w:rFonts w:hint="default" w:ascii="Times New Roman" w:hAnsi="Times New Roman" w:cs="Times New Roman"/>
                <w:snapToGrid w:val="0"/>
                <w:color w:val="auto"/>
                <w:kern w:val="0"/>
                <w:sz w:val="24"/>
                <w:highlight w:val="none"/>
              </w:rPr>
              <w:t>），</w:t>
            </w:r>
            <w:r>
              <w:rPr>
                <w:rFonts w:hint="eastAsia" w:ascii="Times New Roman" w:hAnsi="Times New Roman" w:cs="Times New Roman"/>
                <w:snapToGrid w:val="0"/>
                <w:color w:val="auto"/>
                <w:kern w:val="0"/>
                <w:sz w:val="24"/>
                <w:highlight w:val="none"/>
                <w:lang w:eastAsia="zh-CN"/>
              </w:rPr>
              <w:t>“</w:t>
            </w:r>
            <w:r>
              <w:rPr>
                <w:rFonts w:hint="default" w:ascii="Times New Roman" w:hAnsi="Times New Roman" w:cs="Times New Roman"/>
                <w:snapToGrid w:val="0"/>
                <w:color w:val="auto"/>
                <w:kern w:val="0"/>
                <w:sz w:val="24"/>
                <w:highlight w:val="none"/>
              </w:rPr>
              <w:t>4.2.6产生大气污染物的生产工艺和装置必须设立局部或整体气体收集系统和集中净化处理装置，净化后的气体由排气筒排放，所有排气筒高度应不低于15m（排放氯气的排气筒高度不得低于25m）。排气筒周围半径200m范围内有建筑物时，排气筒高度还应高出最高建筑物3m以上</w:t>
            </w:r>
            <w:r>
              <w:rPr>
                <w:rFonts w:hint="eastAsia" w:ascii="Times New Roman" w:hAnsi="Times New Roman" w:cs="Times New Roman"/>
                <w:snapToGrid w:val="0"/>
                <w:color w:val="auto"/>
                <w:kern w:val="0"/>
                <w:sz w:val="24"/>
                <w:highlight w:val="none"/>
                <w:lang w:eastAsia="zh-CN"/>
              </w:rPr>
              <w:t>”</w:t>
            </w:r>
            <w:r>
              <w:rPr>
                <w:rFonts w:hint="default" w:ascii="Times New Roman" w:hAnsi="Times New Roman" w:cs="Times New Roman"/>
                <w:snapToGrid w:val="0"/>
                <w:color w:val="auto"/>
                <w:kern w:val="0"/>
                <w:sz w:val="24"/>
                <w:highlight w:val="none"/>
              </w:rPr>
              <w:t>。</w:t>
            </w:r>
          </w:p>
          <w:p w14:paraId="5DCA7C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4"/>
                <w:lang w:val="en-US" w:eastAsia="zh-CN"/>
              </w:rPr>
            </w:pPr>
            <w:r>
              <w:rPr>
                <w:rFonts w:hint="default" w:ascii="Times New Roman" w:hAnsi="Times New Roman" w:cs="Times New Roman"/>
                <w:snapToGrid w:val="0"/>
                <w:color w:val="auto"/>
                <w:kern w:val="0"/>
                <w:sz w:val="24"/>
                <w:highlight w:val="none"/>
              </w:rPr>
              <w:t>根据现场踏勘，项目</w:t>
            </w:r>
            <w:r>
              <w:rPr>
                <w:rFonts w:hint="default" w:ascii="Times New Roman" w:hAnsi="Times New Roman" w:cs="Times New Roman"/>
                <w:snapToGrid w:val="0"/>
                <w:color w:val="auto"/>
                <w:kern w:val="0"/>
                <w:sz w:val="24"/>
                <w:highlight w:val="none"/>
                <w:lang w:val="en-US" w:eastAsia="zh-CN"/>
              </w:rPr>
              <w:t>生产区</w:t>
            </w:r>
            <w:r>
              <w:rPr>
                <w:rFonts w:hint="default" w:ascii="Times New Roman" w:hAnsi="Times New Roman" w:cs="Times New Roman"/>
                <w:snapToGrid w:val="0"/>
                <w:color w:val="auto"/>
                <w:kern w:val="0"/>
                <w:sz w:val="24"/>
                <w:highlight w:val="none"/>
              </w:rPr>
              <w:t>周边200m范围内</w:t>
            </w:r>
            <w:r>
              <w:rPr>
                <w:rFonts w:hint="eastAsia" w:cs="Times New Roman"/>
                <w:snapToGrid w:val="0"/>
                <w:color w:val="auto"/>
                <w:kern w:val="0"/>
                <w:sz w:val="24"/>
                <w:highlight w:val="none"/>
                <w:lang w:val="en-US" w:eastAsia="zh-CN"/>
              </w:rPr>
              <w:t>最高建筑物约12m</w:t>
            </w:r>
            <w:r>
              <w:rPr>
                <w:rFonts w:hint="default" w:ascii="Times New Roman" w:hAnsi="Times New Roman" w:cs="Times New Roman"/>
                <w:snapToGrid w:val="0"/>
                <w:color w:val="auto"/>
                <w:kern w:val="0"/>
                <w:sz w:val="24"/>
                <w:highlight w:val="none"/>
              </w:rPr>
              <w:t>，</w:t>
            </w:r>
            <w:r>
              <w:rPr>
                <w:rFonts w:hint="eastAsia" w:cs="Times New Roman"/>
                <w:snapToGrid w:val="0"/>
                <w:color w:val="auto"/>
                <w:kern w:val="0"/>
                <w:sz w:val="24"/>
                <w:highlight w:val="none"/>
                <w:lang w:val="en-US" w:eastAsia="zh-CN"/>
              </w:rPr>
              <w:t>现有</w:t>
            </w:r>
            <w:r>
              <w:rPr>
                <w:rFonts w:hint="eastAsia" w:ascii="Times New Roman" w:hAnsi="Times New Roman" w:eastAsia="宋体" w:cs="Times New Roman"/>
                <w:snapToGrid w:val="0"/>
                <w:color w:val="auto"/>
                <w:kern w:val="0"/>
                <w:sz w:val="24"/>
                <w:highlight w:val="none"/>
                <w:lang w:val="en-US" w:eastAsia="zh-CN"/>
              </w:rPr>
              <w:t>给料仓排口</w:t>
            </w:r>
            <w:r>
              <w:rPr>
                <w:rFonts w:hint="eastAsia" w:eastAsia="宋体" w:cs="Times New Roman"/>
                <w:snapToGrid w:val="0"/>
                <w:color w:val="auto"/>
                <w:kern w:val="0"/>
                <w:sz w:val="24"/>
                <w:highlight w:val="none"/>
                <w:lang w:val="en-US" w:eastAsia="zh-CN"/>
              </w:rPr>
              <w:t>（DA004）高度为17.5m，破碎车间排口（DA005）高度为17.5m，筛分车间排口（DA006）高度为23.5m，现有3个排口排气筒高度都大于15m，</w:t>
            </w:r>
            <w:r>
              <w:rPr>
                <w:rFonts w:hint="default" w:ascii="Times New Roman" w:hAnsi="Times New Roman" w:cs="Times New Roman"/>
                <w:snapToGrid w:val="0"/>
                <w:color w:val="auto"/>
                <w:kern w:val="0"/>
                <w:sz w:val="24"/>
                <w:highlight w:val="none"/>
              </w:rPr>
              <w:t>因此，项目排气筒高度设置</w:t>
            </w:r>
            <w:r>
              <w:rPr>
                <w:rFonts w:hint="eastAsia" w:ascii="Times New Roman" w:hAnsi="Times New Roman" w:cs="Times New Roman"/>
                <w:snapToGrid w:val="0"/>
                <w:color w:val="auto"/>
                <w:kern w:val="0"/>
                <w:sz w:val="24"/>
                <w:highlight w:val="none"/>
                <w:lang w:val="en-US" w:eastAsia="zh-CN"/>
              </w:rPr>
              <w:t>合理</w:t>
            </w:r>
            <w:r>
              <w:rPr>
                <w:rFonts w:hint="default" w:ascii="Times New Roman" w:hAnsi="Times New Roman" w:cs="Times New Roman"/>
                <w:snapToGrid w:val="0"/>
                <w:color w:val="auto"/>
                <w:kern w:val="0"/>
                <w:sz w:val="24"/>
                <w:highlight w:val="none"/>
              </w:rPr>
              <w:t>。</w:t>
            </w:r>
          </w:p>
          <w:p w14:paraId="73DDEFC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1.</w:t>
            </w:r>
            <w:r>
              <w:rPr>
                <w:rFonts w:hint="eastAsia" w:cs="Times New Roman"/>
                <w:b/>
                <w:color w:val="auto"/>
                <w:sz w:val="24"/>
                <w:lang w:val="en-US" w:eastAsia="zh-CN"/>
              </w:rPr>
              <w:t>7</w:t>
            </w:r>
            <w:r>
              <w:rPr>
                <w:rFonts w:hint="default" w:ascii="Times New Roman" w:hAnsi="Times New Roman" w:cs="Times New Roman"/>
                <w:b/>
                <w:color w:val="auto"/>
                <w:sz w:val="24"/>
              </w:rPr>
              <w:t>非正常排放情况分析</w:t>
            </w:r>
          </w:p>
          <w:p w14:paraId="3A057A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val="en-US" w:eastAsia="zh-CN"/>
              </w:rPr>
              <w:t>上料、破碎、筛分工序产生的</w:t>
            </w:r>
            <w:r>
              <w:rPr>
                <w:rFonts w:hint="default" w:ascii="Times New Roman" w:hAnsi="Times New Roman" w:cs="Times New Roman"/>
                <w:color w:val="auto"/>
                <w:sz w:val="24"/>
                <w:lang w:val="en-US" w:eastAsia="zh-CN"/>
              </w:rPr>
              <w:t>废气治理措施采用</w:t>
            </w:r>
            <w:r>
              <w:rPr>
                <w:rFonts w:hint="default" w:ascii="Times New Roman" w:hAnsi="Times New Roman" w:eastAsia="宋体" w:cs="Times New Roman"/>
                <w:bCs/>
                <w:color w:val="auto"/>
                <w:sz w:val="24"/>
                <w:szCs w:val="24"/>
              </w:rPr>
              <w:t>布袋除尘器</w:t>
            </w:r>
            <w:r>
              <w:rPr>
                <w:rFonts w:hint="default" w:ascii="Times New Roman" w:hAnsi="Times New Roman" w:eastAsia="宋体" w:cs="Times New Roman"/>
                <w:bCs/>
                <w:color w:val="auto"/>
                <w:sz w:val="24"/>
                <w:szCs w:val="24"/>
                <w:lang w:val="en-US" w:eastAsia="zh-CN"/>
              </w:rPr>
              <w:t>除尘，</w:t>
            </w:r>
            <w:r>
              <w:rPr>
                <w:rFonts w:hint="default" w:ascii="Times New Roman" w:hAnsi="Times New Roman" w:cs="Times New Roman"/>
                <w:color w:val="auto"/>
                <w:sz w:val="24"/>
                <w:lang w:val="en-US" w:eastAsia="zh-CN"/>
              </w:rPr>
              <w:t>根据同类工程，</w:t>
            </w:r>
            <w:r>
              <w:rPr>
                <w:rFonts w:hint="default" w:ascii="Times New Roman" w:hAnsi="Times New Roman" w:eastAsia="宋体" w:cs="Times New Roman"/>
                <w:bCs/>
                <w:color w:val="auto"/>
                <w:sz w:val="24"/>
                <w:szCs w:val="24"/>
                <w:lang w:val="en-US" w:eastAsia="zh-CN"/>
              </w:rPr>
              <w:t>本次评价</w:t>
            </w:r>
            <w:r>
              <w:rPr>
                <w:rFonts w:hint="default" w:ascii="Times New Roman" w:hAnsi="Times New Roman" w:cs="Times New Roman"/>
                <w:color w:val="auto"/>
                <w:sz w:val="24"/>
                <w:lang w:val="en-US" w:eastAsia="zh-CN"/>
              </w:rPr>
              <w:t>非正常排放</w:t>
            </w:r>
            <w:r>
              <w:rPr>
                <w:rFonts w:hint="default" w:ascii="Times New Roman" w:hAnsi="Times New Roman" w:eastAsia="宋体" w:cs="Times New Roman"/>
                <w:bCs/>
                <w:color w:val="auto"/>
                <w:sz w:val="24"/>
                <w:szCs w:val="24"/>
                <w:lang w:val="en-US" w:eastAsia="zh-CN"/>
              </w:rPr>
              <w:t>主要考虑因</w:t>
            </w:r>
            <w:r>
              <w:rPr>
                <w:rFonts w:hint="default" w:ascii="Times New Roman" w:hAnsi="Times New Roman" w:eastAsia="宋体" w:cs="Times New Roman"/>
                <w:bCs/>
                <w:color w:val="auto"/>
                <w:sz w:val="24"/>
                <w:szCs w:val="24"/>
              </w:rPr>
              <w:t>布袋除尘器</w:t>
            </w:r>
            <w:r>
              <w:rPr>
                <w:rFonts w:hint="default" w:ascii="Times New Roman" w:hAnsi="Times New Roman" w:eastAsia="宋体" w:cs="Times New Roman"/>
                <w:bCs/>
                <w:color w:val="auto"/>
                <w:sz w:val="24"/>
                <w:szCs w:val="24"/>
                <w:lang w:val="en-US" w:eastAsia="zh-CN"/>
              </w:rPr>
              <w:t>出现故障，而失去处理效率；即整个除尘系统</w:t>
            </w:r>
            <w:r>
              <w:rPr>
                <w:rFonts w:hint="default" w:ascii="Times New Roman" w:hAnsi="Times New Roman" w:cs="Times New Roman"/>
                <w:color w:val="auto"/>
                <w:sz w:val="24"/>
                <w:lang w:val="en-US" w:eastAsia="zh-CN"/>
              </w:rPr>
              <w:t>对颗粒物的去除率由</w:t>
            </w:r>
            <w:r>
              <w:rPr>
                <w:rFonts w:hint="eastAsia" w:cs="Times New Roman"/>
                <w:color w:val="auto"/>
                <w:sz w:val="24"/>
                <w:lang w:val="en-US" w:eastAsia="zh-CN"/>
              </w:rPr>
              <w:t>99</w:t>
            </w:r>
            <w:r>
              <w:rPr>
                <w:rFonts w:hint="default" w:ascii="Times New Roman" w:hAnsi="Times New Roman" w:cs="Times New Roman"/>
                <w:color w:val="auto"/>
                <w:sz w:val="24"/>
                <w:lang w:val="en-US" w:eastAsia="zh-CN"/>
              </w:rPr>
              <w:t>%降至</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。设计的非正常排放情况见表4-</w:t>
            </w:r>
            <w:r>
              <w:rPr>
                <w:rFonts w:hint="eastAsia" w:cs="Times New Roman"/>
                <w:color w:val="auto"/>
                <w:sz w:val="24"/>
                <w:lang w:val="en-US" w:eastAsia="zh-CN"/>
              </w:rPr>
              <w:t>7</w:t>
            </w:r>
            <w:r>
              <w:rPr>
                <w:rFonts w:hint="default" w:ascii="Times New Roman" w:hAnsi="Times New Roman" w:cs="Times New Roman"/>
                <w:color w:val="auto"/>
                <w:sz w:val="24"/>
              </w:rPr>
              <w:t>。</w:t>
            </w:r>
          </w:p>
          <w:p w14:paraId="05F0AFE9">
            <w:pPr>
              <w:pStyle w:val="13"/>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表4-</w:t>
            </w:r>
            <w:r>
              <w:rPr>
                <w:rFonts w:hint="eastAsia" w:ascii="Times New Roman" w:hAnsi="Times New Roman" w:eastAsia="黑体" w:cs="Times New Roman"/>
                <w:color w:val="auto"/>
                <w:sz w:val="21"/>
                <w:szCs w:val="21"/>
                <w:lang w:val="en-US" w:eastAsia="zh-CN"/>
              </w:rPr>
              <w:t>7</w:t>
            </w:r>
            <w:r>
              <w:rPr>
                <w:rFonts w:hint="default" w:ascii="Times New Roman" w:hAnsi="Times New Roman" w:eastAsia="黑体" w:cs="Times New Roman"/>
                <w:color w:val="auto"/>
                <w:sz w:val="21"/>
                <w:szCs w:val="21"/>
              </w:rPr>
              <w:t xml:space="preserve">  废气非正常排放情况</w:t>
            </w:r>
          </w:p>
          <w:tbl>
            <w:tblPr>
              <w:tblStyle w:val="2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239"/>
              <w:gridCol w:w="523"/>
              <w:gridCol w:w="743"/>
              <w:gridCol w:w="805"/>
              <w:gridCol w:w="805"/>
              <w:gridCol w:w="805"/>
              <w:gridCol w:w="1055"/>
              <w:gridCol w:w="666"/>
            </w:tblGrid>
            <w:tr w14:paraId="681BF6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tcBorders>
                    <w:tl2br w:val="nil"/>
                    <w:tr2bl w:val="nil"/>
                  </w:tcBorders>
                  <w:noWrap w:val="0"/>
                  <w:vAlign w:val="center"/>
                </w:tcPr>
                <w:p w14:paraId="38001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非正常排放源</w:t>
                  </w:r>
                </w:p>
              </w:tc>
              <w:tc>
                <w:tcPr>
                  <w:tcW w:w="823" w:type="pct"/>
                  <w:tcBorders>
                    <w:tl2br w:val="nil"/>
                    <w:tr2bl w:val="nil"/>
                  </w:tcBorders>
                  <w:noWrap w:val="0"/>
                  <w:vAlign w:val="center"/>
                </w:tcPr>
                <w:p w14:paraId="447B0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非正常排放原因</w:t>
                  </w:r>
                </w:p>
              </w:tc>
              <w:tc>
                <w:tcPr>
                  <w:tcW w:w="361" w:type="pct"/>
                  <w:tcBorders>
                    <w:tl2br w:val="nil"/>
                    <w:tr2bl w:val="nil"/>
                  </w:tcBorders>
                  <w:noWrap w:val="0"/>
                  <w:vAlign w:val="center"/>
                </w:tcPr>
                <w:p w14:paraId="5B9824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w:t>
                  </w:r>
                </w:p>
              </w:tc>
              <w:tc>
                <w:tcPr>
                  <w:tcW w:w="503" w:type="pct"/>
                  <w:tcBorders>
                    <w:tl2br w:val="nil"/>
                    <w:tr2bl w:val="nil"/>
                  </w:tcBorders>
                  <w:noWrap w:val="0"/>
                  <w:vAlign w:val="center"/>
                </w:tcPr>
                <w:p w14:paraId="65719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频次</w:t>
                  </w:r>
                </w:p>
              </w:tc>
              <w:tc>
                <w:tcPr>
                  <w:tcW w:w="543" w:type="pct"/>
                  <w:tcBorders>
                    <w:tl2br w:val="nil"/>
                    <w:tr2bl w:val="nil"/>
                  </w:tcBorders>
                  <w:noWrap w:val="0"/>
                  <w:vAlign w:val="center"/>
                </w:tcPr>
                <w:p w14:paraId="1E3926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去除效率（%）</w:t>
                  </w:r>
                </w:p>
              </w:tc>
              <w:tc>
                <w:tcPr>
                  <w:tcW w:w="543" w:type="pct"/>
                  <w:tcBorders>
                    <w:tl2br w:val="nil"/>
                    <w:tr2bl w:val="nil"/>
                  </w:tcBorders>
                  <w:noWrap w:val="0"/>
                  <w:vAlign w:val="center"/>
                </w:tcPr>
                <w:p w14:paraId="7C85A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产生量</w:t>
                  </w:r>
                  <w:r>
                    <w:rPr>
                      <w:rFonts w:hint="default" w:ascii="Times New Roman" w:hAnsi="Times New Roman" w:eastAsia="宋体" w:cs="Times New Roman"/>
                      <w:color w:val="auto"/>
                      <w:sz w:val="18"/>
                      <w:szCs w:val="18"/>
                    </w:rPr>
                    <w:t>（t/a）</w:t>
                  </w:r>
                </w:p>
              </w:tc>
              <w:tc>
                <w:tcPr>
                  <w:tcW w:w="543" w:type="pct"/>
                  <w:tcBorders>
                    <w:tl2br w:val="nil"/>
                    <w:tr2bl w:val="nil"/>
                  </w:tcBorders>
                  <w:noWrap w:val="0"/>
                  <w:vAlign w:val="center"/>
                </w:tcPr>
                <w:p w14:paraId="76867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排放量（t/a）</w:t>
                  </w:r>
                </w:p>
              </w:tc>
              <w:tc>
                <w:tcPr>
                  <w:tcW w:w="663" w:type="pct"/>
                  <w:tcBorders>
                    <w:tl2br w:val="nil"/>
                    <w:tr2bl w:val="nil"/>
                  </w:tcBorders>
                  <w:noWrap w:val="0"/>
                  <w:vAlign w:val="center"/>
                </w:tcPr>
                <w:p w14:paraId="3880C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0032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持续时间（h）</w:t>
                  </w:r>
                </w:p>
              </w:tc>
            </w:tr>
            <w:tr w14:paraId="37BB7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tcBorders>
                    <w:tl2br w:val="nil"/>
                    <w:tr2bl w:val="nil"/>
                  </w:tcBorders>
                  <w:noWrap w:val="0"/>
                  <w:vAlign w:val="center"/>
                </w:tcPr>
                <w:p w14:paraId="5A1296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000000" w:themeColor="text1"/>
                      <w:sz w:val="18"/>
                      <w:szCs w:val="18"/>
                      <w:lang w:val="en-US" w:eastAsia="zh-CN"/>
                      <w14:textFill>
                        <w14:solidFill>
                          <w14:schemeClr w14:val="tx1"/>
                        </w14:solidFill>
                      </w14:textFill>
                    </w:rPr>
                    <w:t>给料仓排口</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（DA00</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p>
              </w:tc>
              <w:tc>
                <w:tcPr>
                  <w:tcW w:w="823" w:type="pct"/>
                  <w:vMerge w:val="restart"/>
                  <w:tcBorders>
                    <w:tl2br w:val="nil"/>
                    <w:tr2bl w:val="nil"/>
                  </w:tcBorders>
                  <w:noWrap w:val="0"/>
                  <w:vAlign w:val="center"/>
                </w:tcPr>
                <w:p w14:paraId="3E783E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布</w:t>
                  </w:r>
                  <w:r>
                    <w:rPr>
                      <w:rFonts w:hint="default" w:ascii="Times New Roman" w:hAnsi="Times New Roman" w:eastAsia="宋体" w:cs="Times New Roman"/>
                      <w:bCs/>
                      <w:color w:val="auto"/>
                      <w:sz w:val="18"/>
                      <w:szCs w:val="18"/>
                    </w:rPr>
                    <w:t>袋除尘器</w:t>
                  </w:r>
                  <w:r>
                    <w:rPr>
                      <w:rFonts w:hint="default" w:ascii="Times New Roman" w:hAnsi="Times New Roman" w:eastAsia="宋体" w:cs="Times New Roman"/>
                      <w:bCs/>
                      <w:color w:val="auto"/>
                      <w:sz w:val="18"/>
                      <w:szCs w:val="18"/>
                      <w:lang w:val="en-US" w:eastAsia="zh-CN"/>
                    </w:rPr>
                    <w:t>出现故障，而失去处理效率；即整个除尘系统</w:t>
                  </w:r>
                  <w:r>
                    <w:rPr>
                      <w:rFonts w:hint="default" w:ascii="Times New Roman" w:hAnsi="Times New Roman" w:eastAsia="宋体" w:cs="Times New Roman"/>
                      <w:color w:val="auto"/>
                      <w:sz w:val="18"/>
                      <w:szCs w:val="18"/>
                      <w:lang w:val="en-US" w:eastAsia="zh-CN"/>
                    </w:rPr>
                    <w:t>对颗粒物的去除率由</w:t>
                  </w:r>
                  <w:r>
                    <w:rPr>
                      <w:rFonts w:hint="eastAsia" w:cs="Times New Roman"/>
                      <w:color w:val="auto"/>
                      <w:sz w:val="18"/>
                      <w:szCs w:val="18"/>
                      <w:lang w:val="en-US" w:eastAsia="zh-CN"/>
                    </w:rPr>
                    <w:t>99</w:t>
                  </w:r>
                  <w:r>
                    <w:rPr>
                      <w:rFonts w:hint="default" w:ascii="Times New Roman" w:hAnsi="Times New Roman" w:eastAsia="宋体" w:cs="Times New Roman"/>
                      <w:color w:val="auto"/>
                      <w:sz w:val="18"/>
                      <w:szCs w:val="18"/>
                      <w:lang w:val="en-US" w:eastAsia="zh-CN"/>
                    </w:rPr>
                    <w:t>%降至</w:t>
                  </w:r>
                  <w:r>
                    <w:rPr>
                      <w:rFonts w:hint="eastAsia" w:ascii="Times New Roman" w:hAnsi="Times New Roman" w:eastAsia="宋体" w:cs="Times New Roman"/>
                      <w:color w:val="auto"/>
                      <w:sz w:val="18"/>
                      <w:szCs w:val="18"/>
                      <w:lang w:val="en-US" w:eastAsia="zh-CN"/>
                    </w:rPr>
                    <w:t>50</w:t>
                  </w:r>
                  <w:r>
                    <w:rPr>
                      <w:rFonts w:hint="default" w:ascii="Times New Roman" w:hAnsi="Times New Roman" w:eastAsia="宋体" w:cs="Times New Roman"/>
                      <w:color w:val="auto"/>
                      <w:sz w:val="18"/>
                      <w:szCs w:val="18"/>
                      <w:lang w:val="en-US" w:eastAsia="zh-CN"/>
                    </w:rPr>
                    <w:t>%</w:t>
                  </w:r>
                </w:p>
              </w:tc>
              <w:tc>
                <w:tcPr>
                  <w:tcW w:w="361" w:type="pct"/>
                  <w:vMerge w:val="restart"/>
                  <w:tcBorders>
                    <w:tl2br w:val="nil"/>
                    <w:tr2bl w:val="nil"/>
                  </w:tcBorders>
                  <w:noWrap w:val="0"/>
                  <w:vAlign w:val="center"/>
                </w:tcPr>
                <w:p w14:paraId="63DE35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颗粒物</w:t>
                  </w:r>
                </w:p>
              </w:tc>
              <w:tc>
                <w:tcPr>
                  <w:tcW w:w="503" w:type="pct"/>
                  <w:vMerge w:val="restart"/>
                  <w:tcBorders>
                    <w:tl2br w:val="nil"/>
                    <w:tr2bl w:val="nil"/>
                  </w:tcBorders>
                  <w:noWrap w:val="0"/>
                  <w:vAlign w:val="center"/>
                </w:tcPr>
                <w:p w14:paraId="4DA0AC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1次/年</w:t>
                  </w:r>
                </w:p>
              </w:tc>
              <w:tc>
                <w:tcPr>
                  <w:tcW w:w="543" w:type="pct"/>
                  <w:vMerge w:val="restart"/>
                  <w:tcBorders>
                    <w:tl2br w:val="nil"/>
                    <w:tr2bl w:val="nil"/>
                  </w:tcBorders>
                  <w:noWrap w:val="0"/>
                  <w:vAlign w:val="center"/>
                </w:tcPr>
                <w:p w14:paraId="32250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543" w:type="pct"/>
                  <w:tcBorders>
                    <w:tl2br w:val="nil"/>
                    <w:tr2bl w:val="nil"/>
                  </w:tcBorders>
                  <w:noWrap w:val="0"/>
                  <w:vAlign w:val="center"/>
                </w:tcPr>
                <w:p w14:paraId="4B2AC5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79.07</w:t>
                  </w:r>
                </w:p>
              </w:tc>
              <w:tc>
                <w:tcPr>
                  <w:tcW w:w="543" w:type="pct"/>
                  <w:tcBorders>
                    <w:tl2br w:val="nil"/>
                    <w:tr2bl w:val="nil"/>
                  </w:tcBorders>
                  <w:noWrap w:val="0"/>
                  <w:vAlign w:val="center"/>
                </w:tcPr>
                <w:p w14:paraId="64179E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33.60</w:t>
                  </w:r>
                </w:p>
              </w:tc>
              <w:tc>
                <w:tcPr>
                  <w:tcW w:w="663" w:type="pct"/>
                  <w:tcBorders>
                    <w:tl2br w:val="nil"/>
                    <w:tr2bl w:val="nil"/>
                  </w:tcBorders>
                  <w:noWrap w:val="0"/>
                  <w:vAlign w:val="center"/>
                </w:tcPr>
                <w:p w14:paraId="527A76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198.75</w:t>
                  </w:r>
                </w:p>
              </w:tc>
              <w:tc>
                <w:tcPr>
                  <w:tcW w:w="426" w:type="pct"/>
                  <w:tcBorders>
                    <w:tl2br w:val="nil"/>
                    <w:tr2bl w:val="nil"/>
                  </w:tcBorders>
                  <w:noWrap w:val="0"/>
                  <w:vAlign w:val="center"/>
                </w:tcPr>
                <w:p w14:paraId="1F86C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w:t>
                  </w:r>
                </w:p>
              </w:tc>
            </w:tr>
            <w:tr w14:paraId="2B2698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tcBorders>
                    <w:tl2br w:val="nil"/>
                    <w:tr2bl w:val="nil"/>
                  </w:tcBorders>
                  <w:noWrap w:val="0"/>
                  <w:vAlign w:val="center"/>
                </w:tcPr>
                <w:p w14:paraId="6BE54B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破碎车间排</w:t>
                  </w:r>
                  <w:r>
                    <w:rPr>
                      <w:rFonts w:hint="eastAsia" w:ascii="Times New Roman" w:hAnsi="Times New Roman" w:cs="Times New Roman"/>
                      <w:color w:val="000000" w:themeColor="text1"/>
                      <w:sz w:val="18"/>
                      <w:szCs w:val="18"/>
                      <w:lang w:val="en-US" w:eastAsia="zh-CN"/>
                      <w14:textFill>
                        <w14:solidFill>
                          <w14:schemeClr w14:val="tx1"/>
                        </w14:solidFill>
                      </w14:textFill>
                    </w:rPr>
                    <w:t>口（</w:t>
                  </w:r>
                  <w:r>
                    <w:rPr>
                      <w:rFonts w:hint="eastAsia" w:cs="Times New Roman"/>
                      <w:color w:val="000000" w:themeColor="text1"/>
                      <w:sz w:val="18"/>
                      <w:szCs w:val="18"/>
                      <w:lang w:val="en-US" w:eastAsia="zh-CN"/>
                      <w14:textFill>
                        <w14:solidFill>
                          <w14:schemeClr w14:val="tx1"/>
                        </w14:solidFill>
                      </w14:textFill>
                    </w:rPr>
                    <w:t>DA005</w:t>
                  </w: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823" w:type="pct"/>
                  <w:vMerge w:val="continue"/>
                  <w:tcBorders>
                    <w:tl2br w:val="nil"/>
                    <w:tr2bl w:val="nil"/>
                  </w:tcBorders>
                  <w:noWrap w:val="0"/>
                  <w:vAlign w:val="center"/>
                </w:tcPr>
                <w:p w14:paraId="383770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18"/>
                      <w:szCs w:val="18"/>
                      <w:lang w:val="en-US" w:eastAsia="zh-CN"/>
                    </w:rPr>
                  </w:pPr>
                </w:p>
              </w:tc>
              <w:tc>
                <w:tcPr>
                  <w:tcW w:w="361" w:type="pct"/>
                  <w:vMerge w:val="continue"/>
                  <w:tcBorders>
                    <w:tl2br w:val="nil"/>
                    <w:tr2bl w:val="nil"/>
                  </w:tcBorders>
                  <w:noWrap w:val="0"/>
                  <w:vAlign w:val="center"/>
                </w:tcPr>
                <w:p w14:paraId="2B3D3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503" w:type="pct"/>
                  <w:vMerge w:val="continue"/>
                  <w:tcBorders>
                    <w:tl2br w:val="nil"/>
                    <w:tr2bl w:val="nil"/>
                  </w:tcBorders>
                  <w:noWrap w:val="0"/>
                  <w:vAlign w:val="center"/>
                </w:tcPr>
                <w:p w14:paraId="669B4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543" w:type="pct"/>
                  <w:vMerge w:val="continue"/>
                  <w:tcBorders>
                    <w:tl2br w:val="nil"/>
                    <w:tr2bl w:val="nil"/>
                  </w:tcBorders>
                  <w:noWrap w:val="0"/>
                  <w:vAlign w:val="center"/>
                </w:tcPr>
                <w:p w14:paraId="7EF993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543" w:type="pct"/>
                  <w:tcBorders>
                    <w:tl2br w:val="nil"/>
                    <w:tr2bl w:val="nil"/>
                  </w:tcBorders>
                  <w:noWrap w:val="0"/>
                  <w:vAlign w:val="center"/>
                </w:tcPr>
                <w:p w14:paraId="54AB4C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145.65</w:t>
                  </w:r>
                </w:p>
              </w:tc>
              <w:tc>
                <w:tcPr>
                  <w:tcW w:w="543" w:type="pct"/>
                  <w:tcBorders>
                    <w:tl2br w:val="nil"/>
                    <w:tr2bl w:val="nil"/>
                  </w:tcBorders>
                  <w:noWrap w:val="0"/>
                  <w:vAlign w:val="center"/>
                </w:tcPr>
                <w:p w14:paraId="29965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61.90</w:t>
                  </w:r>
                </w:p>
              </w:tc>
              <w:tc>
                <w:tcPr>
                  <w:tcW w:w="663" w:type="pct"/>
                  <w:tcBorders>
                    <w:tl2br w:val="nil"/>
                    <w:tr2bl w:val="nil"/>
                  </w:tcBorders>
                  <w:noWrap w:val="0"/>
                  <w:vAlign w:val="center"/>
                </w:tcPr>
                <w:p w14:paraId="173793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239.18</w:t>
                  </w:r>
                </w:p>
              </w:tc>
              <w:tc>
                <w:tcPr>
                  <w:tcW w:w="426" w:type="pct"/>
                  <w:tcBorders>
                    <w:tl2br w:val="nil"/>
                    <w:tr2bl w:val="nil"/>
                  </w:tcBorders>
                  <w:noWrap w:val="0"/>
                  <w:vAlign w:val="center"/>
                </w:tcPr>
                <w:p w14:paraId="5C243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r>
            <w:tr w14:paraId="3536EB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tcBorders>
                    <w:tl2br w:val="nil"/>
                    <w:tr2bl w:val="nil"/>
                  </w:tcBorders>
                  <w:noWrap w:val="0"/>
                  <w:vAlign w:val="center"/>
                </w:tcPr>
                <w:p w14:paraId="71283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筛分车间排口</w:t>
                  </w:r>
                  <w:r>
                    <w:rPr>
                      <w:rFonts w:hint="eastAsia" w:ascii="Times New Roman" w:hAnsi="Times New Roman" w:cs="Times New Roman"/>
                      <w:color w:val="000000" w:themeColor="text1"/>
                      <w:sz w:val="18"/>
                      <w:szCs w:val="18"/>
                      <w:lang w:val="en-US" w:eastAsia="zh-CN"/>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DA006</w:t>
                  </w: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823" w:type="pct"/>
                  <w:vMerge w:val="continue"/>
                  <w:tcBorders>
                    <w:tl2br w:val="nil"/>
                    <w:tr2bl w:val="nil"/>
                  </w:tcBorders>
                  <w:noWrap w:val="0"/>
                  <w:vAlign w:val="center"/>
                </w:tcPr>
                <w:p w14:paraId="68B5E1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18"/>
                      <w:szCs w:val="18"/>
                      <w:lang w:val="en-US" w:eastAsia="zh-CN"/>
                    </w:rPr>
                  </w:pPr>
                </w:p>
              </w:tc>
              <w:tc>
                <w:tcPr>
                  <w:tcW w:w="361" w:type="pct"/>
                  <w:vMerge w:val="continue"/>
                  <w:tcBorders>
                    <w:tl2br w:val="nil"/>
                    <w:tr2bl w:val="nil"/>
                  </w:tcBorders>
                  <w:noWrap w:val="0"/>
                  <w:vAlign w:val="center"/>
                </w:tcPr>
                <w:p w14:paraId="46E400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503" w:type="pct"/>
                  <w:vMerge w:val="continue"/>
                  <w:tcBorders>
                    <w:tl2br w:val="nil"/>
                    <w:tr2bl w:val="nil"/>
                  </w:tcBorders>
                  <w:noWrap w:val="0"/>
                  <w:vAlign w:val="center"/>
                </w:tcPr>
                <w:p w14:paraId="46F86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543" w:type="pct"/>
                  <w:vMerge w:val="continue"/>
                  <w:tcBorders>
                    <w:tl2br w:val="nil"/>
                    <w:tr2bl w:val="nil"/>
                  </w:tcBorders>
                  <w:noWrap w:val="0"/>
                  <w:vAlign w:val="center"/>
                </w:tcPr>
                <w:p w14:paraId="1C712F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543" w:type="pct"/>
                  <w:tcBorders>
                    <w:tl2br w:val="nil"/>
                    <w:tr2bl w:val="nil"/>
                  </w:tcBorders>
                  <w:noWrap w:val="0"/>
                  <w:vAlign w:val="center"/>
                </w:tcPr>
                <w:p w14:paraId="00A668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145.88</w:t>
                  </w:r>
                </w:p>
              </w:tc>
              <w:tc>
                <w:tcPr>
                  <w:tcW w:w="543" w:type="pct"/>
                  <w:tcBorders>
                    <w:tl2br w:val="nil"/>
                    <w:tr2bl w:val="nil"/>
                  </w:tcBorders>
                  <w:noWrap w:val="0"/>
                  <w:vAlign w:val="center"/>
                </w:tcPr>
                <w:p w14:paraId="24F131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366.88</w:t>
                  </w:r>
                </w:p>
              </w:tc>
              <w:tc>
                <w:tcPr>
                  <w:tcW w:w="663" w:type="pct"/>
                  <w:tcBorders>
                    <w:tl2br w:val="nil"/>
                    <w:tr2bl w:val="nil"/>
                  </w:tcBorders>
                  <w:noWrap w:val="0"/>
                  <w:vAlign w:val="center"/>
                </w:tcPr>
                <w:p w14:paraId="5E10DD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144.76</w:t>
                  </w:r>
                </w:p>
              </w:tc>
              <w:tc>
                <w:tcPr>
                  <w:tcW w:w="426" w:type="pct"/>
                  <w:tcBorders>
                    <w:tl2br w:val="nil"/>
                    <w:tr2bl w:val="nil"/>
                  </w:tcBorders>
                  <w:noWrap w:val="0"/>
                  <w:vAlign w:val="center"/>
                </w:tcPr>
                <w:p w14:paraId="6F678C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0.5</w:t>
                  </w:r>
                </w:p>
              </w:tc>
            </w:tr>
          </w:tbl>
          <w:p w14:paraId="289DDBE0">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4"/>
              </w:rPr>
              <w:t>项目在非正常排放情况下的</w:t>
            </w:r>
            <w:r>
              <w:rPr>
                <w:rFonts w:hint="default" w:ascii="Times New Roman" w:hAnsi="Times New Roman" w:cs="Times New Roman"/>
                <w:color w:val="auto"/>
                <w:sz w:val="24"/>
                <w:szCs w:val="24"/>
                <w:lang w:val="en-US" w:eastAsia="zh-CN"/>
              </w:rPr>
              <w:t>排放速率、排放浓度</w:t>
            </w:r>
            <w:r>
              <w:rPr>
                <w:rFonts w:hint="default" w:ascii="Times New Roman" w:hAnsi="Times New Roman" w:cs="Times New Roman"/>
                <w:color w:val="auto"/>
                <w:sz w:val="24"/>
                <w:szCs w:val="24"/>
              </w:rPr>
              <w:t>均比正常排放情况下的</w:t>
            </w:r>
            <w:r>
              <w:rPr>
                <w:rFonts w:hint="default" w:ascii="Times New Roman" w:hAnsi="Times New Roman" w:cs="Times New Roman"/>
                <w:color w:val="auto"/>
                <w:sz w:val="24"/>
                <w:szCs w:val="24"/>
                <w:lang w:val="en-US" w:eastAsia="zh-CN"/>
              </w:rPr>
              <w:t>排放速率大，因此，</w:t>
            </w:r>
            <w:r>
              <w:rPr>
                <w:rFonts w:hint="default" w:ascii="Times New Roman" w:hAnsi="Times New Roman" w:cs="Times New Roman"/>
                <w:color w:val="auto"/>
                <w:sz w:val="24"/>
                <w:szCs w:val="24"/>
              </w:rPr>
              <w:t>本</w:t>
            </w:r>
            <w:r>
              <w:rPr>
                <w:rFonts w:hint="default" w:ascii="Times New Roman" w:hAnsi="Times New Roman" w:cs="Times New Roman"/>
                <w:color w:val="auto"/>
                <w:sz w:val="24"/>
              </w:rPr>
              <w:t>次环评提出如下措施：</w:t>
            </w:r>
          </w:p>
          <w:p w14:paraId="39733CEB">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（1）定期对员工进行培训，确保操作工人熟悉项目的生产工艺、设备，避免因操作不当引发非正常情况的发生。</w:t>
            </w:r>
          </w:p>
          <w:p w14:paraId="368B0338">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（2）定期对废气处理设施检修，维护设备正常运行，降低废气处理装置出现非正常工作情况的概率。</w:t>
            </w:r>
          </w:p>
          <w:p w14:paraId="41DFDB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宋体"/>
                <w:b w:val="0"/>
                <w:bCs w:val="0"/>
                <w:color w:val="auto"/>
                <w:kern w:val="21"/>
                <w:sz w:val="21"/>
                <w:szCs w:val="21"/>
                <w:lang w:val="en-US" w:eastAsia="zh-CN" w:bidi="ar-SA"/>
              </w:rPr>
            </w:pPr>
            <w:r>
              <w:rPr>
                <w:rFonts w:hint="default" w:ascii="Times New Roman" w:hAnsi="Times New Roman" w:eastAsia="宋体" w:cs="Times New Roman"/>
                <w:color w:val="auto"/>
                <w:sz w:val="24"/>
                <w:szCs w:val="24"/>
              </w:rPr>
              <w:t>（3）制定事故处理应急计划，建立事故处理机构，落实各岗位、各操作管理人员的责任，一旦发生事故，及时采取处理措施并通知相关人员在最短时间内</w:t>
            </w:r>
            <w:r>
              <w:rPr>
                <w:rFonts w:hint="eastAsia" w:ascii="Times New Roman" w:hAnsi="Times New Roman" w:cs="Times New Roman"/>
                <w:color w:val="auto"/>
                <w:sz w:val="24"/>
                <w:szCs w:val="24"/>
                <w:lang w:val="en-US" w:eastAsia="zh-CN"/>
              </w:rPr>
              <w:t>排除</w:t>
            </w:r>
            <w:r>
              <w:rPr>
                <w:rFonts w:hint="default" w:ascii="Times New Roman" w:hAnsi="Times New Roman" w:eastAsia="宋体" w:cs="Times New Roman"/>
                <w:color w:val="auto"/>
                <w:sz w:val="24"/>
                <w:szCs w:val="24"/>
              </w:rPr>
              <w:t>故障。</w:t>
            </w:r>
          </w:p>
          <w:p w14:paraId="4F480894">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1.</w:t>
            </w:r>
            <w:r>
              <w:rPr>
                <w:rFonts w:hint="eastAsia" w:cs="Times New Roman"/>
                <w:b/>
                <w:color w:val="auto"/>
                <w:sz w:val="24"/>
                <w:lang w:val="en-US" w:eastAsia="zh-CN"/>
              </w:rPr>
              <w:t>8</w:t>
            </w:r>
            <w:r>
              <w:rPr>
                <w:rFonts w:hint="default" w:ascii="Times New Roman" w:hAnsi="Times New Roman" w:cs="Times New Roman"/>
                <w:b/>
                <w:color w:val="auto"/>
                <w:sz w:val="24"/>
              </w:rPr>
              <w:t>总结</w:t>
            </w:r>
          </w:p>
          <w:p w14:paraId="478DB373">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综上分析，项目位于</w:t>
            </w:r>
            <w:r>
              <w:rPr>
                <w:rFonts w:hint="eastAsia" w:ascii="Times New Roman" w:hAnsi="Times New Roman" w:cs="Times New Roman"/>
                <w:color w:val="auto"/>
                <w:sz w:val="24"/>
                <w:lang w:val="en-US" w:eastAsia="zh-CN"/>
              </w:rPr>
              <w:t>云南易门产业园区大椿树片区</w:t>
            </w:r>
            <w:r>
              <w:rPr>
                <w:rFonts w:hint="default" w:ascii="Times New Roman" w:hAnsi="Times New Roman" w:eastAsia="宋体" w:cs="Times New Roman"/>
                <w:color w:val="auto"/>
                <w:sz w:val="24"/>
                <w:lang w:val="en-US" w:eastAsia="zh-CN"/>
              </w:rPr>
              <w:t>，在项目周边500m范围</w:t>
            </w:r>
            <w:r>
              <w:rPr>
                <w:rFonts w:hint="eastAsia" w:ascii="Times New Roman" w:hAnsi="Times New Roman" w:cs="Times New Roman"/>
                <w:color w:val="auto"/>
                <w:sz w:val="24"/>
                <w:lang w:val="en-US" w:eastAsia="zh-CN"/>
              </w:rPr>
              <w:t>无关心点</w:t>
            </w:r>
            <w:r>
              <w:rPr>
                <w:rFonts w:hint="default" w:ascii="Times New Roman" w:hAnsi="Times New Roman" w:eastAsia="宋体" w:cs="Times New Roman"/>
                <w:color w:val="auto"/>
                <w:sz w:val="24"/>
                <w:lang w:val="en-US" w:eastAsia="zh-CN"/>
              </w:rPr>
              <w:t>，同时根据项目周边大气现状的调查，项目周边的大气环境属于达标区，况且本项目排放的大气再严格落实各项控制措施后，均可做到达标排放</w:t>
            </w:r>
            <w:r>
              <w:rPr>
                <w:rFonts w:hint="default" w:ascii="Times New Roman" w:hAnsi="Times New Roman" w:cs="Times New Roman"/>
                <w:color w:val="auto"/>
                <w:sz w:val="24"/>
              </w:rPr>
              <w:t>，对周边环境的影响可以接受。</w:t>
            </w:r>
          </w:p>
          <w:p w14:paraId="1639248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废水</w:t>
            </w:r>
          </w:p>
          <w:p w14:paraId="15DBE14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lang w:val="en-US" w:eastAsia="zh-CN"/>
              </w:rPr>
            </w:pPr>
            <w:r>
              <w:rPr>
                <w:rFonts w:hint="default" w:ascii="Times New Roman" w:hAnsi="Times New Roman" w:eastAsia="宋体" w:cs="Times New Roman"/>
                <w:b/>
                <w:bCs/>
                <w:color w:val="auto"/>
                <w:sz w:val="24"/>
              </w:rPr>
              <w:t>2.1</w:t>
            </w:r>
            <w:r>
              <w:rPr>
                <w:rFonts w:hint="eastAsia" w:cs="Times New Roman"/>
                <w:b/>
                <w:bCs/>
                <w:color w:val="auto"/>
                <w:sz w:val="24"/>
                <w:lang w:val="en-US" w:eastAsia="zh-CN"/>
              </w:rPr>
              <w:t>废水源强核算</w:t>
            </w:r>
          </w:p>
          <w:p w14:paraId="079DCA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本项目不新增劳动定员，因此不额外增加生活用排水，产生的废水均为生产废水；易门铜业有限公司厂区现有比较完善的供水、排水系统及消防给水系统。厂区采用“雨污分流”、“清污分流”的排水体制。</w:t>
            </w:r>
          </w:p>
          <w:p w14:paraId="4DADBB79">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（1）磨浮用水</w:t>
            </w:r>
          </w:p>
          <w:p w14:paraId="11A53A7B">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根据项目资料，项目磨矿工段和浮选工段用水总量为7444.76m³/d，其中，工艺回水量为7151m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/d，铜</w:t>
            </w:r>
            <w:r>
              <w:rPr>
                <w:rFonts w:hint="eastAsia"/>
                <w:sz w:val="24"/>
                <w:szCs w:val="24"/>
              </w:rPr>
              <w:t>精矿浓缩厂前回水量</w:t>
            </w:r>
            <w:r>
              <w:rPr>
                <w:rFonts w:hint="eastAsia"/>
                <w:sz w:val="24"/>
                <w:szCs w:val="24"/>
                <w:lang w:val="en-US" w:eastAsia="zh-CN"/>
              </w:rPr>
              <w:t>897</w:t>
            </w:r>
            <w:r>
              <w:rPr>
                <w:rFonts w:hint="eastAsia"/>
                <w:sz w:val="24"/>
                <w:szCs w:val="24"/>
              </w:rPr>
              <w:t>m</w:t>
            </w:r>
            <w:r>
              <w:rPr>
                <w:rFonts w:hint="eastAsia"/>
                <w:sz w:val="24"/>
                <w:szCs w:val="24"/>
                <w:vertAlign w:val="superscript"/>
              </w:rPr>
              <w:t>3</w:t>
            </w:r>
            <w:r>
              <w:rPr>
                <w:rFonts w:hint="eastAsia"/>
                <w:sz w:val="24"/>
                <w:szCs w:val="24"/>
              </w:rPr>
              <w:t>/d，</w:t>
            </w:r>
            <w:r>
              <w:rPr>
                <w:rFonts w:hint="eastAsia" w:cs="Times New Roman"/>
                <w:color w:val="auto"/>
                <w:kern w:val="0"/>
                <w:sz w:val="24"/>
                <w:szCs w:val="24"/>
                <w:highlight w:val="none"/>
                <w:lang w:val="en-US" w:eastAsia="zh-CN"/>
              </w:rPr>
              <w:t>铁</w:t>
            </w:r>
            <w:r>
              <w:rPr>
                <w:rFonts w:hint="eastAsia"/>
                <w:sz w:val="24"/>
                <w:szCs w:val="24"/>
              </w:rPr>
              <w:t>精矿浓缩厂前回水量</w:t>
            </w:r>
            <w:r>
              <w:rPr>
                <w:rFonts w:hint="eastAsia"/>
                <w:sz w:val="24"/>
                <w:szCs w:val="24"/>
                <w:lang w:val="en-US" w:eastAsia="zh-CN"/>
              </w:rPr>
              <w:t>1285</w:t>
            </w:r>
            <w:r>
              <w:rPr>
                <w:rFonts w:hint="eastAsia"/>
                <w:sz w:val="24"/>
                <w:szCs w:val="24"/>
              </w:rPr>
              <w:t>m</w:t>
            </w:r>
            <w:r>
              <w:rPr>
                <w:rFonts w:hint="eastAsia"/>
                <w:sz w:val="24"/>
                <w:szCs w:val="24"/>
                <w:vertAlign w:val="superscript"/>
              </w:rPr>
              <w:t>3</w:t>
            </w:r>
            <w:r>
              <w:rPr>
                <w:rFonts w:hint="eastAsia"/>
                <w:sz w:val="24"/>
                <w:szCs w:val="24"/>
              </w:rPr>
              <w:t>/d，尾矿浓缩厂前回水量4969m</w:t>
            </w:r>
            <w:r>
              <w:rPr>
                <w:rFonts w:hint="eastAsia"/>
                <w:sz w:val="24"/>
                <w:szCs w:val="24"/>
                <w:vertAlign w:val="superscript"/>
              </w:rPr>
              <w:t>3</w:t>
            </w:r>
            <w:r>
              <w:rPr>
                <w:rFonts w:hint="eastAsia"/>
                <w:sz w:val="24"/>
                <w:szCs w:val="24"/>
              </w:rPr>
              <w:t>/d，</w:t>
            </w:r>
            <w:r>
              <w:rPr>
                <w:rFonts w:hint="eastAsia" w:cs="Times New Roman"/>
                <w:color w:val="auto"/>
                <w:kern w:val="0"/>
                <w:sz w:val="24"/>
                <w:szCs w:val="24"/>
                <w:highlight w:val="none"/>
                <w:lang w:val="en-US" w:eastAsia="zh-CN"/>
              </w:rPr>
              <w:t>新水用量为109m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/d。精矿浓缩溢流水和尾矿渣浓缩溢流水经废水回用系统（回水池）处理后回用于浮选，不外排。</w:t>
            </w:r>
          </w:p>
          <w:p w14:paraId="274EAFEA">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（2）设备冷却水</w:t>
            </w:r>
          </w:p>
          <w:p w14:paraId="63ECFD1F">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根据建设单位提供资料，本次改建新增1台塔磨机，冷却用水量约为150m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/d，损失水量为6m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/d，废水产生量144m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/d，做为二次利用水就近供至一段磨矿排矿溜槽等处做为工艺用水，采用DN80直缝焊接钢管。</w:t>
            </w:r>
          </w:p>
          <w:p w14:paraId="1E5CCC3A">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（3）渣浆泵轴封水</w:t>
            </w:r>
          </w:p>
          <w:p w14:paraId="2A9432FB">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根据项目资料，渣浆泵轴封用水量为72m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w:t>
            </w:r>
          </w:p>
          <w:p w14:paraId="07BF1649">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4</w:t>
            </w:r>
            <w:r>
              <w:rPr>
                <w:rFonts w:hint="eastAsia" w:ascii="Times New Roman" w:hAnsi="Times New Roman" w:eastAsia="宋体" w:cs="Times New Roman"/>
                <w:color w:val="auto"/>
                <w:kern w:val="0"/>
                <w:sz w:val="24"/>
                <w:szCs w:val="24"/>
                <w:highlight w:val="none"/>
                <w:lang w:val="en-US" w:eastAsia="zh-CN"/>
              </w:rPr>
              <w:t>）缓冷场冷却用水</w:t>
            </w:r>
          </w:p>
          <w:p w14:paraId="66A440D7">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易门铜业转炉渣以铁轨运输方式运至缓冷场并由龙门吊有序排列12m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大渣包，然后进行自然缓冷24h—间断缓水冷24h—连续水冷24h—翻包—</w:t>
            </w:r>
            <w:r>
              <w:rPr>
                <w:rFonts w:hint="eastAsia" w:cs="Times New Roman"/>
                <w:color w:val="auto"/>
                <w:kern w:val="0"/>
                <w:sz w:val="24"/>
                <w:szCs w:val="24"/>
                <w:highlight w:val="none"/>
                <w:lang w:val="en-US" w:eastAsia="zh-CN"/>
              </w:rPr>
              <w:t>破</w:t>
            </w:r>
            <w:r>
              <w:rPr>
                <w:rFonts w:hint="eastAsia" w:ascii="Times New Roman" w:hAnsi="Times New Roman" w:eastAsia="宋体" w:cs="Times New Roman"/>
                <w:color w:val="auto"/>
                <w:kern w:val="0"/>
                <w:sz w:val="24"/>
                <w:szCs w:val="24"/>
                <w:highlight w:val="none"/>
                <w:lang w:val="en-US" w:eastAsia="zh-CN"/>
              </w:rPr>
              <w:t>碎至300mm堆存于铜冶炼渣堆场。总用水量为</w:t>
            </w:r>
            <w:r>
              <w:rPr>
                <w:rFonts w:hint="eastAsia" w:cs="Times New Roman"/>
                <w:color w:val="auto"/>
                <w:kern w:val="0"/>
                <w:sz w:val="24"/>
                <w:szCs w:val="24"/>
                <w:highlight w:val="none"/>
                <w:lang w:val="en-US" w:eastAsia="zh-CN"/>
              </w:rPr>
              <w:t>4130</w:t>
            </w:r>
            <w:r>
              <w:rPr>
                <w:rFonts w:hint="eastAsia" w:ascii="Times New Roman" w:hAnsi="Times New Roman" w:eastAsia="宋体" w:cs="Times New Roman"/>
                <w:color w:val="auto"/>
                <w:kern w:val="0"/>
                <w:sz w:val="24"/>
                <w:szCs w:val="24"/>
                <w:highlight w:val="none"/>
                <w:lang w:val="en-US" w:eastAsia="zh-CN"/>
              </w:rPr>
              <w:t>m³/d，新水补充量为170m³/d，循环冷却用水量约为</w:t>
            </w:r>
            <w:r>
              <w:rPr>
                <w:rFonts w:hint="eastAsia" w:cs="Times New Roman"/>
                <w:color w:val="auto"/>
                <w:kern w:val="0"/>
                <w:sz w:val="24"/>
                <w:szCs w:val="24"/>
                <w:highlight w:val="none"/>
                <w:lang w:val="en-US" w:eastAsia="zh-CN"/>
              </w:rPr>
              <w:t>3960</w:t>
            </w:r>
            <w:r>
              <w:rPr>
                <w:rFonts w:hint="eastAsia" w:ascii="Times New Roman" w:hAnsi="Times New Roman" w:eastAsia="宋体" w:cs="Times New Roman"/>
                <w:color w:val="auto"/>
                <w:kern w:val="0"/>
                <w:sz w:val="24"/>
                <w:szCs w:val="24"/>
                <w:highlight w:val="none"/>
                <w:lang w:val="en-US" w:eastAsia="zh-CN"/>
              </w:rPr>
              <w:t>m³/d，损耗量约为</w:t>
            </w:r>
            <w:r>
              <w:rPr>
                <w:rFonts w:hint="eastAsia" w:cs="Times New Roman"/>
                <w:color w:val="auto"/>
                <w:kern w:val="0"/>
                <w:sz w:val="24"/>
                <w:szCs w:val="24"/>
                <w:highlight w:val="none"/>
                <w:lang w:val="en-US" w:eastAsia="zh-CN"/>
              </w:rPr>
              <w:t>170</w:t>
            </w:r>
            <w:r>
              <w:rPr>
                <w:rFonts w:hint="eastAsia" w:ascii="Times New Roman" w:hAnsi="Times New Roman" w:eastAsia="宋体" w:cs="Times New Roman"/>
                <w:color w:val="auto"/>
                <w:kern w:val="0"/>
                <w:sz w:val="24"/>
                <w:szCs w:val="24"/>
                <w:highlight w:val="none"/>
                <w:lang w:val="en-US" w:eastAsia="zh-CN"/>
              </w:rPr>
              <w:t>m³/d，不外排。</w:t>
            </w:r>
          </w:p>
          <w:p w14:paraId="43AC4D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（5）选矿药剂制备用水</w:t>
            </w:r>
          </w:p>
          <w:p w14:paraId="2D0714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kern w:val="0"/>
                <w:sz w:val="24"/>
                <w:szCs w:val="24"/>
                <w:highlight w:val="none"/>
                <w:vertAlign w:val="baseline"/>
                <w:lang w:val="en-US" w:eastAsia="zh-CN"/>
              </w:rPr>
            </w:pPr>
            <w:r>
              <w:rPr>
                <w:rFonts w:hint="eastAsia" w:cs="Times New Roman"/>
                <w:color w:val="auto"/>
                <w:kern w:val="0"/>
                <w:sz w:val="24"/>
                <w:szCs w:val="24"/>
                <w:highlight w:val="none"/>
                <w:lang w:val="en-US" w:eastAsia="zh-CN"/>
              </w:rPr>
              <w:t>根据项目资料，选矿药剂制备用水为42m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/d，损耗为2m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/d，其余40m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vertAlign w:val="baseline"/>
                <w:lang w:val="en-US" w:eastAsia="zh-CN"/>
              </w:rPr>
              <w:t>随药剂进入浮选工段。</w:t>
            </w:r>
          </w:p>
          <w:p w14:paraId="2170DD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6</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bCs/>
                <w:color w:val="auto"/>
                <w:sz w:val="24"/>
                <w:highlight w:val="none"/>
              </w:rPr>
              <w:t>车辆冲洗用水</w:t>
            </w:r>
          </w:p>
          <w:p w14:paraId="009DFBA3">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bCs/>
                <w:color w:val="auto"/>
                <w:sz w:val="24"/>
                <w:highlight w:val="none"/>
              </w:rPr>
              <w:t>本项目在</w:t>
            </w:r>
            <w:r>
              <w:rPr>
                <w:rFonts w:hint="eastAsia" w:ascii="Times New Roman" w:hAnsi="Times New Roman" w:cs="Times New Roman"/>
                <w:bCs/>
                <w:color w:val="auto"/>
                <w:sz w:val="24"/>
                <w:highlight w:val="none"/>
                <w:lang w:val="en-US" w:eastAsia="zh-CN"/>
              </w:rPr>
              <w:t>尾矿仓旁</w:t>
            </w:r>
            <w:r>
              <w:rPr>
                <w:rFonts w:hint="default" w:ascii="Times New Roman" w:hAnsi="Times New Roman" w:cs="Times New Roman"/>
                <w:bCs/>
                <w:color w:val="auto"/>
                <w:sz w:val="24"/>
                <w:highlight w:val="none"/>
              </w:rPr>
              <w:t>设置</w:t>
            </w:r>
            <w:r>
              <w:rPr>
                <w:rFonts w:hint="eastAsia" w:ascii="Times New Roman" w:hAnsi="Times New Roman" w:cs="Times New Roman"/>
                <w:bCs/>
                <w:color w:val="auto"/>
                <w:sz w:val="24"/>
                <w:highlight w:val="none"/>
                <w:lang w:val="en-US" w:eastAsia="zh-CN"/>
              </w:rPr>
              <w:t>车辆清洗点</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rPr>
              <w:t>对进出车辆底盘及车</w:t>
            </w:r>
            <w:r>
              <w:rPr>
                <w:rFonts w:hint="default" w:ascii="Times New Roman" w:hAnsi="Times New Roman" w:cs="Times New Roman"/>
                <w:b w:val="0"/>
                <w:bCs/>
                <w:color w:val="auto"/>
                <w:sz w:val="24"/>
                <w:highlight w:val="none"/>
              </w:rPr>
              <w:t>轮</w:t>
            </w:r>
            <w:r>
              <w:rPr>
                <w:rFonts w:hint="default" w:ascii="Times New Roman" w:hAnsi="Times New Roman" w:cs="Times New Roman"/>
                <w:bCs/>
                <w:color w:val="auto"/>
                <w:sz w:val="24"/>
                <w:highlight w:val="none"/>
              </w:rPr>
              <w:t>进行冲洗。本项目运输总车次</w:t>
            </w:r>
            <w:r>
              <w:rPr>
                <w:rFonts w:hint="default" w:ascii="Times New Roman" w:hAnsi="Times New Roman" w:cs="Times New Roman"/>
                <w:bCs/>
                <w:color w:val="auto"/>
                <w:sz w:val="24"/>
                <w:highlight w:val="none"/>
                <w:lang w:val="en-US" w:eastAsia="zh-CN"/>
              </w:rPr>
              <w:t>约</w:t>
            </w:r>
            <w:r>
              <w:rPr>
                <w:rFonts w:hint="default" w:ascii="Times New Roman" w:hAnsi="Times New Roman" w:cs="Times New Roman"/>
                <w:bCs/>
                <w:color w:val="auto"/>
                <w:sz w:val="24"/>
                <w:highlight w:val="none"/>
              </w:rPr>
              <w:t>为</w:t>
            </w:r>
            <w:r>
              <w:rPr>
                <w:rFonts w:hint="eastAsia" w:ascii="Times New Roman" w:hAnsi="Times New Roman" w:cs="Times New Roman"/>
                <w:bCs/>
                <w:color w:val="auto"/>
                <w:sz w:val="24"/>
                <w:highlight w:val="none"/>
                <w:lang w:val="en-US" w:eastAsia="zh-CN"/>
              </w:rPr>
              <w:t>25</w:t>
            </w:r>
            <w:r>
              <w:rPr>
                <w:rFonts w:hint="default" w:ascii="Times New Roman" w:hAnsi="Times New Roman" w:cs="Times New Roman"/>
                <w:bCs/>
                <w:color w:val="auto"/>
                <w:sz w:val="24"/>
                <w:highlight w:val="none"/>
              </w:rPr>
              <w:t>次/天，</w:t>
            </w:r>
            <w:r>
              <w:rPr>
                <w:rFonts w:hint="default" w:ascii="Times New Roman" w:hAnsi="Times New Roman" w:cs="Times New Roman"/>
                <w:color w:val="auto"/>
                <w:sz w:val="24"/>
                <w:highlight w:val="none"/>
              </w:rPr>
              <w:t>根据《云南省用水定额》（DB53/T168-</w:t>
            </w:r>
            <w:r>
              <w:rPr>
                <w:rFonts w:hint="eastAsia" w:ascii="Times New Roman" w:hAnsi="Times New Roman" w:cs="Times New Roman"/>
                <w:color w:val="auto"/>
                <w:sz w:val="24"/>
                <w:highlight w:val="none"/>
                <w:lang w:val="en-US" w:eastAsia="zh-CN"/>
              </w:rPr>
              <w:t>2026</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车辆清洗用水量按照</w:t>
            </w:r>
            <w:r>
              <w:rPr>
                <w:rFonts w:hint="eastAsia" w:ascii="Times New Roman" w:hAnsi="Times New Roman" w:cs="Times New Roman"/>
                <w:bCs/>
                <w:color w:val="auto"/>
                <w:sz w:val="24"/>
                <w:highlight w:val="none"/>
                <w:lang w:val="en-US" w:eastAsia="zh-CN"/>
              </w:rPr>
              <w:t>38L</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val="en-US" w:eastAsia="zh-CN"/>
              </w:rPr>
              <w:t>辆</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rPr>
              <w:t>次）计算，则总用</w:t>
            </w:r>
            <w:r>
              <w:rPr>
                <w:rFonts w:hint="default" w:ascii="Times New Roman" w:hAnsi="Times New Roman" w:cs="Times New Roman"/>
                <w:b w:val="0"/>
                <w:bCs/>
                <w:color w:val="auto"/>
                <w:sz w:val="24"/>
                <w:highlight w:val="none"/>
              </w:rPr>
              <w:t>水</w:t>
            </w:r>
            <w:r>
              <w:rPr>
                <w:rFonts w:hint="default" w:ascii="Times New Roman" w:hAnsi="Times New Roman" w:cs="Times New Roman"/>
                <w:bCs/>
                <w:color w:val="auto"/>
                <w:sz w:val="24"/>
                <w:highlight w:val="none"/>
              </w:rPr>
              <w:t>量</w:t>
            </w:r>
            <w:r>
              <w:rPr>
                <w:rFonts w:hint="eastAsia" w:ascii="Times New Roman" w:hAnsi="Times New Roman" w:cs="Times New Roman"/>
                <w:bCs/>
                <w:color w:val="auto"/>
                <w:sz w:val="24"/>
                <w:highlight w:val="none"/>
                <w:lang w:val="en-US" w:eastAsia="zh-CN"/>
              </w:rPr>
              <w:t>0.95</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则</w:t>
            </w:r>
            <w:r>
              <w:rPr>
                <w:rFonts w:hint="default" w:ascii="Times New Roman" w:hAnsi="Times New Roman" w:cs="Times New Roman"/>
                <w:bCs/>
                <w:color w:val="auto"/>
                <w:sz w:val="24"/>
                <w:highlight w:val="none"/>
              </w:rPr>
              <w:t>损耗量按用水量的20%计，则每天需补充新水量为</w:t>
            </w:r>
            <w:r>
              <w:rPr>
                <w:rFonts w:hint="eastAsia" w:ascii="Times New Roman" w:hAnsi="Times New Roman" w:cs="Times New Roman"/>
                <w:bCs/>
                <w:color w:val="auto"/>
                <w:sz w:val="24"/>
                <w:highlight w:val="none"/>
                <w:lang w:val="en-US" w:eastAsia="zh-CN"/>
              </w:rPr>
              <w:t>0.19</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清洗废水直接用潜水泵抽回脱水工艺，</w:t>
            </w:r>
            <w:r>
              <w:rPr>
                <w:rFonts w:hint="eastAsia" w:cs="Times New Roman"/>
                <w:bCs/>
                <w:color w:val="auto"/>
                <w:sz w:val="24"/>
                <w:highlight w:val="none"/>
                <w:lang w:val="en-US" w:eastAsia="zh-CN"/>
              </w:rPr>
              <w:t>回用于磨浮车间，</w:t>
            </w:r>
            <w:r>
              <w:rPr>
                <w:rFonts w:hint="eastAsia" w:ascii="Times New Roman" w:hAnsi="Times New Roman" w:eastAsia="宋体" w:cs="Times New Roman"/>
                <w:bCs/>
                <w:color w:val="auto"/>
                <w:sz w:val="24"/>
                <w:highlight w:val="none"/>
                <w:lang w:val="en-US" w:eastAsia="zh-CN"/>
              </w:rPr>
              <w:t>如潜污泵损坏，废水收集到容积为600m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的缓冷循环水池，</w:t>
            </w:r>
            <w:r>
              <w:rPr>
                <w:rFonts w:hint="default" w:ascii="Times New Roman" w:hAnsi="Times New Roman" w:eastAsia="宋体" w:cs="Times New Roman"/>
                <w:bCs/>
                <w:color w:val="auto"/>
                <w:sz w:val="24"/>
                <w:highlight w:val="none"/>
                <w:lang w:val="en-US" w:eastAsia="zh-CN"/>
              </w:rPr>
              <w:t>处理</w:t>
            </w:r>
            <w:r>
              <w:rPr>
                <w:rFonts w:hint="default" w:ascii="Times New Roman" w:hAnsi="Times New Roman" w:eastAsia="宋体" w:cs="Times New Roman"/>
                <w:bCs/>
                <w:color w:val="auto"/>
                <w:sz w:val="24"/>
                <w:highlight w:val="none"/>
              </w:rPr>
              <w:t>后回用于，不外排。</w:t>
            </w:r>
            <w:r>
              <w:rPr>
                <w:rFonts w:hint="default" w:ascii="Times New Roman" w:hAnsi="Times New Roman" w:cs="Times New Roman"/>
                <w:bCs/>
                <w:color w:val="auto"/>
                <w:sz w:val="24"/>
                <w:highlight w:val="none"/>
              </w:rPr>
              <w:t>项目要求运输车辆驶出项目区时进行清洗，避免运输过程中车体泥沙脱落造成污染。</w:t>
            </w:r>
          </w:p>
          <w:p w14:paraId="2A5A80E5">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7</w:t>
            </w:r>
            <w:r>
              <w:rPr>
                <w:rFonts w:hint="eastAsia" w:ascii="Times New Roman" w:hAnsi="Times New Roman" w:eastAsia="宋体" w:cs="Times New Roman"/>
                <w:color w:val="auto"/>
                <w:kern w:val="0"/>
                <w:sz w:val="24"/>
                <w:szCs w:val="24"/>
                <w:highlight w:val="none"/>
                <w:lang w:val="en-US" w:eastAsia="zh-CN"/>
              </w:rPr>
              <w:t>）工作人员生活用水</w:t>
            </w:r>
          </w:p>
          <w:p w14:paraId="4D0346C9">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本项目建成运营后，人员从总厂现有人员调配，不新增劳动定员，因此，不新增生活用水，</w:t>
            </w:r>
            <w:r>
              <w:rPr>
                <w:rFonts w:hint="eastAsia" w:ascii="Times New Roman" w:hAnsi="Times New Roman" w:eastAsia="宋体" w:cs="Times New Roman"/>
                <w:color w:val="000000"/>
                <w:kern w:val="0"/>
                <w:sz w:val="24"/>
                <w:szCs w:val="24"/>
                <w:lang w:val="en-US" w:eastAsia="zh-CN" w:bidi="ar"/>
              </w:rPr>
              <w:t>生活污水收集后进入生活污水处理站（200m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/d），处理后回用于厂区绿化、道路洒水，不外排。</w:t>
            </w:r>
          </w:p>
          <w:p w14:paraId="42E6EC23">
            <w:pPr>
              <w:pStyle w:val="4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黑体" w:hAnsi="黑体" w:eastAsia="黑体" w:cs="黑体"/>
                <w:b w:val="0"/>
                <w:bCs w:val="0"/>
                <w:color w:val="auto"/>
                <w:sz w:val="21"/>
                <w:szCs w:val="21"/>
                <w:highlight w:val="none"/>
                <w:lang w:val="en-US" w:eastAsia="zh-CN"/>
              </w:rPr>
            </w:pPr>
            <w:r>
              <w:rPr>
                <w:rFonts w:hint="eastAsia" w:ascii="黑体" w:hAnsi="黑体" w:eastAsia="黑体" w:cs="黑体"/>
                <w:b w:val="0"/>
                <w:bCs w:val="0"/>
                <w:color w:val="auto"/>
                <w:sz w:val="21"/>
                <w:szCs w:val="21"/>
                <w:highlight w:val="none"/>
                <w:lang w:val="en-US" w:eastAsia="zh-CN"/>
              </w:rPr>
              <w:t>表4-8 项目用水排水情况一览表</w:t>
            </w:r>
          </w:p>
          <w:tbl>
            <w:tblPr>
              <w:tblStyle w:val="22"/>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612"/>
              <w:gridCol w:w="915"/>
              <w:gridCol w:w="915"/>
              <w:gridCol w:w="915"/>
              <w:gridCol w:w="915"/>
              <w:gridCol w:w="915"/>
              <w:gridCol w:w="915"/>
              <w:gridCol w:w="1249"/>
            </w:tblGrid>
            <w:tr w14:paraId="2BA349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435E59B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序号</w:t>
                  </w:r>
                </w:p>
              </w:tc>
              <w:tc>
                <w:tcPr>
                  <w:tcW w:w="422" w:type="pct"/>
                  <w:tcBorders>
                    <w:tl2br w:val="nil"/>
                    <w:tr2bl w:val="nil"/>
                  </w:tcBorders>
                  <w:noWrap w:val="0"/>
                  <w:vAlign w:val="center"/>
                </w:tcPr>
                <w:p w14:paraId="6E765A32">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用水/废水产生环节</w:t>
                  </w:r>
                </w:p>
              </w:tc>
              <w:tc>
                <w:tcPr>
                  <w:tcW w:w="547" w:type="pct"/>
                  <w:tcBorders>
                    <w:tl2br w:val="nil"/>
                    <w:tr2bl w:val="nil"/>
                  </w:tcBorders>
                  <w:noWrap w:val="0"/>
                  <w:vAlign w:val="center"/>
                </w:tcPr>
                <w:p w14:paraId="0F35A49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kern w:val="2"/>
                      <w:sz w:val="18"/>
                      <w:szCs w:val="18"/>
                      <w:highlight w:val="none"/>
                      <w:lang w:bidi="ar"/>
                    </w:rPr>
                    <w:t>用水量（</w:t>
                  </w:r>
                  <w:r>
                    <w:rPr>
                      <w:rFonts w:hint="default" w:ascii="Times New Roman" w:hAnsi="Times New Roman" w:eastAsia="宋体" w:cs="Times New Roman"/>
                      <w:b w:val="0"/>
                      <w:bCs w:val="0"/>
                      <w:color w:val="auto"/>
                      <w:sz w:val="18"/>
                      <w:szCs w:val="18"/>
                      <w:highlight w:val="none"/>
                    </w:rPr>
                    <w:t>m</w:t>
                  </w:r>
                  <w:r>
                    <w:rPr>
                      <w:rFonts w:hint="default" w:ascii="Times New Roman" w:hAnsi="Times New Roman" w:eastAsia="宋体" w:cs="Times New Roman"/>
                      <w:b w:val="0"/>
                      <w:bCs w:val="0"/>
                      <w:color w:val="auto"/>
                      <w:sz w:val="18"/>
                      <w:szCs w:val="18"/>
                      <w:highlight w:val="none"/>
                      <w:vertAlign w:val="superscript"/>
                    </w:rPr>
                    <w:t>3</w:t>
                  </w:r>
                  <w:r>
                    <w:rPr>
                      <w:rFonts w:hint="default" w:ascii="Times New Roman" w:hAnsi="Times New Roman" w:eastAsia="宋体" w:cs="Times New Roman"/>
                      <w:b w:val="0"/>
                      <w:bCs w:val="0"/>
                      <w:color w:val="auto"/>
                      <w:sz w:val="18"/>
                      <w:szCs w:val="18"/>
                      <w:highlight w:val="none"/>
                    </w:rPr>
                    <w:t>/d</w:t>
                  </w:r>
                  <w:r>
                    <w:rPr>
                      <w:rFonts w:hint="default" w:ascii="Times New Roman" w:hAnsi="Times New Roman" w:eastAsia="宋体" w:cs="Times New Roman"/>
                      <w:b w:val="0"/>
                      <w:bCs w:val="0"/>
                      <w:color w:val="auto"/>
                      <w:kern w:val="2"/>
                      <w:sz w:val="18"/>
                      <w:szCs w:val="18"/>
                      <w:highlight w:val="none"/>
                      <w:lang w:bidi="ar"/>
                    </w:rPr>
                    <w:t>）</w:t>
                  </w:r>
                </w:p>
              </w:tc>
              <w:tc>
                <w:tcPr>
                  <w:tcW w:w="617" w:type="pct"/>
                  <w:tcBorders>
                    <w:tl2br w:val="nil"/>
                    <w:tr2bl w:val="nil"/>
                  </w:tcBorders>
                  <w:noWrap w:val="0"/>
                  <w:vAlign w:val="center"/>
                </w:tcPr>
                <w:p w14:paraId="06BE6F7C">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cs="Times New Roman"/>
                      <w:b w:val="0"/>
                      <w:bCs w:val="0"/>
                      <w:color w:val="auto"/>
                      <w:kern w:val="2"/>
                      <w:sz w:val="18"/>
                      <w:szCs w:val="18"/>
                      <w:highlight w:val="none"/>
                      <w:lang w:val="en-US" w:eastAsia="zh-CN" w:bidi="ar"/>
                    </w:rPr>
                    <w:t>新水量</w:t>
                  </w:r>
                  <w:r>
                    <w:rPr>
                      <w:rFonts w:hint="default" w:ascii="Times New Roman" w:hAnsi="Times New Roman" w:eastAsia="宋体" w:cs="Times New Roman"/>
                      <w:b w:val="0"/>
                      <w:bCs w:val="0"/>
                      <w:color w:val="auto"/>
                      <w:kern w:val="2"/>
                      <w:sz w:val="18"/>
                      <w:szCs w:val="18"/>
                      <w:highlight w:val="none"/>
                      <w:lang w:bidi="ar"/>
                    </w:rPr>
                    <w:t>（</w:t>
                  </w:r>
                  <w:r>
                    <w:rPr>
                      <w:rFonts w:hint="default" w:ascii="Times New Roman" w:hAnsi="Times New Roman" w:eastAsia="宋体" w:cs="Times New Roman"/>
                      <w:b w:val="0"/>
                      <w:bCs w:val="0"/>
                      <w:color w:val="auto"/>
                      <w:sz w:val="18"/>
                      <w:szCs w:val="18"/>
                      <w:highlight w:val="none"/>
                    </w:rPr>
                    <w:t>m</w:t>
                  </w:r>
                  <w:r>
                    <w:rPr>
                      <w:rFonts w:hint="default" w:ascii="Times New Roman" w:hAnsi="Times New Roman" w:eastAsia="宋体" w:cs="Times New Roman"/>
                      <w:b w:val="0"/>
                      <w:bCs w:val="0"/>
                      <w:color w:val="auto"/>
                      <w:sz w:val="18"/>
                      <w:szCs w:val="18"/>
                      <w:highlight w:val="none"/>
                      <w:vertAlign w:val="superscript"/>
                    </w:rPr>
                    <w:t>3</w:t>
                  </w:r>
                  <w:r>
                    <w:rPr>
                      <w:rFonts w:hint="default" w:ascii="Times New Roman" w:hAnsi="Times New Roman" w:eastAsia="宋体" w:cs="Times New Roman"/>
                      <w:b w:val="0"/>
                      <w:bCs w:val="0"/>
                      <w:color w:val="auto"/>
                      <w:sz w:val="18"/>
                      <w:szCs w:val="18"/>
                      <w:highlight w:val="none"/>
                    </w:rPr>
                    <w:t>/d</w:t>
                  </w:r>
                  <w:r>
                    <w:rPr>
                      <w:rFonts w:hint="default" w:ascii="Times New Roman" w:hAnsi="Times New Roman" w:eastAsia="宋体" w:cs="Times New Roman"/>
                      <w:b w:val="0"/>
                      <w:bCs w:val="0"/>
                      <w:color w:val="auto"/>
                      <w:kern w:val="2"/>
                      <w:sz w:val="18"/>
                      <w:szCs w:val="18"/>
                      <w:highlight w:val="none"/>
                      <w:lang w:bidi="ar"/>
                    </w:rPr>
                    <w:t>）</w:t>
                  </w:r>
                </w:p>
              </w:tc>
              <w:tc>
                <w:tcPr>
                  <w:tcW w:w="582" w:type="pct"/>
                  <w:tcBorders>
                    <w:tl2br w:val="nil"/>
                    <w:tr2bl w:val="nil"/>
                  </w:tcBorders>
                  <w:noWrap w:val="0"/>
                  <w:vAlign w:val="center"/>
                </w:tcPr>
                <w:p w14:paraId="29BA30AE">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kern w:val="2"/>
                      <w:sz w:val="18"/>
                      <w:szCs w:val="18"/>
                      <w:highlight w:val="none"/>
                      <w:lang w:val="en-US" w:eastAsia="zh-CN" w:bidi="ar"/>
                    </w:rPr>
                  </w:pPr>
                  <w:r>
                    <w:rPr>
                      <w:rFonts w:hint="eastAsia" w:ascii="Times New Roman" w:hAnsi="Times New Roman" w:cs="Times New Roman"/>
                      <w:b w:val="0"/>
                      <w:bCs w:val="0"/>
                      <w:color w:val="auto"/>
                      <w:kern w:val="2"/>
                      <w:sz w:val="18"/>
                      <w:szCs w:val="18"/>
                      <w:highlight w:val="none"/>
                      <w:lang w:val="en-US" w:eastAsia="zh-CN" w:bidi="ar"/>
                    </w:rPr>
                    <w:t>循环水量</w:t>
                  </w:r>
                  <w:r>
                    <w:rPr>
                      <w:rFonts w:hint="default" w:ascii="Times New Roman" w:hAnsi="Times New Roman" w:eastAsia="宋体" w:cs="Times New Roman"/>
                      <w:b w:val="0"/>
                      <w:bCs w:val="0"/>
                      <w:color w:val="auto"/>
                      <w:kern w:val="2"/>
                      <w:sz w:val="18"/>
                      <w:szCs w:val="18"/>
                      <w:highlight w:val="none"/>
                      <w:lang w:bidi="ar"/>
                    </w:rPr>
                    <w:t>（</w:t>
                  </w:r>
                  <w:r>
                    <w:rPr>
                      <w:rFonts w:hint="default" w:ascii="Times New Roman" w:hAnsi="Times New Roman" w:eastAsia="宋体" w:cs="Times New Roman"/>
                      <w:b w:val="0"/>
                      <w:bCs w:val="0"/>
                      <w:color w:val="auto"/>
                      <w:sz w:val="18"/>
                      <w:szCs w:val="18"/>
                      <w:highlight w:val="none"/>
                    </w:rPr>
                    <w:t>m</w:t>
                  </w:r>
                  <w:r>
                    <w:rPr>
                      <w:rFonts w:hint="default" w:ascii="Times New Roman" w:hAnsi="Times New Roman" w:eastAsia="宋体" w:cs="Times New Roman"/>
                      <w:b w:val="0"/>
                      <w:bCs w:val="0"/>
                      <w:color w:val="auto"/>
                      <w:sz w:val="18"/>
                      <w:szCs w:val="18"/>
                      <w:highlight w:val="none"/>
                      <w:vertAlign w:val="superscript"/>
                    </w:rPr>
                    <w:t>3</w:t>
                  </w:r>
                  <w:r>
                    <w:rPr>
                      <w:rFonts w:hint="default" w:ascii="Times New Roman" w:hAnsi="Times New Roman" w:eastAsia="宋体" w:cs="Times New Roman"/>
                      <w:b w:val="0"/>
                      <w:bCs w:val="0"/>
                      <w:color w:val="auto"/>
                      <w:sz w:val="18"/>
                      <w:szCs w:val="18"/>
                      <w:highlight w:val="none"/>
                    </w:rPr>
                    <w:t>/d</w:t>
                  </w:r>
                  <w:r>
                    <w:rPr>
                      <w:rFonts w:hint="default" w:ascii="Times New Roman" w:hAnsi="Times New Roman" w:eastAsia="宋体" w:cs="Times New Roman"/>
                      <w:b w:val="0"/>
                      <w:bCs w:val="0"/>
                      <w:color w:val="auto"/>
                      <w:kern w:val="2"/>
                      <w:sz w:val="18"/>
                      <w:szCs w:val="18"/>
                      <w:highlight w:val="none"/>
                      <w:lang w:bidi="ar"/>
                    </w:rPr>
                    <w:t>）</w:t>
                  </w:r>
                </w:p>
              </w:tc>
              <w:tc>
                <w:tcPr>
                  <w:tcW w:w="598" w:type="pct"/>
                  <w:tcBorders>
                    <w:tl2br w:val="nil"/>
                    <w:tr2bl w:val="nil"/>
                  </w:tcBorders>
                  <w:noWrap w:val="0"/>
                  <w:vAlign w:val="center"/>
                </w:tcPr>
                <w:p w14:paraId="7DD0E4E4">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eastAsia="zh-CN" w:bidi="ar"/>
                    </w:rPr>
                  </w:pPr>
                  <w:r>
                    <w:rPr>
                      <w:rFonts w:hint="default" w:ascii="Times New Roman" w:hAnsi="Times New Roman" w:eastAsia="宋体" w:cs="Times New Roman"/>
                      <w:b w:val="0"/>
                      <w:bCs w:val="0"/>
                      <w:color w:val="auto"/>
                      <w:kern w:val="2"/>
                      <w:sz w:val="18"/>
                      <w:szCs w:val="18"/>
                      <w:highlight w:val="none"/>
                      <w:lang w:eastAsia="zh-CN" w:bidi="ar"/>
                    </w:rPr>
                    <w:t>废水产生量（</w:t>
                  </w:r>
                  <w:r>
                    <w:rPr>
                      <w:rFonts w:hint="default" w:ascii="Times New Roman" w:hAnsi="Times New Roman" w:eastAsia="宋体" w:cs="Times New Roman"/>
                      <w:b w:val="0"/>
                      <w:bCs w:val="0"/>
                      <w:color w:val="auto"/>
                      <w:sz w:val="18"/>
                      <w:szCs w:val="18"/>
                      <w:highlight w:val="none"/>
                      <w:vertAlign w:val="baseline"/>
                      <w:lang w:val="en-US" w:eastAsia="zh-CN"/>
                    </w:rPr>
                    <w:t>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vertAlign w:val="baseline"/>
                      <w:lang w:val="en-US" w:eastAsia="zh-CN"/>
                    </w:rPr>
                    <w:t>/d</w:t>
                  </w:r>
                  <w:r>
                    <w:rPr>
                      <w:rFonts w:hint="default" w:ascii="Times New Roman" w:hAnsi="Times New Roman" w:eastAsia="宋体" w:cs="Times New Roman"/>
                      <w:b w:val="0"/>
                      <w:bCs w:val="0"/>
                      <w:color w:val="auto"/>
                      <w:kern w:val="2"/>
                      <w:sz w:val="18"/>
                      <w:szCs w:val="18"/>
                      <w:highlight w:val="none"/>
                      <w:lang w:eastAsia="zh-CN" w:bidi="ar"/>
                    </w:rPr>
                    <w:t>）</w:t>
                  </w:r>
                </w:p>
              </w:tc>
              <w:tc>
                <w:tcPr>
                  <w:tcW w:w="583" w:type="pct"/>
                  <w:tcBorders>
                    <w:tl2br w:val="nil"/>
                    <w:tr2bl w:val="nil"/>
                  </w:tcBorders>
                  <w:noWrap w:val="0"/>
                  <w:vAlign w:val="center"/>
                </w:tcPr>
                <w:p w14:paraId="172E268B">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
                    </w:rPr>
                  </w:pPr>
                  <w:r>
                    <w:rPr>
                      <w:rFonts w:hint="eastAsia" w:ascii="Times New Roman" w:hAnsi="Times New Roman" w:cs="Times New Roman"/>
                      <w:b w:val="0"/>
                      <w:bCs w:val="0"/>
                      <w:color w:val="auto"/>
                      <w:kern w:val="2"/>
                      <w:sz w:val="18"/>
                      <w:szCs w:val="18"/>
                      <w:highlight w:val="none"/>
                      <w:lang w:val="en-US" w:eastAsia="zh-CN" w:bidi="ar"/>
                    </w:rPr>
                    <w:t>损耗量（</w:t>
                  </w:r>
                  <w:r>
                    <w:rPr>
                      <w:rFonts w:hint="default" w:ascii="Times New Roman" w:hAnsi="Times New Roman" w:eastAsia="宋体" w:cs="Times New Roman"/>
                      <w:b w:val="0"/>
                      <w:bCs w:val="0"/>
                      <w:color w:val="auto"/>
                      <w:sz w:val="18"/>
                      <w:szCs w:val="18"/>
                      <w:highlight w:val="none"/>
                      <w:vertAlign w:val="baseline"/>
                      <w:lang w:val="en-US" w:eastAsia="zh-CN"/>
                    </w:rPr>
                    <w:t>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vertAlign w:val="baseline"/>
                      <w:lang w:val="en-US" w:eastAsia="zh-CN"/>
                    </w:rPr>
                    <w:t>/d</w:t>
                  </w:r>
                  <w:r>
                    <w:rPr>
                      <w:rFonts w:hint="eastAsia" w:ascii="Times New Roman" w:hAnsi="Times New Roman" w:cs="Times New Roman"/>
                      <w:b w:val="0"/>
                      <w:bCs w:val="0"/>
                      <w:color w:val="auto"/>
                      <w:kern w:val="2"/>
                      <w:sz w:val="18"/>
                      <w:szCs w:val="18"/>
                      <w:highlight w:val="none"/>
                      <w:lang w:val="en-US" w:eastAsia="zh-CN" w:bidi="ar"/>
                    </w:rPr>
                    <w:t>）</w:t>
                  </w:r>
                </w:p>
              </w:tc>
              <w:tc>
                <w:tcPr>
                  <w:tcW w:w="543" w:type="pct"/>
                  <w:tcBorders>
                    <w:tl2br w:val="nil"/>
                    <w:tr2bl w:val="nil"/>
                  </w:tcBorders>
                  <w:noWrap w:val="0"/>
                  <w:vAlign w:val="center"/>
                </w:tcPr>
                <w:p w14:paraId="58509D74">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kern w:val="2"/>
                      <w:sz w:val="18"/>
                      <w:szCs w:val="18"/>
                      <w:highlight w:val="none"/>
                      <w:lang w:val="en-US" w:eastAsia="zh-CN" w:bidi="ar"/>
                    </w:rPr>
                  </w:pPr>
                  <w:r>
                    <w:rPr>
                      <w:rFonts w:hint="eastAsia" w:ascii="Times New Roman" w:hAnsi="Times New Roman" w:cs="Times New Roman"/>
                      <w:b w:val="0"/>
                      <w:bCs w:val="0"/>
                      <w:color w:val="auto"/>
                      <w:kern w:val="2"/>
                      <w:sz w:val="18"/>
                      <w:szCs w:val="18"/>
                      <w:highlight w:val="none"/>
                      <w:lang w:val="en-US" w:eastAsia="zh-CN" w:bidi="ar"/>
                    </w:rPr>
                    <w:t>排放量（</w:t>
                  </w:r>
                  <w:r>
                    <w:rPr>
                      <w:rFonts w:hint="default" w:ascii="Times New Roman" w:hAnsi="Times New Roman" w:eastAsia="宋体" w:cs="Times New Roman"/>
                      <w:b w:val="0"/>
                      <w:bCs w:val="0"/>
                      <w:color w:val="auto"/>
                      <w:sz w:val="18"/>
                      <w:szCs w:val="18"/>
                      <w:highlight w:val="none"/>
                      <w:vertAlign w:val="baseline"/>
                      <w:lang w:val="en-US" w:eastAsia="zh-CN"/>
                    </w:rPr>
                    <w:t>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vertAlign w:val="baseline"/>
                      <w:lang w:val="en-US" w:eastAsia="zh-CN"/>
                    </w:rPr>
                    <w:t>/d</w:t>
                  </w:r>
                  <w:r>
                    <w:rPr>
                      <w:rFonts w:hint="eastAsia" w:ascii="Times New Roman" w:hAnsi="Times New Roman" w:cs="Times New Roman"/>
                      <w:b w:val="0"/>
                      <w:bCs w:val="0"/>
                      <w:color w:val="auto"/>
                      <w:kern w:val="2"/>
                      <w:sz w:val="18"/>
                      <w:szCs w:val="18"/>
                      <w:highlight w:val="none"/>
                      <w:lang w:val="en-US" w:eastAsia="zh-CN" w:bidi="ar"/>
                    </w:rPr>
                    <w:t>）</w:t>
                  </w:r>
                </w:p>
              </w:tc>
              <w:tc>
                <w:tcPr>
                  <w:tcW w:w="852" w:type="pct"/>
                  <w:tcBorders>
                    <w:tl2br w:val="nil"/>
                    <w:tr2bl w:val="nil"/>
                  </w:tcBorders>
                  <w:noWrap w:val="0"/>
                  <w:vAlign w:val="center"/>
                </w:tcPr>
                <w:p w14:paraId="6294CE39">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eastAsia="zh-CN" w:bidi="ar"/>
                    </w:rPr>
                  </w:pPr>
                  <w:r>
                    <w:rPr>
                      <w:rFonts w:hint="default" w:ascii="Times New Roman" w:hAnsi="Times New Roman" w:eastAsia="宋体" w:cs="Times New Roman"/>
                      <w:b w:val="0"/>
                      <w:bCs w:val="0"/>
                      <w:color w:val="auto"/>
                      <w:kern w:val="2"/>
                      <w:sz w:val="18"/>
                      <w:szCs w:val="18"/>
                      <w:highlight w:val="none"/>
                      <w:lang w:eastAsia="zh-CN" w:bidi="ar"/>
                    </w:rPr>
                    <w:t>排放去向</w:t>
                  </w:r>
                </w:p>
              </w:tc>
            </w:tr>
            <w:tr w14:paraId="7040C8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538D2224">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1</w:t>
                  </w:r>
                </w:p>
              </w:tc>
              <w:tc>
                <w:tcPr>
                  <w:tcW w:w="422" w:type="pct"/>
                  <w:tcBorders>
                    <w:tl2br w:val="nil"/>
                    <w:tr2bl w:val="nil"/>
                  </w:tcBorders>
                  <w:noWrap w:val="0"/>
                  <w:vAlign w:val="center"/>
                </w:tcPr>
                <w:p w14:paraId="5F856039">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磨矿浮选</w:t>
                  </w:r>
                </w:p>
              </w:tc>
              <w:tc>
                <w:tcPr>
                  <w:tcW w:w="547" w:type="pct"/>
                  <w:tcBorders>
                    <w:tl2br w:val="nil"/>
                    <w:tr2bl w:val="nil"/>
                  </w:tcBorders>
                  <w:noWrap w:val="0"/>
                  <w:vAlign w:val="center"/>
                </w:tcPr>
                <w:p w14:paraId="7D45E504">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7444</w:t>
                  </w:r>
                </w:p>
              </w:tc>
              <w:tc>
                <w:tcPr>
                  <w:tcW w:w="617" w:type="pct"/>
                  <w:tcBorders>
                    <w:tl2br w:val="nil"/>
                    <w:tr2bl w:val="nil"/>
                  </w:tcBorders>
                  <w:noWrap w:val="0"/>
                  <w:vAlign w:val="center"/>
                </w:tcPr>
                <w:p w14:paraId="75987DEA">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109</w:t>
                  </w:r>
                </w:p>
              </w:tc>
              <w:tc>
                <w:tcPr>
                  <w:tcW w:w="582" w:type="pct"/>
                  <w:tcBorders>
                    <w:tl2br w:val="nil"/>
                    <w:tr2bl w:val="nil"/>
                  </w:tcBorders>
                  <w:noWrap w:val="0"/>
                  <w:vAlign w:val="center"/>
                </w:tcPr>
                <w:p w14:paraId="37BC14F1">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7151</w:t>
                  </w:r>
                </w:p>
              </w:tc>
              <w:tc>
                <w:tcPr>
                  <w:tcW w:w="598" w:type="pct"/>
                  <w:tcBorders>
                    <w:tl2br w:val="nil"/>
                    <w:tr2bl w:val="nil"/>
                  </w:tcBorders>
                  <w:noWrap w:val="0"/>
                  <w:vAlign w:val="center"/>
                </w:tcPr>
                <w:p w14:paraId="27F49A47">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7151</w:t>
                  </w:r>
                </w:p>
              </w:tc>
              <w:tc>
                <w:tcPr>
                  <w:tcW w:w="583" w:type="pct"/>
                  <w:tcBorders>
                    <w:tl2br w:val="nil"/>
                    <w:tr2bl w:val="nil"/>
                  </w:tcBorders>
                  <w:noWrap w:val="0"/>
                  <w:vAlign w:val="center"/>
                </w:tcPr>
                <w:p w14:paraId="3C0876EC">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109</w:t>
                  </w:r>
                </w:p>
              </w:tc>
              <w:tc>
                <w:tcPr>
                  <w:tcW w:w="543" w:type="pct"/>
                  <w:tcBorders>
                    <w:tl2br w:val="nil"/>
                    <w:tr2bl w:val="nil"/>
                  </w:tcBorders>
                  <w:noWrap w:val="0"/>
                  <w:vAlign w:val="center"/>
                </w:tcPr>
                <w:p w14:paraId="3DA76BD7">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noWrap w:val="0"/>
                  <w:vAlign w:val="center"/>
                </w:tcPr>
                <w:p w14:paraId="129B8E05">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vertAlign w:val="baseline"/>
                      <w:lang w:val="en-US" w:eastAsia="zh-CN"/>
                    </w:rPr>
                    <w:t>排入回水池，经</w:t>
                  </w:r>
                  <w:r>
                    <w:rPr>
                      <w:rFonts w:hint="eastAsia" w:cs="Times New Roman"/>
                      <w:b w:val="0"/>
                      <w:bCs w:val="0"/>
                      <w:color w:val="auto"/>
                      <w:sz w:val="18"/>
                      <w:szCs w:val="18"/>
                      <w:highlight w:val="none"/>
                      <w:vertAlign w:val="baseline"/>
                      <w:lang w:val="en-US" w:eastAsia="zh-CN"/>
                    </w:rPr>
                    <w:t>处理</w:t>
                  </w:r>
                  <w:r>
                    <w:rPr>
                      <w:rFonts w:hint="eastAsia" w:ascii="Times New Roman" w:hAnsi="Times New Roman" w:eastAsia="宋体" w:cs="Times New Roman"/>
                      <w:b w:val="0"/>
                      <w:bCs w:val="0"/>
                      <w:color w:val="auto"/>
                      <w:sz w:val="18"/>
                      <w:szCs w:val="18"/>
                      <w:highlight w:val="none"/>
                      <w:vertAlign w:val="baseline"/>
                      <w:lang w:val="en-US" w:eastAsia="zh-CN"/>
                    </w:rPr>
                    <w:t>后回用于磨矿工段和浮选工段。</w:t>
                  </w:r>
                </w:p>
              </w:tc>
            </w:tr>
            <w:tr w14:paraId="77D3F3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085DD8FF">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cs="Times New Roman"/>
                      <w:b w:val="0"/>
                      <w:bCs w:val="0"/>
                      <w:color w:val="auto"/>
                      <w:sz w:val="18"/>
                      <w:szCs w:val="18"/>
                      <w:highlight w:val="none"/>
                      <w:vertAlign w:val="baseline"/>
                      <w:lang w:val="en-US" w:eastAsia="zh-CN"/>
                    </w:rPr>
                    <w:t>2</w:t>
                  </w:r>
                </w:p>
              </w:tc>
              <w:tc>
                <w:tcPr>
                  <w:tcW w:w="422" w:type="pct"/>
                  <w:tcBorders>
                    <w:tl2br w:val="nil"/>
                    <w:tr2bl w:val="nil"/>
                  </w:tcBorders>
                  <w:noWrap w:val="0"/>
                  <w:vAlign w:val="center"/>
                </w:tcPr>
                <w:p w14:paraId="27720F1B">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
                    </w:rPr>
                  </w:pPr>
                  <w:r>
                    <w:rPr>
                      <w:rFonts w:hint="eastAsia" w:cs="Times New Roman"/>
                      <w:b w:val="0"/>
                      <w:bCs w:val="0"/>
                      <w:color w:val="auto"/>
                      <w:kern w:val="2"/>
                      <w:sz w:val="18"/>
                      <w:szCs w:val="18"/>
                      <w:highlight w:val="none"/>
                      <w:lang w:val="en-US" w:eastAsia="zh-CN" w:bidi="ar"/>
                    </w:rPr>
                    <w:t>设备冷却</w:t>
                  </w:r>
                </w:p>
              </w:tc>
              <w:tc>
                <w:tcPr>
                  <w:tcW w:w="547" w:type="pct"/>
                  <w:tcBorders>
                    <w:tl2br w:val="nil"/>
                    <w:tr2bl w:val="nil"/>
                  </w:tcBorders>
                  <w:noWrap w:val="0"/>
                  <w:vAlign w:val="center"/>
                </w:tcPr>
                <w:p w14:paraId="18884A3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
                    </w:rPr>
                  </w:pPr>
                  <w:r>
                    <w:rPr>
                      <w:rFonts w:hint="eastAsia" w:cs="Times New Roman"/>
                      <w:b w:val="0"/>
                      <w:bCs w:val="0"/>
                      <w:color w:val="auto"/>
                      <w:kern w:val="2"/>
                      <w:sz w:val="18"/>
                      <w:szCs w:val="18"/>
                      <w:highlight w:val="none"/>
                      <w:lang w:val="en-US" w:eastAsia="zh-CN" w:bidi="ar"/>
                    </w:rPr>
                    <w:t>150</w:t>
                  </w:r>
                </w:p>
              </w:tc>
              <w:tc>
                <w:tcPr>
                  <w:tcW w:w="617" w:type="pct"/>
                  <w:tcBorders>
                    <w:tl2br w:val="nil"/>
                    <w:tr2bl w:val="nil"/>
                  </w:tcBorders>
                  <w:noWrap w:val="0"/>
                  <w:vAlign w:val="center"/>
                </w:tcPr>
                <w:p w14:paraId="7DBD2F48">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150</w:t>
                  </w:r>
                </w:p>
              </w:tc>
              <w:tc>
                <w:tcPr>
                  <w:tcW w:w="582" w:type="pct"/>
                  <w:tcBorders>
                    <w:tl2br w:val="nil"/>
                    <w:tr2bl w:val="nil"/>
                  </w:tcBorders>
                  <w:noWrap w:val="0"/>
                  <w:vAlign w:val="center"/>
                </w:tcPr>
                <w:p w14:paraId="1163293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98" w:type="pct"/>
                  <w:tcBorders>
                    <w:tl2br w:val="nil"/>
                    <w:tr2bl w:val="nil"/>
                  </w:tcBorders>
                  <w:noWrap w:val="0"/>
                  <w:vAlign w:val="center"/>
                </w:tcPr>
                <w:p w14:paraId="3593A229">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144</w:t>
                  </w:r>
                </w:p>
              </w:tc>
              <w:tc>
                <w:tcPr>
                  <w:tcW w:w="583" w:type="pct"/>
                  <w:tcBorders>
                    <w:tl2br w:val="nil"/>
                    <w:tr2bl w:val="nil"/>
                  </w:tcBorders>
                  <w:shd w:val="clear" w:color="auto" w:fill="auto"/>
                  <w:noWrap w:val="0"/>
                  <w:vAlign w:val="center"/>
                </w:tcPr>
                <w:p w14:paraId="1553CFD1">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6</w:t>
                  </w:r>
                </w:p>
              </w:tc>
              <w:tc>
                <w:tcPr>
                  <w:tcW w:w="543" w:type="pct"/>
                  <w:tcBorders>
                    <w:tl2br w:val="nil"/>
                    <w:tr2bl w:val="nil"/>
                  </w:tcBorders>
                  <w:shd w:val="clear" w:color="auto" w:fill="auto"/>
                  <w:noWrap w:val="0"/>
                  <w:vAlign w:val="center"/>
                </w:tcPr>
                <w:p w14:paraId="758846ED">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shd w:val="clear" w:color="auto" w:fill="auto"/>
                  <w:noWrap w:val="0"/>
                  <w:vAlign w:val="center"/>
                </w:tcPr>
                <w:p w14:paraId="4C3D4791">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做为二次利用水就近供至一段磨矿排矿溜槽等处做为工艺用水。</w:t>
                  </w:r>
                </w:p>
              </w:tc>
            </w:tr>
            <w:tr w14:paraId="473C95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5F8DBAE8">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w:t>
                  </w:r>
                </w:p>
              </w:tc>
              <w:tc>
                <w:tcPr>
                  <w:tcW w:w="422" w:type="pct"/>
                  <w:tcBorders>
                    <w:tl2br w:val="nil"/>
                    <w:tr2bl w:val="nil"/>
                  </w:tcBorders>
                  <w:noWrap w:val="0"/>
                  <w:vAlign w:val="center"/>
                </w:tcPr>
                <w:p w14:paraId="0979DD44">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kern w:val="2"/>
                      <w:sz w:val="18"/>
                      <w:szCs w:val="18"/>
                      <w:highlight w:val="none"/>
                      <w:lang w:val="en-US" w:eastAsia="zh-CN" w:bidi="ar"/>
                    </w:rPr>
                  </w:pPr>
                  <w:r>
                    <w:rPr>
                      <w:rFonts w:hint="eastAsia" w:cs="Times New Roman"/>
                      <w:b w:val="0"/>
                      <w:bCs w:val="0"/>
                      <w:color w:val="auto"/>
                      <w:kern w:val="2"/>
                      <w:sz w:val="18"/>
                      <w:szCs w:val="18"/>
                      <w:highlight w:val="none"/>
                      <w:lang w:val="en-US" w:eastAsia="zh-CN" w:bidi="ar"/>
                    </w:rPr>
                    <w:t>渣浆泵轴封水</w:t>
                  </w:r>
                </w:p>
              </w:tc>
              <w:tc>
                <w:tcPr>
                  <w:tcW w:w="547" w:type="pct"/>
                  <w:tcBorders>
                    <w:tl2br w:val="nil"/>
                    <w:tr2bl w:val="nil"/>
                  </w:tcBorders>
                  <w:noWrap w:val="0"/>
                  <w:vAlign w:val="center"/>
                </w:tcPr>
                <w:p w14:paraId="63973051">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kern w:val="2"/>
                      <w:sz w:val="18"/>
                      <w:szCs w:val="18"/>
                      <w:highlight w:val="none"/>
                      <w:lang w:val="en-US" w:eastAsia="zh-CN" w:bidi="ar"/>
                    </w:rPr>
                  </w:pPr>
                  <w:r>
                    <w:rPr>
                      <w:rFonts w:hint="eastAsia" w:cs="Times New Roman"/>
                      <w:b w:val="0"/>
                      <w:bCs w:val="0"/>
                      <w:color w:val="auto"/>
                      <w:kern w:val="2"/>
                      <w:sz w:val="18"/>
                      <w:szCs w:val="18"/>
                      <w:highlight w:val="none"/>
                      <w:lang w:val="en-US" w:eastAsia="zh-CN" w:bidi="ar"/>
                    </w:rPr>
                    <w:t>72</w:t>
                  </w:r>
                </w:p>
              </w:tc>
              <w:tc>
                <w:tcPr>
                  <w:tcW w:w="617" w:type="pct"/>
                  <w:tcBorders>
                    <w:tl2br w:val="nil"/>
                    <w:tr2bl w:val="nil"/>
                  </w:tcBorders>
                  <w:noWrap w:val="0"/>
                  <w:vAlign w:val="center"/>
                </w:tcPr>
                <w:p w14:paraId="29E85FF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72</w:t>
                  </w:r>
                </w:p>
              </w:tc>
              <w:tc>
                <w:tcPr>
                  <w:tcW w:w="582" w:type="pct"/>
                  <w:tcBorders>
                    <w:tl2br w:val="nil"/>
                    <w:tr2bl w:val="nil"/>
                  </w:tcBorders>
                  <w:noWrap w:val="0"/>
                  <w:vAlign w:val="center"/>
                </w:tcPr>
                <w:p w14:paraId="533C36D3">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98" w:type="pct"/>
                  <w:tcBorders>
                    <w:tl2br w:val="nil"/>
                    <w:tr2bl w:val="nil"/>
                  </w:tcBorders>
                  <w:noWrap w:val="0"/>
                  <w:vAlign w:val="center"/>
                </w:tcPr>
                <w:p w14:paraId="5EF9F36C">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83" w:type="pct"/>
                  <w:tcBorders>
                    <w:tl2br w:val="nil"/>
                    <w:tr2bl w:val="nil"/>
                  </w:tcBorders>
                  <w:shd w:val="clear" w:color="auto" w:fill="auto"/>
                  <w:noWrap w:val="0"/>
                  <w:vAlign w:val="center"/>
                </w:tcPr>
                <w:p w14:paraId="7D47F65F">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72</w:t>
                  </w:r>
                </w:p>
              </w:tc>
              <w:tc>
                <w:tcPr>
                  <w:tcW w:w="543" w:type="pct"/>
                  <w:tcBorders>
                    <w:tl2br w:val="nil"/>
                    <w:tr2bl w:val="nil"/>
                  </w:tcBorders>
                  <w:shd w:val="clear" w:color="auto" w:fill="auto"/>
                  <w:noWrap w:val="0"/>
                  <w:vAlign w:val="center"/>
                </w:tcPr>
                <w:p w14:paraId="5E2AE5E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shd w:val="clear" w:color="auto" w:fill="auto"/>
                  <w:noWrap w:val="0"/>
                  <w:vAlign w:val="center"/>
                </w:tcPr>
                <w:p w14:paraId="5DCC0D15">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无废水产生，不外排。</w:t>
                  </w:r>
                </w:p>
              </w:tc>
            </w:tr>
            <w:tr w14:paraId="48C105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4FFB375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w:t>
                  </w:r>
                </w:p>
              </w:tc>
              <w:tc>
                <w:tcPr>
                  <w:tcW w:w="422" w:type="pct"/>
                  <w:tcBorders>
                    <w:tl2br w:val="nil"/>
                    <w:tr2bl w:val="nil"/>
                  </w:tcBorders>
                  <w:noWrap w:val="0"/>
                  <w:vAlign w:val="center"/>
                </w:tcPr>
                <w:p w14:paraId="7E090EF8">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缓冷场冷却</w:t>
                  </w:r>
                </w:p>
              </w:tc>
              <w:tc>
                <w:tcPr>
                  <w:tcW w:w="547" w:type="pct"/>
                  <w:tcBorders>
                    <w:tl2br w:val="nil"/>
                    <w:tr2bl w:val="nil"/>
                  </w:tcBorders>
                  <w:noWrap w:val="0"/>
                  <w:vAlign w:val="center"/>
                </w:tcPr>
                <w:p w14:paraId="61776C2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4130</w:t>
                  </w:r>
                </w:p>
              </w:tc>
              <w:tc>
                <w:tcPr>
                  <w:tcW w:w="617" w:type="pct"/>
                  <w:tcBorders>
                    <w:tl2br w:val="nil"/>
                    <w:tr2bl w:val="nil"/>
                  </w:tcBorders>
                  <w:noWrap w:val="0"/>
                  <w:vAlign w:val="center"/>
                </w:tcPr>
                <w:p w14:paraId="13F2118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170</w:t>
                  </w:r>
                </w:p>
              </w:tc>
              <w:tc>
                <w:tcPr>
                  <w:tcW w:w="582" w:type="pct"/>
                  <w:tcBorders>
                    <w:tl2br w:val="nil"/>
                    <w:tr2bl w:val="nil"/>
                  </w:tcBorders>
                  <w:noWrap w:val="0"/>
                  <w:vAlign w:val="center"/>
                </w:tcPr>
                <w:p w14:paraId="2E0E67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3960</w:t>
                  </w:r>
                </w:p>
              </w:tc>
              <w:tc>
                <w:tcPr>
                  <w:tcW w:w="598" w:type="pct"/>
                  <w:tcBorders>
                    <w:tl2br w:val="nil"/>
                    <w:tr2bl w:val="nil"/>
                  </w:tcBorders>
                  <w:noWrap w:val="0"/>
                  <w:vAlign w:val="center"/>
                </w:tcPr>
                <w:p w14:paraId="13DA501E">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3960</w:t>
                  </w:r>
                </w:p>
              </w:tc>
              <w:tc>
                <w:tcPr>
                  <w:tcW w:w="583" w:type="pct"/>
                  <w:tcBorders>
                    <w:tl2br w:val="nil"/>
                    <w:tr2bl w:val="nil"/>
                  </w:tcBorders>
                  <w:noWrap w:val="0"/>
                  <w:vAlign w:val="center"/>
                </w:tcPr>
                <w:p w14:paraId="6CEB79F8">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170</w:t>
                  </w:r>
                </w:p>
              </w:tc>
              <w:tc>
                <w:tcPr>
                  <w:tcW w:w="543" w:type="pct"/>
                  <w:tcBorders>
                    <w:tl2br w:val="nil"/>
                    <w:tr2bl w:val="nil"/>
                  </w:tcBorders>
                  <w:noWrap w:val="0"/>
                  <w:vAlign w:val="center"/>
                </w:tcPr>
                <w:p w14:paraId="748ECA92">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noWrap w:val="0"/>
                  <w:vAlign w:val="center"/>
                </w:tcPr>
                <w:p w14:paraId="092F0D6F">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缓冷循环水池</w:t>
                  </w:r>
                </w:p>
              </w:tc>
            </w:tr>
            <w:tr w14:paraId="1342EC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3EB60D82">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5</w:t>
                  </w:r>
                </w:p>
              </w:tc>
              <w:tc>
                <w:tcPr>
                  <w:tcW w:w="422" w:type="pct"/>
                  <w:tcBorders>
                    <w:tl2br w:val="nil"/>
                    <w:tr2bl w:val="nil"/>
                  </w:tcBorders>
                  <w:noWrap w:val="0"/>
                  <w:vAlign w:val="center"/>
                </w:tcPr>
                <w:p w14:paraId="72904B17">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选矿药剂制备</w:t>
                  </w:r>
                </w:p>
              </w:tc>
              <w:tc>
                <w:tcPr>
                  <w:tcW w:w="547" w:type="pct"/>
                  <w:tcBorders>
                    <w:tl2br w:val="nil"/>
                    <w:tr2bl w:val="nil"/>
                  </w:tcBorders>
                  <w:noWrap w:val="0"/>
                  <w:vAlign w:val="center"/>
                </w:tcPr>
                <w:p w14:paraId="285BBD7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42</w:t>
                  </w:r>
                </w:p>
              </w:tc>
              <w:tc>
                <w:tcPr>
                  <w:tcW w:w="617" w:type="pct"/>
                  <w:tcBorders>
                    <w:tl2br w:val="nil"/>
                    <w:tr2bl w:val="nil"/>
                  </w:tcBorders>
                  <w:noWrap w:val="0"/>
                  <w:vAlign w:val="center"/>
                </w:tcPr>
                <w:p w14:paraId="03502B2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42</w:t>
                  </w:r>
                </w:p>
              </w:tc>
              <w:tc>
                <w:tcPr>
                  <w:tcW w:w="582" w:type="pct"/>
                  <w:tcBorders>
                    <w:tl2br w:val="nil"/>
                    <w:tr2bl w:val="nil"/>
                  </w:tcBorders>
                  <w:noWrap w:val="0"/>
                  <w:vAlign w:val="center"/>
                </w:tcPr>
                <w:p w14:paraId="2A92732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98" w:type="pct"/>
                  <w:tcBorders>
                    <w:tl2br w:val="nil"/>
                    <w:tr2bl w:val="nil"/>
                  </w:tcBorders>
                  <w:noWrap w:val="0"/>
                  <w:vAlign w:val="center"/>
                </w:tcPr>
                <w:p w14:paraId="2268AA27">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40</w:t>
                  </w:r>
                </w:p>
              </w:tc>
              <w:tc>
                <w:tcPr>
                  <w:tcW w:w="583" w:type="pct"/>
                  <w:tcBorders>
                    <w:tl2br w:val="nil"/>
                    <w:tr2bl w:val="nil"/>
                  </w:tcBorders>
                  <w:noWrap w:val="0"/>
                  <w:vAlign w:val="center"/>
                </w:tcPr>
                <w:p w14:paraId="6D31B1DA">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2</w:t>
                  </w:r>
                </w:p>
              </w:tc>
              <w:tc>
                <w:tcPr>
                  <w:tcW w:w="543" w:type="pct"/>
                  <w:tcBorders>
                    <w:tl2br w:val="nil"/>
                    <w:tr2bl w:val="nil"/>
                  </w:tcBorders>
                  <w:noWrap w:val="0"/>
                  <w:vAlign w:val="center"/>
                </w:tcPr>
                <w:p w14:paraId="3F8B04E5">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noWrap w:val="0"/>
                  <w:vAlign w:val="center"/>
                </w:tcPr>
                <w:p w14:paraId="19AB5344">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随药剂一同进入浮选工段</w:t>
                  </w:r>
                </w:p>
              </w:tc>
            </w:tr>
            <w:tr w14:paraId="02DFD4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tcBorders>
                    <w:tl2br w:val="nil"/>
                    <w:tr2bl w:val="nil"/>
                  </w:tcBorders>
                  <w:noWrap w:val="0"/>
                  <w:vAlign w:val="center"/>
                </w:tcPr>
                <w:p w14:paraId="4D1ADB27">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6</w:t>
                  </w:r>
                </w:p>
              </w:tc>
              <w:tc>
                <w:tcPr>
                  <w:tcW w:w="422" w:type="pct"/>
                  <w:tcBorders>
                    <w:tl2br w:val="nil"/>
                    <w:tr2bl w:val="nil"/>
                  </w:tcBorders>
                  <w:noWrap w:val="0"/>
                  <w:vAlign w:val="center"/>
                </w:tcPr>
                <w:p w14:paraId="34039349">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车辆清洗</w:t>
                  </w:r>
                </w:p>
              </w:tc>
              <w:tc>
                <w:tcPr>
                  <w:tcW w:w="547" w:type="pct"/>
                  <w:tcBorders>
                    <w:tl2br w:val="nil"/>
                    <w:tr2bl w:val="nil"/>
                  </w:tcBorders>
                  <w:noWrap w:val="0"/>
                  <w:vAlign w:val="center"/>
                </w:tcPr>
                <w:p w14:paraId="7ACD69F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0.95</w:t>
                  </w:r>
                </w:p>
              </w:tc>
              <w:tc>
                <w:tcPr>
                  <w:tcW w:w="617" w:type="pct"/>
                  <w:tcBorders>
                    <w:tl2br w:val="nil"/>
                    <w:tr2bl w:val="nil"/>
                  </w:tcBorders>
                  <w:noWrap w:val="0"/>
                  <w:vAlign w:val="center"/>
                </w:tcPr>
                <w:p w14:paraId="0E001A4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0.95</w:t>
                  </w:r>
                </w:p>
              </w:tc>
              <w:tc>
                <w:tcPr>
                  <w:tcW w:w="582" w:type="pct"/>
                  <w:tcBorders>
                    <w:tl2br w:val="nil"/>
                    <w:tr2bl w:val="nil"/>
                  </w:tcBorders>
                  <w:noWrap w:val="0"/>
                  <w:vAlign w:val="center"/>
                </w:tcPr>
                <w:p w14:paraId="4BED6D6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598" w:type="pct"/>
                  <w:tcBorders>
                    <w:tl2br w:val="nil"/>
                    <w:tr2bl w:val="nil"/>
                  </w:tcBorders>
                  <w:noWrap w:val="0"/>
                  <w:vAlign w:val="center"/>
                </w:tcPr>
                <w:p w14:paraId="7F3A42CB">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0.76</w:t>
                  </w:r>
                </w:p>
              </w:tc>
              <w:tc>
                <w:tcPr>
                  <w:tcW w:w="583" w:type="pct"/>
                  <w:tcBorders>
                    <w:tl2br w:val="nil"/>
                    <w:tr2bl w:val="nil"/>
                  </w:tcBorders>
                  <w:noWrap w:val="0"/>
                  <w:vAlign w:val="center"/>
                </w:tcPr>
                <w:p w14:paraId="4732DCBD">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0.19</w:t>
                  </w:r>
                </w:p>
              </w:tc>
              <w:tc>
                <w:tcPr>
                  <w:tcW w:w="543" w:type="pct"/>
                  <w:tcBorders>
                    <w:tl2br w:val="nil"/>
                    <w:tr2bl w:val="nil"/>
                  </w:tcBorders>
                  <w:noWrap w:val="0"/>
                  <w:vAlign w:val="center"/>
                </w:tcPr>
                <w:p w14:paraId="377876DD">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0</w:t>
                  </w:r>
                </w:p>
              </w:tc>
              <w:tc>
                <w:tcPr>
                  <w:tcW w:w="852" w:type="pct"/>
                  <w:tcBorders>
                    <w:tl2br w:val="nil"/>
                    <w:tr2bl w:val="nil"/>
                  </w:tcBorders>
                  <w:noWrap w:val="0"/>
                  <w:vAlign w:val="center"/>
                </w:tcPr>
                <w:p w14:paraId="60E58C06">
                  <w:pPr>
                    <w:pStyle w:val="31"/>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lang w:val="en-US" w:eastAsia="zh-CN"/>
                    </w:rPr>
                    <w:t>清洗废水直接用潜水泵抽回脱水工艺，如潜污泵损坏，废水收集到容积为600m</w:t>
                  </w:r>
                  <w:r>
                    <w:rPr>
                      <w:rFonts w:hint="eastAsia" w:cs="Times New Roman"/>
                      <w:b w:val="0"/>
                      <w:bCs w:val="0"/>
                      <w:color w:val="auto"/>
                      <w:sz w:val="18"/>
                      <w:szCs w:val="18"/>
                      <w:vertAlign w:val="superscript"/>
                      <w:lang w:val="en-US" w:eastAsia="zh-CN"/>
                    </w:rPr>
                    <w:t>3</w:t>
                  </w:r>
                  <w:r>
                    <w:rPr>
                      <w:rFonts w:hint="eastAsia" w:cs="Times New Roman"/>
                      <w:b w:val="0"/>
                      <w:bCs w:val="0"/>
                      <w:color w:val="auto"/>
                      <w:sz w:val="18"/>
                      <w:szCs w:val="18"/>
                      <w:vertAlign w:val="baseline"/>
                      <w:lang w:val="en-US" w:eastAsia="zh-CN"/>
                    </w:rPr>
                    <w:t>的</w:t>
                  </w:r>
                  <w:r>
                    <w:rPr>
                      <w:rFonts w:hint="eastAsia" w:cs="Times New Roman"/>
                      <w:b w:val="0"/>
                      <w:bCs w:val="0"/>
                      <w:color w:val="auto"/>
                      <w:sz w:val="18"/>
                      <w:szCs w:val="18"/>
                      <w:lang w:val="en-US" w:eastAsia="zh-CN"/>
                    </w:rPr>
                    <w:t>缓冷循环水池处理后回用，</w:t>
                  </w:r>
                  <w:r>
                    <w:rPr>
                      <w:rFonts w:hint="default" w:ascii="Times New Roman" w:hAnsi="Times New Roman" w:cs="Times New Roman"/>
                      <w:color w:val="auto"/>
                      <w:sz w:val="18"/>
                      <w:szCs w:val="18"/>
                      <w:highlight w:val="none"/>
                    </w:rPr>
                    <w:t>不外排。</w:t>
                  </w:r>
                </w:p>
              </w:tc>
            </w:tr>
          </w:tbl>
          <w:p w14:paraId="6ABE447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z w:val="24"/>
                <w:lang w:val="en-US" w:eastAsia="zh-CN"/>
              </w:rPr>
            </w:pPr>
            <w:r>
              <w:rPr>
                <w:rFonts w:hint="default" w:ascii="Times New Roman" w:hAnsi="Times New Roman" w:eastAsia="宋体" w:cs="Times New Roman"/>
                <w:b/>
                <w:bCs/>
                <w:color w:val="auto"/>
                <w:sz w:val="24"/>
              </w:rPr>
              <w:t>2.</w:t>
            </w:r>
            <w:r>
              <w:rPr>
                <w:rFonts w:hint="eastAsia" w:cs="Times New Roman"/>
                <w:b/>
                <w:bCs/>
                <w:color w:val="auto"/>
                <w:sz w:val="24"/>
                <w:lang w:val="en-US" w:eastAsia="zh-CN"/>
              </w:rPr>
              <w:t>2废水处置措施及可行性</w:t>
            </w:r>
          </w:p>
          <w:p w14:paraId="6FF126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1、生产废水处置措施</w:t>
            </w:r>
          </w:p>
          <w:p w14:paraId="6ED72A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eastAsia"/>
                <w:sz w:val="24"/>
                <w:szCs w:val="24"/>
              </w:rPr>
              <w:t>本项目铜精矿回水89</w:t>
            </w:r>
            <w:r>
              <w:rPr>
                <w:rFonts w:hint="eastAsia"/>
                <w:sz w:val="24"/>
                <w:szCs w:val="24"/>
                <w:lang w:val="en-US" w:eastAsia="zh-CN"/>
              </w:rPr>
              <w:t>7</w:t>
            </w:r>
            <w:r>
              <w:rPr>
                <w:rFonts w:hint="eastAsia"/>
                <w:sz w:val="24"/>
                <w:szCs w:val="24"/>
              </w:rPr>
              <w:t>m</w:t>
            </w:r>
            <w:r>
              <w:rPr>
                <w:rFonts w:hint="eastAsia"/>
                <w:sz w:val="24"/>
                <w:szCs w:val="24"/>
                <w:vertAlign w:val="superscript"/>
              </w:rPr>
              <w:t>3</w:t>
            </w:r>
            <w:r>
              <w:rPr>
                <w:rFonts w:hint="eastAsia"/>
                <w:sz w:val="24"/>
                <w:szCs w:val="24"/>
              </w:rPr>
              <w:t>/d、铁精矿回水1285m</w:t>
            </w:r>
            <w:r>
              <w:rPr>
                <w:rFonts w:hint="eastAsia"/>
                <w:sz w:val="24"/>
                <w:szCs w:val="24"/>
                <w:vertAlign w:val="superscript"/>
              </w:rPr>
              <w:t>3</w:t>
            </w:r>
            <w:r>
              <w:rPr>
                <w:rFonts w:hint="eastAsia"/>
                <w:sz w:val="24"/>
                <w:szCs w:val="24"/>
              </w:rPr>
              <w:t>/d</w:t>
            </w:r>
            <w:r>
              <w:rPr>
                <w:rFonts w:hint="eastAsia"/>
                <w:sz w:val="24"/>
                <w:szCs w:val="24"/>
                <w:lang w:eastAsia="zh-CN"/>
              </w:rPr>
              <w:t>，</w:t>
            </w:r>
            <w:r>
              <w:rPr>
                <w:rFonts w:hint="eastAsia"/>
                <w:sz w:val="24"/>
                <w:szCs w:val="24"/>
              </w:rPr>
              <w:t>总水量为2182m</w:t>
            </w:r>
            <w:r>
              <w:rPr>
                <w:rFonts w:hint="eastAsia"/>
                <w:sz w:val="24"/>
                <w:szCs w:val="24"/>
                <w:vertAlign w:val="superscript"/>
              </w:rPr>
              <w:t>3</w:t>
            </w:r>
            <w:r>
              <w:rPr>
                <w:rFonts w:hint="eastAsia"/>
                <w:sz w:val="24"/>
                <w:szCs w:val="24"/>
              </w:rPr>
              <w:t>/d（91m</w:t>
            </w:r>
            <w:r>
              <w:rPr>
                <w:rFonts w:hint="eastAsia"/>
                <w:sz w:val="24"/>
                <w:szCs w:val="24"/>
                <w:vertAlign w:val="superscript"/>
              </w:rPr>
              <w:t>3</w:t>
            </w:r>
            <w:r>
              <w:rPr>
                <w:rFonts w:hint="eastAsia"/>
                <w:sz w:val="24"/>
                <w:szCs w:val="24"/>
              </w:rPr>
              <w:t>/h）</w:t>
            </w:r>
            <w:r>
              <w:rPr>
                <w:rFonts w:hint="eastAsia"/>
                <w:sz w:val="24"/>
                <w:szCs w:val="24"/>
                <w:lang w:eastAsia="zh-CN"/>
              </w:rPr>
              <w:t>，</w:t>
            </w:r>
            <w:r>
              <w:rPr>
                <w:rFonts w:hint="eastAsia"/>
                <w:sz w:val="24"/>
                <w:szCs w:val="24"/>
                <w:lang w:val="en-US" w:eastAsia="zh-CN"/>
              </w:rPr>
              <w:t>精矿回水和尾矿回水</w:t>
            </w:r>
            <w:r>
              <w:rPr>
                <w:rFonts w:hint="eastAsia"/>
                <w:sz w:val="24"/>
                <w:szCs w:val="24"/>
              </w:rPr>
              <w:t>分别从Ø18m、Ø24m浓缩机溢流至</w:t>
            </w:r>
            <w:r>
              <w:rPr>
                <w:rFonts w:hint="eastAsia"/>
                <w:sz w:val="24"/>
                <w:szCs w:val="24"/>
                <w:lang w:val="en-US" w:eastAsia="zh-CN"/>
              </w:rPr>
              <w:t>现有693</w:t>
            </w:r>
            <w:r>
              <w:rPr>
                <w:rFonts w:hint="eastAsia"/>
                <w:sz w:val="24"/>
                <w:szCs w:val="24"/>
              </w:rPr>
              <w:t>m</w:t>
            </w:r>
            <w:r>
              <w:rPr>
                <w:rFonts w:hint="eastAsia"/>
                <w:sz w:val="24"/>
                <w:szCs w:val="24"/>
                <w:vertAlign w:val="superscript"/>
              </w:rPr>
              <w:t>3</w:t>
            </w:r>
            <w:r>
              <w:rPr>
                <w:rFonts w:hint="eastAsia"/>
                <w:sz w:val="24"/>
                <w:szCs w:val="24"/>
              </w:rPr>
              <w:t>厂前</w:t>
            </w:r>
            <w:r>
              <w:rPr>
                <w:rFonts w:hint="eastAsia"/>
                <w:sz w:val="24"/>
                <w:szCs w:val="24"/>
                <w:lang w:val="en-US" w:eastAsia="zh-CN"/>
              </w:rPr>
              <w:t>精矿</w:t>
            </w:r>
            <w:r>
              <w:rPr>
                <w:rFonts w:hint="eastAsia"/>
                <w:sz w:val="24"/>
                <w:szCs w:val="24"/>
              </w:rPr>
              <w:t>回水池，再由厂前</w:t>
            </w:r>
            <w:r>
              <w:rPr>
                <w:rFonts w:hint="eastAsia"/>
                <w:sz w:val="24"/>
                <w:szCs w:val="24"/>
                <w:lang w:val="en-US" w:eastAsia="zh-CN"/>
              </w:rPr>
              <w:t>现有</w:t>
            </w:r>
            <w:r>
              <w:rPr>
                <w:rFonts w:hint="eastAsia"/>
                <w:sz w:val="24"/>
                <w:szCs w:val="24"/>
              </w:rPr>
              <w:t>回水泵站内的回水泵打回</w:t>
            </w:r>
            <w:r>
              <w:rPr>
                <w:rFonts w:hint="eastAsia"/>
                <w:sz w:val="24"/>
                <w:szCs w:val="24"/>
                <w:lang w:val="en-US" w:eastAsia="zh-CN"/>
              </w:rPr>
              <w:t>磨浮</w:t>
            </w:r>
            <w:r>
              <w:rPr>
                <w:rFonts w:hint="eastAsia"/>
                <w:sz w:val="24"/>
                <w:szCs w:val="24"/>
              </w:rPr>
              <w:t>车间</w:t>
            </w:r>
            <w:r>
              <w:rPr>
                <w:rFonts w:hint="eastAsia"/>
                <w:sz w:val="24"/>
                <w:szCs w:val="24"/>
                <w:lang w:val="en-US" w:eastAsia="zh-CN"/>
              </w:rPr>
              <w:t>回用</w:t>
            </w:r>
            <w:r>
              <w:rPr>
                <w:rFonts w:hint="eastAsia"/>
                <w:sz w:val="24"/>
                <w:szCs w:val="24"/>
              </w:rPr>
              <w:t>。尾矿厂前回水从Ø30m浓缩机溢流至</w:t>
            </w:r>
            <w:r>
              <w:rPr>
                <w:rFonts w:hint="eastAsia"/>
                <w:sz w:val="24"/>
                <w:szCs w:val="24"/>
                <w:lang w:val="en-US" w:eastAsia="zh-CN"/>
              </w:rPr>
              <w:t>现有122.5</w:t>
            </w:r>
            <w:r>
              <w:rPr>
                <w:rFonts w:hint="eastAsia"/>
                <w:sz w:val="24"/>
                <w:szCs w:val="24"/>
              </w:rPr>
              <w:t>m</w:t>
            </w:r>
            <w:r>
              <w:rPr>
                <w:rFonts w:hint="eastAsia"/>
                <w:sz w:val="24"/>
                <w:szCs w:val="24"/>
                <w:vertAlign w:val="superscript"/>
              </w:rPr>
              <w:t>3</w:t>
            </w:r>
            <w:r>
              <w:rPr>
                <w:rFonts w:hint="eastAsia"/>
                <w:sz w:val="24"/>
                <w:szCs w:val="24"/>
              </w:rPr>
              <w:t>厂前回水池</w:t>
            </w:r>
            <w:r>
              <w:rPr>
                <w:rFonts w:hint="eastAsia"/>
                <w:sz w:val="24"/>
                <w:szCs w:val="24"/>
                <w:lang w:eastAsia="zh-CN"/>
              </w:rPr>
              <w:t>，</w:t>
            </w:r>
            <w:r>
              <w:rPr>
                <w:rFonts w:hint="eastAsia"/>
                <w:sz w:val="24"/>
                <w:szCs w:val="24"/>
              </w:rPr>
              <w:t>再由厂前</w:t>
            </w:r>
            <w:r>
              <w:rPr>
                <w:rFonts w:hint="eastAsia"/>
                <w:sz w:val="24"/>
                <w:szCs w:val="24"/>
                <w:lang w:val="en-US" w:eastAsia="zh-CN"/>
              </w:rPr>
              <w:t>现有</w:t>
            </w:r>
            <w:r>
              <w:rPr>
                <w:rFonts w:hint="eastAsia"/>
                <w:sz w:val="24"/>
                <w:szCs w:val="24"/>
              </w:rPr>
              <w:t>回水泵站内的回水泵打回</w:t>
            </w:r>
            <w:r>
              <w:rPr>
                <w:rFonts w:hint="eastAsia"/>
                <w:sz w:val="24"/>
                <w:szCs w:val="24"/>
                <w:lang w:val="en-US" w:eastAsia="zh-CN"/>
              </w:rPr>
              <w:t>磨浮</w:t>
            </w:r>
            <w:r>
              <w:rPr>
                <w:rFonts w:hint="eastAsia"/>
                <w:sz w:val="24"/>
                <w:szCs w:val="24"/>
              </w:rPr>
              <w:t>车间</w:t>
            </w:r>
            <w:r>
              <w:rPr>
                <w:rFonts w:hint="eastAsia"/>
                <w:sz w:val="24"/>
                <w:szCs w:val="24"/>
                <w:lang w:val="en-US" w:eastAsia="zh-CN"/>
              </w:rPr>
              <w:t>回用</w:t>
            </w:r>
            <w:r>
              <w:rPr>
                <w:rFonts w:hint="eastAsia"/>
                <w:sz w:val="24"/>
                <w:szCs w:val="24"/>
              </w:rPr>
              <w:t>。</w:t>
            </w:r>
          </w:p>
          <w:p w14:paraId="0D7AA4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eastAsia="宋体" w:cs="Times New Roman"/>
                <w:b w:val="0"/>
                <w:bCs w:val="0"/>
                <w:color w:val="auto"/>
                <w:sz w:val="24"/>
                <w:lang w:val="en-US" w:eastAsia="zh-CN"/>
              </w:rPr>
              <w:t>（2）塔磨机冷却废水</w:t>
            </w:r>
            <w:r>
              <w:rPr>
                <w:rFonts w:hint="eastAsia" w:cs="Times New Roman"/>
                <w:color w:val="auto"/>
                <w:kern w:val="0"/>
                <w:sz w:val="24"/>
                <w:szCs w:val="24"/>
                <w:highlight w:val="none"/>
                <w:lang w:val="en-US" w:eastAsia="zh-CN"/>
              </w:rPr>
              <w:t>做为二次利用水就近供至一段磨矿排矿溜槽等处做为工艺用水，采用DN80直缝焊接钢管。</w:t>
            </w:r>
          </w:p>
          <w:p w14:paraId="0374BB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（3）缓冷场冷却废水排入缓冷循环水池，加入絮凝剂处理后，循环利用，不外排。</w:t>
            </w:r>
          </w:p>
          <w:p w14:paraId="0869A847">
            <w:pPr>
              <w:pStyle w:val="4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lang w:val="en-US" w:eastAsia="zh-CN"/>
              </w:rPr>
            </w:pPr>
            <w:r>
              <w:rPr>
                <w:rFonts w:hint="eastAsia" w:cs="Times New Roman"/>
                <w:color w:val="auto"/>
                <w:kern w:val="0"/>
                <w:sz w:val="24"/>
                <w:szCs w:val="24"/>
                <w:highlight w:val="none"/>
                <w:lang w:val="en-US" w:eastAsia="zh-CN"/>
              </w:rPr>
              <w:t>（4）车辆</w:t>
            </w:r>
            <w:r>
              <w:rPr>
                <w:rFonts w:hint="eastAsia" w:ascii="Times New Roman" w:hAnsi="Times New Roman" w:eastAsia="宋体" w:cs="Times New Roman"/>
                <w:bCs/>
                <w:color w:val="auto"/>
                <w:sz w:val="24"/>
                <w:highlight w:val="none"/>
                <w:lang w:val="en-US" w:eastAsia="zh-CN"/>
              </w:rPr>
              <w:t>清洗废水直接用潜水泵抽回脱水工艺，如潜污泵损坏，废水收集到容积为600m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的缓冷循环水池，</w:t>
            </w:r>
            <w:r>
              <w:rPr>
                <w:rFonts w:hint="default" w:ascii="Times New Roman" w:hAnsi="Times New Roman" w:eastAsia="宋体" w:cs="Times New Roman"/>
                <w:bCs/>
                <w:color w:val="auto"/>
                <w:sz w:val="24"/>
                <w:highlight w:val="none"/>
                <w:lang w:val="en-US" w:eastAsia="zh-CN"/>
              </w:rPr>
              <w:t>处理</w:t>
            </w:r>
            <w:r>
              <w:rPr>
                <w:rFonts w:hint="default" w:ascii="Times New Roman" w:hAnsi="Times New Roman" w:eastAsia="宋体" w:cs="Times New Roman"/>
                <w:bCs/>
                <w:color w:val="auto"/>
                <w:sz w:val="24"/>
                <w:highlight w:val="none"/>
              </w:rPr>
              <w:t>后回用</w:t>
            </w:r>
            <w:r>
              <w:rPr>
                <w:rFonts w:hint="eastAsia" w:cs="Times New Roman"/>
                <w:bCs/>
                <w:color w:val="auto"/>
                <w:sz w:val="24"/>
                <w:highlight w:val="none"/>
                <w:lang w:val="en-US" w:eastAsia="zh-CN"/>
              </w:rPr>
              <w:t>于磨浮工段</w:t>
            </w:r>
            <w:r>
              <w:rPr>
                <w:rFonts w:hint="default" w:ascii="Times New Roman" w:hAnsi="Times New Roman" w:eastAsia="宋体" w:cs="Times New Roman"/>
                <w:bCs/>
                <w:color w:val="auto"/>
                <w:sz w:val="24"/>
                <w:highlight w:val="none"/>
              </w:rPr>
              <w:t>，不外排。</w:t>
            </w:r>
          </w:p>
          <w:p w14:paraId="48022F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2、生产废水处置措施可行性分析</w:t>
            </w:r>
          </w:p>
          <w:p w14:paraId="3A56BB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项目生产废水主要含有</w:t>
            </w:r>
            <w:r>
              <w:rPr>
                <w:rFonts w:hint="default"/>
                <w:sz w:val="24"/>
                <w:szCs w:val="24"/>
                <w:lang w:val="en-US" w:eastAsia="zh-CN"/>
              </w:rPr>
              <w:t>SS</w:t>
            </w:r>
            <w:r>
              <w:rPr>
                <w:rFonts w:hint="eastAsia"/>
                <w:sz w:val="24"/>
                <w:szCs w:val="24"/>
                <w:lang w:val="en-US" w:eastAsia="zh-CN"/>
              </w:rPr>
              <w:t>、重金属和选矿药剂，根据建设单位提供资料表明，废水经沉淀处理后</w:t>
            </w:r>
            <w:r>
              <w:rPr>
                <w:rFonts w:hint="default"/>
                <w:sz w:val="24"/>
                <w:szCs w:val="24"/>
                <w:lang w:val="en-US" w:eastAsia="zh-CN"/>
              </w:rPr>
              <w:t>SS</w:t>
            </w:r>
            <w:r>
              <w:rPr>
                <w:rFonts w:hint="eastAsia"/>
                <w:sz w:val="24"/>
                <w:szCs w:val="24"/>
                <w:lang w:val="en-US" w:eastAsia="zh-CN"/>
              </w:rPr>
              <w:t>可达到工艺用水要求，废水中重金属浓度较高，但经铜渣可选试验研究表明，对铜矿浮选影响不大；废水中选矿药剂残留量约为投加量的</w:t>
            </w:r>
            <w:r>
              <w:rPr>
                <w:rFonts w:hint="default"/>
                <w:sz w:val="24"/>
                <w:szCs w:val="24"/>
                <w:lang w:val="en-US" w:eastAsia="zh-CN"/>
              </w:rPr>
              <w:t>20%</w:t>
            </w:r>
            <w:r>
              <w:rPr>
                <w:rFonts w:hint="eastAsia"/>
                <w:sz w:val="24"/>
                <w:szCs w:val="24"/>
                <w:lang w:val="en-US" w:eastAsia="zh-CN"/>
              </w:rPr>
              <w:t>，</w:t>
            </w:r>
            <w:r>
              <w:rPr>
                <w:rFonts w:hint="default"/>
                <w:sz w:val="24"/>
                <w:szCs w:val="24"/>
                <w:lang w:val="en-US" w:eastAsia="zh-CN"/>
              </w:rPr>
              <w:t>80%</w:t>
            </w:r>
            <w:r>
              <w:rPr>
                <w:rFonts w:hint="eastAsia"/>
                <w:sz w:val="24"/>
                <w:szCs w:val="24"/>
                <w:lang w:val="en-US" w:eastAsia="zh-CN"/>
              </w:rPr>
              <w:t>的主要被尾矿带走；废水循环时间较短，废水残留选矿药剂可以减少浮选阶段选矿药剂的投加量，选矿药剂量的变动在可控范围内，对单一铜浮选指标影响不大。缓冷场废水收集进入缓冷循环水池，加入絮凝剂处理后，去除水中的SS，后回用于缓冷工段。</w:t>
            </w:r>
          </w:p>
          <w:p w14:paraId="01A447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vertAlign w:val="baseline"/>
                <w:lang w:val="en-US" w:eastAsia="zh-CN"/>
              </w:rPr>
            </w:pPr>
            <w:r>
              <w:rPr>
                <w:rFonts w:hint="eastAsia"/>
                <w:sz w:val="24"/>
                <w:szCs w:val="24"/>
                <w:lang w:val="en-US" w:eastAsia="zh-CN"/>
              </w:rPr>
              <w:t>本项目缓冷场废水产生量为3850m</w:t>
            </w:r>
            <w:r>
              <w:rPr>
                <w:rFonts w:hint="eastAsia"/>
                <w:sz w:val="24"/>
                <w:szCs w:val="24"/>
                <w:vertAlign w:val="superscript"/>
                <w:lang w:val="en-US" w:eastAsia="zh-CN"/>
              </w:rPr>
              <w:t>3</w:t>
            </w:r>
            <w:r>
              <w:rPr>
                <w:rFonts w:hint="eastAsia"/>
                <w:sz w:val="24"/>
                <w:szCs w:val="24"/>
                <w:vertAlign w:val="baseline"/>
                <w:lang w:val="en-US" w:eastAsia="zh-CN"/>
              </w:rPr>
              <w:t>/d，缓冷工段耗水量为4720m</w:t>
            </w:r>
            <w:r>
              <w:rPr>
                <w:rFonts w:hint="eastAsia"/>
                <w:sz w:val="24"/>
                <w:szCs w:val="24"/>
                <w:vertAlign w:val="superscript"/>
                <w:lang w:val="en-US" w:eastAsia="zh-CN"/>
              </w:rPr>
              <w:t>3</w:t>
            </w:r>
            <w:r>
              <w:rPr>
                <w:rFonts w:hint="eastAsia"/>
                <w:sz w:val="24"/>
                <w:szCs w:val="24"/>
                <w:vertAlign w:val="baseline"/>
                <w:lang w:val="en-US" w:eastAsia="zh-CN"/>
              </w:rPr>
              <w:t>/d，耗水量远大于废水产生量，缓冷废水经缓冷循环水池处理后，可全部回利用于缓冷工段，无外排；磨矿浮选、设备冷却以及车辆清洗等工段产生的废水总量为7295.76m</w:t>
            </w:r>
            <w:r>
              <w:rPr>
                <w:rFonts w:hint="eastAsia"/>
                <w:sz w:val="24"/>
                <w:szCs w:val="24"/>
                <w:vertAlign w:val="superscript"/>
                <w:lang w:val="en-US" w:eastAsia="zh-CN"/>
              </w:rPr>
              <w:t>3</w:t>
            </w:r>
            <w:r>
              <w:rPr>
                <w:rFonts w:hint="eastAsia"/>
                <w:sz w:val="24"/>
                <w:szCs w:val="24"/>
                <w:vertAlign w:val="baseline"/>
                <w:lang w:val="en-US" w:eastAsia="zh-CN"/>
              </w:rPr>
              <w:t>/d，磨浮车间耗水量为7620</w:t>
            </w:r>
            <w:r>
              <w:rPr>
                <w:rFonts w:hint="eastAsia" w:cs="Times New Roman"/>
                <w:color w:val="auto"/>
                <w:kern w:val="0"/>
                <w:sz w:val="24"/>
                <w:szCs w:val="24"/>
                <w:highlight w:val="none"/>
                <w:lang w:val="en-US" w:eastAsia="zh-CN"/>
              </w:rPr>
              <w:t>m³/d，磨浮车间耗水量远大于</w:t>
            </w:r>
            <w:r>
              <w:rPr>
                <w:rFonts w:hint="eastAsia"/>
                <w:sz w:val="24"/>
                <w:szCs w:val="24"/>
                <w:vertAlign w:val="baseline"/>
                <w:lang w:val="en-US" w:eastAsia="zh-CN"/>
              </w:rPr>
              <w:t>磨矿浮选、设备冷却以及车辆清洗等工段废水产生量，因此磨矿浮选、设备冷却以及车辆清洗等工段产生的废水经回水池收集后可全部回用于磨浮车间，无外排。</w:t>
            </w:r>
          </w:p>
          <w:p w14:paraId="77B4C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综上，项目生产废水经可通过轻度沉淀处理，根据各环节用水要求和废水水质相符合，不会对项目选矿工艺造成影响；生产废水可实现零排放，不仅实现水资源综合利用，并可以减少重金属废水及污染物向水环境中排放，项目生产废水循环利用方案切实可行。</w:t>
            </w:r>
          </w:p>
          <w:p w14:paraId="430FC3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val="en-US" w:eastAsia="zh-CN"/>
              </w:rPr>
              <w:t>、生活污水</w:t>
            </w:r>
            <w:r>
              <w:rPr>
                <w:rFonts w:hint="eastAsia" w:cs="Times New Roman"/>
                <w:color w:val="auto"/>
                <w:kern w:val="0"/>
                <w:sz w:val="24"/>
                <w:szCs w:val="24"/>
                <w:highlight w:val="none"/>
                <w:lang w:val="en-US" w:eastAsia="zh-CN"/>
              </w:rPr>
              <w:t>处置措施及可行性</w:t>
            </w:r>
          </w:p>
          <w:p w14:paraId="177499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color w:val="auto"/>
                <w:sz w:val="24"/>
                <w:szCs w:val="24"/>
                <w:highlight w:val="none"/>
                <w:lang w:val="en-US" w:eastAsia="zh-CN"/>
              </w:rPr>
              <w:t>项目生活污水经收集后进入厂区生活污水处理站处理达到《城市污水再生利用 城市杂用水水质》（</w:t>
            </w:r>
            <w:r>
              <w:rPr>
                <w:color w:val="auto"/>
                <w:sz w:val="24"/>
                <w:szCs w:val="24"/>
                <w:highlight w:val="none"/>
              </w:rPr>
              <w:t>GB/T18920-2020</w:t>
            </w:r>
            <w:r>
              <w:rPr>
                <w:rFonts w:hint="eastAsia"/>
                <w:color w:val="auto"/>
                <w:sz w:val="24"/>
                <w:szCs w:val="24"/>
                <w:highlight w:val="none"/>
                <w:lang w:val="en-US" w:eastAsia="zh-CN"/>
              </w:rPr>
              <w:t>）表1中“城市绿化、道路清扫、消防、建筑施工”限值要求后回用于厂区绿化浇洒，不外排。</w:t>
            </w:r>
          </w:p>
          <w:p w14:paraId="3C0CA0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本项目改建完成后不新增劳动定员，生活废水沿用原有处置措施，未发生变化。本次依托的污水处理站处理规模为200m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处理工艺为“A/O+接触氧化+消毒”，满足要求，根据建设单位2026年3月委托昆明绿岛环境科技有限公司对生活污水处理站出水口水质进行检测所得到的检测结果可知，该生活污水处理站出口水质可满足《城市污水再生利用 城市杂用水水质》（GB/T18920-2020）标准中的绿化和道路清扫水质标准要求。检测结果详见下表：</w:t>
            </w:r>
          </w:p>
          <w:p w14:paraId="13A1328E">
            <w:pPr>
              <w:pStyle w:val="54"/>
              <w:bidi w:val="0"/>
              <w:rPr>
                <w:rFonts w:hint="default"/>
                <w:color w:val="auto"/>
                <w:highlight w:val="none"/>
                <w:lang w:val="en-US" w:eastAsia="zh-CN"/>
              </w:rPr>
            </w:pPr>
            <w:r>
              <w:rPr>
                <w:rFonts w:hint="eastAsia"/>
                <w:color w:val="auto"/>
                <w:highlight w:val="none"/>
                <w:lang w:val="en-US" w:eastAsia="zh-CN"/>
              </w:rPr>
              <w:t>表4-9  生活污水处理站出水口水质检测结果一览表</w:t>
            </w:r>
          </w:p>
          <w:tbl>
            <w:tblPr>
              <w:tblStyle w:val="22"/>
              <w:tblW w:w="77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587"/>
              <w:gridCol w:w="1587"/>
              <w:gridCol w:w="1587"/>
              <w:gridCol w:w="633"/>
              <w:gridCol w:w="606"/>
              <w:gridCol w:w="396"/>
            </w:tblGrid>
            <w:tr w14:paraId="614C2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08FE510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点位名称</w:t>
                  </w:r>
                </w:p>
              </w:tc>
              <w:tc>
                <w:tcPr>
                  <w:tcW w:w="6377" w:type="dxa"/>
                  <w:gridSpan w:val="6"/>
                  <w:tcBorders>
                    <w:tl2br w:val="nil"/>
                    <w:tr2bl w:val="nil"/>
                  </w:tcBorders>
                  <w:shd w:val="clear" w:color="auto" w:fill="auto"/>
                  <w:vAlign w:val="center"/>
                </w:tcPr>
                <w:p w14:paraId="19C3CF0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生活污水处理站出水口</w:t>
                  </w:r>
                </w:p>
              </w:tc>
            </w:tr>
            <w:tr w14:paraId="6AC332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091243B5">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样品编号</w:t>
                  </w:r>
                </w:p>
              </w:tc>
              <w:tc>
                <w:tcPr>
                  <w:tcW w:w="1212" w:type="dxa"/>
                  <w:tcBorders>
                    <w:tl2br w:val="nil"/>
                    <w:tr2bl w:val="nil"/>
                  </w:tcBorders>
                  <w:shd w:val="clear" w:color="auto" w:fill="auto"/>
                  <w:vAlign w:val="center"/>
                </w:tcPr>
                <w:p w14:paraId="3F2C1CEE">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FS26030310-3-1-1</w:t>
                  </w:r>
                </w:p>
              </w:tc>
              <w:tc>
                <w:tcPr>
                  <w:tcW w:w="1234" w:type="dxa"/>
                  <w:tcBorders>
                    <w:tl2br w:val="nil"/>
                    <w:tr2bl w:val="nil"/>
                  </w:tcBorders>
                  <w:shd w:val="clear" w:color="auto" w:fill="auto"/>
                  <w:vAlign w:val="center"/>
                </w:tcPr>
                <w:p w14:paraId="30B3B6B2">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FS26030310-3-1-1</w:t>
                  </w:r>
                </w:p>
              </w:tc>
              <w:tc>
                <w:tcPr>
                  <w:tcW w:w="1223" w:type="dxa"/>
                  <w:tcBorders>
                    <w:tl2br w:val="nil"/>
                    <w:tr2bl w:val="nil"/>
                  </w:tcBorders>
                  <w:shd w:val="clear" w:color="auto" w:fill="auto"/>
                  <w:vAlign w:val="center"/>
                </w:tcPr>
                <w:p w14:paraId="0BC3B4B7">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FS26030310-3-1-1</w:t>
                  </w:r>
                </w:p>
              </w:tc>
              <w:tc>
                <w:tcPr>
                  <w:tcW w:w="1085" w:type="dxa"/>
                  <w:vMerge w:val="restart"/>
                  <w:tcBorders>
                    <w:tl2br w:val="nil"/>
                    <w:tr2bl w:val="nil"/>
                  </w:tcBorders>
                  <w:shd w:val="clear" w:color="auto" w:fill="auto"/>
                  <w:vAlign w:val="center"/>
                </w:tcPr>
                <w:p w14:paraId="5A9A4B2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最大值mg/L</w:t>
                  </w:r>
                </w:p>
              </w:tc>
              <w:tc>
                <w:tcPr>
                  <w:tcW w:w="946" w:type="dxa"/>
                  <w:vMerge w:val="restart"/>
                  <w:tcBorders>
                    <w:tl2br w:val="nil"/>
                    <w:tr2bl w:val="nil"/>
                  </w:tcBorders>
                  <w:shd w:val="clear" w:color="auto" w:fill="auto"/>
                  <w:vAlign w:val="center"/>
                </w:tcPr>
                <w:p w14:paraId="7AB8B76C">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标准值mg/L</w:t>
                  </w:r>
                </w:p>
              </w:tc>
              <w:tc>
                <w:tcPr>
                  <w:tcW w:w="677" w:type="dxa"/>
                  <w:vMerge w:val="restart"/>
                  <w:tcBorders>
                    <w:tl2br w:val="nil"/>
                    <w:tr2bl w:val="nil"/>
                  </w:tcBorders>
                  <w:shd w:val="clear" w:color="auto" w:fill="auto"/>
                  <w:vAlign w:val="center"/>
                </w:tcPr>
                <w:p w14:paraId="3AC14328">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达标情况</w:t>
                  </w:r>
                </w:p>
              </w:tc>
            </w:tr>
            <w:tr w14:paraId="0F3F0B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0590428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采样日期</w:t>
                  </w:r>
                </w:p>
              </w:tc>
              <w:tc>
                <w:tcPr>
                  <w:tcW w:w="3669" w:type="dxa"/>
                  <w:gridSpan w:val="3"/>
                  <w:tcBorders>
                    <w:tl2br w:val="nil"/>
                    <w:tr2bl w:val="nil"/>
                  </w:tcBorders>
                  <w:shd w:val="clear" w:color="auto" w:fill="auto"/>
                  <w:vAlign w:val="center"/>
                </w:tcPr>
                <w:p w14:paraId="5264BD4A">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2026年3月3日</w:t>
                  </w:r>
                </w:p>
              </w:tc>
              <w:tc>
                <w:tcPr>
                  <w:tcW w:w="1085" w:type="dxa"/>
                  <w:vMerge w:val="continue"/>
                  <w:tcBorders>
                    <w:tl2br w:val="nil"/>
                    <w:tr2bl w:val="nil"/>
                  </w:tcBorders>
                  <w:shd w:val="clear" w:color="auto" w:fill="auto"/>
                  <w:vAlign w:val="center"/>
                </w:tcPr>
                <w:p w14:paraId="25758D59">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p>
              </w:tc>
              <w:tc>
                <w:tcPr>
                  <w:tcW w:w="946" w:type="dxa"/>
                  <w:vMerge w:val="continue"/>
                  <w:tcBorders>
                    <w:tl2br w:val="nil"/>
                    <w:tr2bl w:val="nil"/>
                  </w:tcBorders>
                  <w:shd w:val="clear" w:color="auto" w:fill="auto"/>
                  <w:vAlign w:val="center"/>
                </w:tcPr>
                <w:p w14:paraId="7924B54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p>
              </w:tc>
              <w:tc>
                <w:tcPr>
                  <w:tcW w:w="677" w:type="dxa"/>
                  <w:vMerge w:val="continue"/>
                  <w:tcBorders>
                    <w:tl2br w:val="nil"/>
                    <w:tr2bl w:val="nil"/>
                  </w:tcBorders>
                  <w:shd w:val="clear" w:color="auto" w:fill="auto"/>
                  <w:vAlign w:val="center"/>
                </w:tcPr>
                <w:p w14:paraId="1BF757B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p>
              </w:tc>
            </w:tr>
            <w:tr w14:paraId="037A1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4E597E5C">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检测项目</w:t>
                  </w:r>
                </w:p>
              </w:tc>
              <w:tc>
                <w:tcPr>
                  <w:tcW w:w="3669" w:type="dxa"/>
                  <w:gridSpan w:val="3"/>
                  <w:tcBorders>
                    <w:tl2br w:val="nil"/>
                    <w:tr2bl w:val="nil"/>
                  </w:tcBorders>
                  <w:shd w:val="clear" w:color="auto" w:fill="auto"/>
                  <w:vAlign w:val="center"/>
                </w:tcPr>
                <w:p w14:paraId="62F922F9">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检测结果mg/L</w:t>
                  </w:r>
                </w:p>
              </w:tc>
              <w:tc>
                <w:tcPr>
                  <w:tcW w:w="1085" w:type="dxa"/>
                  <w:vMerge w:val="continue"/>
                  <w:tcBorders>
                    <w:tl2br w:val="nil"/>
                    <w:tr2bl w:val="nil"/>
                  </w:tcBorders>
                  <w:shd w:val="clear" w:color="auto" w:fill="auto"/>
                  <w:vAlign w:val="center"/>
                </w:tcPr>
                <w:p w14:paraId="62C914A0">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p>
              </w:tc>
              <w:tc>
                <w:tcPr>
                  <w:tcW w:w="946" w:type="dxa"/>
                  <w:vMerge w:val="continue"/>
                  <w:tcBorders>
                    <w:tl2br w:val="nil"/>
                    <w:tr2bl w:val="nil"/>
                  </w:tcBorders>
                  <w:shd w:val="clear" w:color="auto" w:fill="auto"/>
                  <w:vAlign w:val="center"/>
                </w:tcPr>
                <w:p w14:paraId="0EB990E9">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p>
              </w:tc>
              <w:tc>
                <w:tcPr>
                  <w:tcW w:w="677" w:type="dxa"/>
                  <w:vMerge w:val="continue"/>
                  <w:tcBorders>
                    <w:tl2br w:val="nil"/>
                    <w:tr2bl w:val="nil"/>
                  </w:tcBorders>
                  <w:shd w:val="clear" w:color="auto" w:fill="auto"/>
                  <w:vAlign w:val="center"/>
                </w:tcPr>
                <w:p w14:paraId="218F5FFB">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p>
              </w:tc>
            </w:tr>
            <w:tr w14:paraId="3AB78E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0EDB746D">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pH（无量纲）</w:t>
                  </w:r>
                </w:p>
              </w:tc>
              <w:tc>
                <w:tcPr>
                  <w:tcW w:w="1212" w:type="dxa"/>
                  <w:tcBorders>
                    <w:tl2br w:val="nil"/>
                    <w:tr2bl w:val="nil"/>
                  </w:tcBorders>
                  <w:shd w:val="clear" w:color="auto" w:fill="auto"/>
                  <w:vAlign w:val="center"/>
                </w:tcPr>
                <w:p w14:paraId="2281C0CB">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7.6</w:t>
                  </w:r>
                </w:p>
              </w:tc>
              <w:tc>
                <w:tcPr>
                  <w:tcW w:w="1234" w:type="dxa"/>
                  <w:tcBorders>
                    <w:tl2br w:val="nil"/>
                    <w:tr2bl w:val="nil"/>
                  </w:tcBorders>
                  <w:shd w:val="clear" w:color="auto" w:fill="auto"/>
                  <w:vAlign w:val="center"/>
                </w:tcPr>
                <w:p w14:paraId="457FA43C">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7.1</w:t>
                  </w:r>
                </w:p>
              </w:tc>
              <w:tc>
                <w:tcPr>
                  <w:tcW w:w="1223" w:type="dxa"/>
                  <w:tcBorders>
                    <w:tl2br w:val="nil"/>
                    <w:tr2bl w:val="nil"/>
                  </w:tcBorders>
                  <w:shd w:val="clear" w:color="auto" w:fill="auto"/>
                  <w:vAlign w:val="center"/>
                </w:tcPr>
                <w:p w14:paraId="28F3B419">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7.4</w:t>
                  </w:r>
                </w:p>
              </w:tc>
              <w:tc>
                <w:tcPr>
                  <w:tcW w:w="1085" w:type="dxa"/>
                  <w:tcBorders>
                    <w:tl2br w:val="nil"/>
                    <w:tr2bl w:val="nil"/>
                  </w:tcBorders>
                  <w:shd w:val="clear" w:color="auto" w:fill="auto"/>
                  <w:vAlign w:val="center"/>
                </w:tcPr>
                <w:p w14:paraId="413D3872">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7.6</w:t>
                  </w:r>
                </w:p>
              </w:tc>
              <w:tc>
                <w:tcPr>
                  <w:tcW w:w="946" w:type="dxa"/>
                  <w:tcBorders>
                    <w:tl2br w:val="nil"/>
                    <w:tr2bl w:val="nil"/>
                  </w:tcBorders>
                  <w:shd w:val="clear" w:color="auto" w:fill="auto"/>
                  <w:vAlign w:val="center"/>
                </w:tcPr>
                <w:p w14:paraId="527F14DC">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6~9</w:t>
                  </w:r>
                </w:p>
              </w:tc>
              <w:tc>
                <w:tcPr>
                  <w:tcW w:w="677" w:type="dxa"/>
                  <w:tcBorders>
                    <w:tl2br w:val="nil"/>
                    <w:tr2bl w:val="nil"/>
                  </w:tcBorders>
                  <w:shd w:val="clear" w:color="auto" w:fill="auto"/>
                  <w:vAlign w:val="center"/>
                </w:tcPr>
                <w:p w14:paraId="65FBE572">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359C19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4E2AE597">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溶解氧</w:t>
                  </w:r>
                </w:p>
              </w:tc>
              <w:tc>
                <w:tcPr>
                  <w:tcW w:w="1212" w:type="dxa"/>
                  <w:tcBorders>
                    <w:tl2br w:val="nil"/>
                    <w:tr2bl w:val="nil"/>
                  </w:tcBorders>
                  <w:shd w:val="clear" w:color="auto" w:fill="auto"/>
                  <w:vAlign w:val="center"/>
                </w:tcPr>
                <w:p w14:paraId="0561429B">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w:t>
                  </w:r>
                </w:p>
              </w:tc>
              <w:tc>
                <w:tcPr>
                  <w:tcW w:w="1234" w:type="dxa"/>
                  <w:tcBorders>
                    <w:tl2br w:val="nil"/>
                    <w:tr2bl w:val="nil"/>
                  </w:tcBorders>
                  <w:shd w:val="clear" w:color="auto" w:fill="auto"/>
                  <w:vAlign w:val="center"/>
                </w:tcPr>
                <w:p w14:paraId="1D9DF28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w:t>
                  </w:r>
                </w:p>
              </w:tc>
              <w:tc>
                <w:tcPr>
                  <w:tcW w:w="1223" w:type="dxa"/>
                  <w:tcBorders>
                    <w:tl2br w:val="nil"/>
                    <w:tr2bl w:val="nil"/>
                  </w:tcBorders>
                  <w:shd w:val="clear" w:color="auto" w:fill="auto"/>
                  <w:vAlign w:val="center"/>
                </w:tcPr>
                <w:p w14:paraId="37887E4D">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2.6</w:t>
                  </w:r>
                </w:p>
              </w:tc>
              <w:tc>
                <w:tcPr>
                  <w:tcW w:w="1085" w:type="dxa"/>
                  <w:tcBorders>
                    <w:tl2br w:val="nil"/>
                    <w:tr2bl w:val="nil"/>
                  </w:tcBorders>
                  <w:shd w:val="clear" w:color="auto" w:fill="auto"/>
                  <w:vAlign w:val="center"/>
                </w:tcPr>
                <w:p w14:paraId="443BADF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w:t>
                  </w:r>
                </w:p>
              </w:tc>
              <w:tc>
                <w:tcPr>
                  <w:tcW w:w="946" w:type="dxa"/>
                  <w:tcBorders>
                    <w:tl2br w:val="nil"/>
                    <w:tr2bl w:val="nil"/>
                  </w:tcBorders>
                  <w:shd w:val="clear" w:color="auto" w:fill="auto"/>
                  <w:vAlign w:val="center"/>
                </w:tcPr>
                <w:p w14:paraId="489CDDE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p>
              </w:tc>
              <w:tc>
                <w:tcPr>
                  <w:tcW w:w="677" w:type="dxa"/>
                  <w:tcBorders>
                    <w:tl2br w:val="nil"/>
                    <w:tr2bl w:val="nil"/>
                  </w:tcBorders>
                  <w:shd w:val="clear" w:color="auto" w:fill="auto"/>
                  <w:vAlign w:val="center"/>
                </w:tcPr>
                <w:p w14:paraId="4A5EDF0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0A259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4BED1BE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浊度/NTU</w:t>
                  </w:r>
                </w:p>
              </w:tc>
              <w:tc>
                <w:tcPr>
                  <w:tcW w:w="1212" w:type="dxa"/>
                  <w:tcBorders>
                    <w:tl2br w:val="nil"/>
                    <w:tr2bl w:val="nil"/>
                  </w:tcBorders>
                  <w:shd w:val="clear" w:color="auto" w:fill="auto"/>
                  <w:vAlign w:val="center"/>
                </w:tcPr>
                <w:p w14:paraId="20D1D45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1234" w:type="dxa"/>
                  <w:tcBorders>
                    <w:tl2br w:val="nil"/>
                    <w:tr2bl w:val="nil"/>
                  </w:tcBorders>
                  <w:shd w:val="clear" w:color="auto" w:fill="auto"/>
                  <w:vAlign w:val="center"/>
                </w:tcPr>
                <w:p w14:paraId="7EA7A638">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1223" w:type="dxa"/>
                  <w:tcBorders>
                    <w:tl2br w:val="nil"/>
                    <w:tr2bl w:val="nil"/>
                  </w:tcBorders>
                  <w:shd w:val="clear" w:color="auto" w:fill="auto"/>
                  <w:vAlign w:val="center"/>
                </w:tcPr>
                <w:p w14:paraId="3997663D">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1085" w:type="dxa"/>
                  <w:tcBorders>
                    <w:tl2br w:val="nil"/>
                    <w:tr2bl w:val="nil"/>
                  </w:tcBorders>
                  <w:shd w:val="clear" w:color="auto" w:fill="auto"/>
                  <w:vAlign w:val="center"/>
                </w:tcPr>
                <w:p w14:paraId="42E2C9FE">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946" w:type="dxa"/>
                  <w:tcBorders>
                    <w:tl2br w:val="nil"/>
                    <w:tr2bl w:val="nil"/>
                  </w:tcBorders>
                  <w:shd w:val="clear" w:color="auto" w:fill="auto"/>
                  <w:vAlign w:val="center"/>
                </w:tcPr>
                <w:p w14:paraId="282F5592">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10</w:t>
                  </w:r>
                </w:p>
              </w:tc>
              <w:tc>
                <w:tcPr>
                  <w:tcW w:w="677" w:type="dxa"/>
                  <w:tcBorders>
                    <w:tl2br w:val="nil"/>
                    <w:tr2bl w:val="nil"/>
                  </w:tcBorders>
                  <w:shd w:val="clear" w:color="auto" w:fill="auto"/>
                  <w:vAlign w:val="center"/>
                </w:tcPr>
                <w:p w14:paraId="3450AA4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696D74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3E20F8B5">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嗅</w:t>
                  </w:r>
                </w:p>
              </w:tc>
              <w:tc>
                <w:tcPr>
                  <w:tcW w:w="1212" w:type="dxa"/>
                  <w:tcBorders>
                    <w:tl2br w:val="nil"/>
                    <w:tr2bl w:val="nil"/>
                  </w:tcBorders>
                  <w:shd w:val="clear" w:color="auto" w:fill="auto"/>
                  <w:vAlign w:val="center"/>
                </w:tcPr>
                <w:p w14:paraId="3FB6B747">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0/无</w:t>
                  </w:r>
                </w:p>
              </w:tc>
              <w:tc>
                <w:tcPr>
                  <w:tcW w:w="1234" w:type="dxa"/>
                  <w:tcBorders>
                    <w:tl2br w:val="nil"/>
                    <w:tr2bl w:val="nil"/>
                  </w:tcBorders>
                  <w:shd w:val="clear" w:color="auto" w:fill="auto"/>
                  <w:vAlign w:val="center"/>
                </w:tcPr>
                <w:p w14:paraId="75A92025">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0/无</w:t>
                  </w:r>
                </w:p>
              </w:tc>
              <w:tc>
                <w:tcPr>
                  <w:tcW w:w="1223" w:type="dxa"/>
                  <w:tcBorders>
                    <w:tl2br w:val="nil"/>
                    <w:tr2bl w:val="nil"/>
                  </w:tcBorders>
                  <w:shd w:val="clear" w:color="auto" w:fill="auto"/>
                  <w:vAlign w:val="center"/>
                </w:tcPr>
                <w:p w14:paraId="5B7F0FB7">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0/无</w:t>
                  </w:r>
                </w:p>
              </w:tc>
              <w:tc>
                <w:tcPr>
                  <w:tcW w:w="1085" w:type="dxa"/>
                  <w:tcBorders>
                    <w:tl2br w:val="nil"/>
                    <w:tr2bl w:val="nil"/>
                  </w:tcBorders>
                  <w:shd w:val="clear" w:color="auto" w:fill="auto"/>
                  <w:vAlign w:val="center"/>
                </w:tcPr>
                <w:p w14:paraId="1027932E">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46" w:type="dxa"/>
                  <w:tcBorders>
                    <w:tl2br w:val="nil"/>
                    <w:tr2bl w:val="nil"/>
                  </w:tcBorders>
                  <w:shd w:val="clear" w:color="auto" w:fill="auto"/>
                  <w:vAlign w:val="center"/>
                </w:tcPr>
                <w:p w14:paraId="28FBA9D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无不快感</w:t>
                  </w:r>
                </w:p>
              </w:tc>
              <w:tc>
                <w:tcPr>
                  <w:tcW w:w="677" w:type="dxa"/>
                  <w:tcBorders>
                    <w:tl2br w:val="nil"/>
                    <w:tr2bl w:val="nil"/>
                  </w:tcBorders>
                  <w:shd w:val="clear" w:color="auto" w:fill="auto"/>
                  <w:vAlign w:val="center"/>
                </w:tcPr>
                <w:p w14:paraId="3BD0CE70">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4B9625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539B632A">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色度</w:t>
                  </w:r>
                </w:p>
              </w:tc>
              <w:tc>
                <w:tcPr>
                  <w:tcW w:w="1212" w:type="dxa"/>
                  <w:tcBorders>
                    <w:tl2br w:val="nil"/>
                    <w:tr2bl w:val="nil"/>
                  </w:tcBorders>
                  <w:shd w:val="clear" w:color="auto" w:fill="auto"/>
                  <w:vAlign w:val="center"/>
                </w:tcPr>
                <w:p w14:paraId="6BB5BDA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234" w:type="dxa"/>
                  <w:tcBorders>
                    <w:tl2br w:val="nil"/>
                    <w:tr2bl w:val="nil"/>
                  </w:tcBorders>
                  <w:shd w:val="clear" w:color="auto" w:fill="auto"/>
                  <w:vAlign w:val="center"/>
                </w:tcPr>
                <w:p w14:paraId="20864AF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223" w:type="dxa"/>
                  <w:tcBorders>
                    <w:tl2br w:val="nil"/>
                    <w:tr2bl w:val="nil"/>
                  </w:tcBorders>
                  <w:shd w:val="clear" w:color="auto" w:fill="auto"/>
                  <w:vAlign w:val="center"/>
                </w:tcPr>
                <w:p w14:paraId="57DE5992">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085" w:type="dxa"/>
                  <w:tcBorders>
                    <w:tl2br w:val="nil"/>
                    <w:tr2bl w:val="nil"/>
                  </w:tcBorders>
                  <w:shd w:val="clear" w:color="auto" w:fill="auto"/>
                  <w:vAlign w:val="center"/>
                </w:tcPr>
                <w:p w14:paraId="6A5006E2">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946" w:type="dxa"/>
                  <w:tcBorders>
                    <w:tl2br w:val="nil"/>
                    <w:tr2bl w:val="nil"/>
                  </w:tcBorders>
                  <w:shd w:val="clear" w:color="auto" w:fill="auto"/>
                  <w:vAlign w:val="center"/>
                </w:tcPr>
                <w:p w14:paraId="54807AA4">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30</w:t>
                  </w:r>
                </w:p>
              </w:tc>
              <w:tc>
                <w:tcPr>
                  <w:tcW w:w="677" w:type="dxa"/>
                  <w:tcBorders>
                    <w:tl2br w:val="nil"/>
                    <w:tr2bl w:val="nil"/>
                  </w:tcBorders>
                  <w:shd w:val="clear" w:color="auto" w:fill="auto"/>
                  <w:vAlign w:val="center"/>
                </w:tcPr>
                <w:p w14:paraId="6789CF8B">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5D9080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3D2E36FA">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BOD</w:t>
                  </w:r>
                  <w:r>
                    <w:rPr>
                      <w:rFonts w:hint="default" w:ascii="Times New Roman" w:hAnsi="Times New Roman" w:eastAsia="宋体" w:cs="Times New Roman"/>
                      <w:color w:val="auto"/>
                      <w:sz w:val="18"/>
                      <w:szCs w:val="18"/>
                      <w:highlight w:val="none"/>
                      <w:vertAlign w:val="subscript"/>
                      <w:lang w:val="en-US" w:eastAsia="zh-CN"/>
                    </w:rPr>
                    <w:t>5</w:t>
                  </w:r>
                </w:p>
              </w:tc>
              <w:tc>
                <w:tcPr>
                  <w:tcW w:w="1212" w:type="dxa"/>
                  <w:tcBorders>
                    <w:tl2br w:val="nil"/>
                    <w:tr2bl w:val="nil"/>
                  </w:tcBorders>
                  <w:shd w:val="clear" w:color="auto" w:fill="auto"/>
                  <w:vAlign w:val="center"/>
                </w:tcPr>
                <w:p w14:paraId="6C2BD74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7.1</w:t>
                  </w:r>
                </w:p>
              </w:tc>
              <w:tc>
                <w:tcPr>
                  <w:tcW w:w="1234" w:type="dxa"/>
                  <w:tcBorders>
                    <w:tl2br w:val="nil"/>
                    <w:tr2bl w:val="nil"/>
                  </w:tcBorders>
                  <w:shd w:val="clear" w:color="auto" w:fill="auto"/>
                  <w:vAlign w:val="center"/>
                </w:tcPr>
                <w:p w14:paraId="2D21BD0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8.0</w:t>
                  </w:r>
                </w:p>
              </w:tc>
              <w:tc>
                <w:tcPr>
                  <w:tcW w:w="1223" w:type="dxa"/>
                  <w:tcBorders>
                    <w:tl2br w:val="nil"/>
                    <w:tr2bl w:val="nil"/>
                  </w:tcBorders>
                  <w:shd w:val="clear" w:color="auto" w:fill="auto"/>
                  <w:vAlign w:val="center"/>
                </w:tcPr>
                <w:p w14:paraId="0898CC6E">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6.8</w:t>
                  </w:r>
                </w:p>
              </w:tc>
              <w:tc>
                <w:tcPr>
                  <w:tcW w:w="1085" w:type="dxa"/>
                  <w:tcBorders>
                    <w:tl2br w:val="nil"/>
                    <w:tr2bl w:val="nil"/>
                  </w:tcBorders>
                  <w:shd w:val="clear" w:color="auto" w:fill="auto"/>
                  <w:vAlign w:val="center"/>
                </w:tcPr>
                <w:p w14:paraId="6A948FF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8.0</w:t>
                  </w:r>
                </w:p>
              </w:tc>
              <w:tc>
                <w:tcPr>
                  <w:tcW w:w="946" w:type="dxa"/>
                  <w:tcBorders>
                    <w:tl2br w:val="nil"/>
                    <w:tr2bl w:val="nil"/>
                  </w:tcBorders>
                  <w:shd w:val="clear" w:color="auto" w:fill="auto"/>
                  <w:vAlign w:val="center"/>
                </w:tcPr>
                <w:p w14:paraId="2C566B98">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10</w:t>
                  </w:r>
                </w:p>
              </w:tc>
              <w:tc>
                <w:tcPr>
                  <w:tcW w:w="677" w:type="dxa"/>
                  <w:tcBorders>
                    <w:tl2br w:val="nil"/>
                    <w:tr2bl w:val="nil"/>
                  </w:tcBorders>
                  <w:shd w:val="clear" w:color="auto" w:fill="auto"/>
                  <w:vAlign w:val="center"/>
                </w:tcPr>
                <w:p w14:paraId="2EE66BC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20D45F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1625EC7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氨氮</w:t>
                  </w:r>
                </w:p>
              </w:tc>
              <w:tc>
                <w:tcPr>
                  <w:tcW w:w="1212" w:type="dxa"/>
                  <w:tcBorders>
                    <w:tl2br w:val="nil"/>
                    <w:tr2bl w:val="nil"/>
                  </w:tcBorders>
                  <w:shd w:val="clear" w:color="auto" w:fill="auto"/>
                  <w:vAlign w:val="center"/>
                </w:tcPr>
                <w:p w14:paraId="3ED9E7BD">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1.08</w:t>
                  </w:r>
                </w:p>
              </w:tc>
              <w:tc>
                <w:tcPr>
                  <w:tcW w:w="1234" w:type="dxa"/>
                  <w:tcBorders>
                    <w:tl2br w:val="nil"/>
                    <w:tr2bl w:val="nil"/>
                  </w:tcBorders>
                  <w:shd w:val="clear" w:color="auto" w:fill="auto"/>
                  <w:vAlign w:val="center"/>
                </w:tcPr>
                <w:p w14:paraId="5B8991B2">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1.10</w:t>
                  </w:r>
                </w:p>
              </w:tc>
              <w:tc>
                <w:tcPr>
                  <w:tcW w:w="1223" w:type="dxa"/>
                  <w:tcBorders>
                    <w:tl2br w:val="nil"/>
                    <w:tr2bl w:val="nil"/>
                  </w:tcBorders>
                  <w:shd w:val="clear" w:color="auto" w:fill="auto"/>
                  <w:vAlign w:val="center"/>
                </w:tcPr>
                <w:p w14:paraId="583D5884">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1.13</w:t>
                  </w:r>
                </w:p>
              </w:tc>
              <w:tc>
                <w:tcPr>
                  <w:tcW w:w="1085" w:type="dxa"/>
                  <w:tcBorders>
                    <w:tl2br w:val="nil"/>
                    <w:tr2bl w:val="nil"/>
                  </w:tcBorders>
                  <w:shd w:val="clear" w:color="auto" w:fill="auto"/>
                  <w:vAlign w:val="center"/>
                </w:tcPr>
                <w:p w14:paraId="7AF26C90">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1.13</w:t>
                  </w:r>
                </w:p>
              </w:tc>
              <w:tc>
                <w:tcPr>
                  <w:tcW w:w="946" w:type="dxa"/>
                  <w:tcBorders>
                    <w:tl2br w:val="nil"/>
                    <w:tr2bl w:val="nil"/>
                  </w:tcBorders>
                  <w:shd w:val="clear" w:color="auto" w:fill="auto"/>
                  <w:vAlign w:val="center"/>
                </w:tcPr>
                <w:p w14:paraId="39737807">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8</w:t>
                  </w:r>
                </w:p>
              </w:tc>
              <w:tc>
                <w:tcPr>
                  <w:tcW w:w="677" w:type="dxa"/>
                  <w:tcBorders>
                    <w:tl2br w:val="nil"/>
                    <w:tr2bl w:val="nil"/>
                  </w:tcBorders>
                  <w:shd w:val="clear" w:color="auto" w:fill="auto"/>
                  <w:vAlign w:val="center"/>
                </w:tcPr>
                <w:p w14:paraId="6F4C177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109B0A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6489D767">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总氯</w:t>
                  </w:r>
                </w:p>
              </w:tc>
              <w:tc>
                <w:tcPr>
                  <w:tcW w:w="1212" w:type="dxa"/>
                  <w:tcBorders>
                    <w:tl2br w:val="nil"/>
                    <w:tr2bl w:val="nil"/>
                  </w:tcBorders>
                  <w:shd w:val="clear" w:color="auto" w:fill="auto"/>
                  <w:vAlign w:val="center"/>
                </w:tcPr>
                <w:p w14:paraId="522A43D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1.82</w:t>
                  </w:r>
                </w:p>
              </w:tc>
              <w:tc>
                <w:tcPr>
                  <w:tcW w:w="1234" w:type="dxa"/>
                  <w:tcBorders>
                    <w:tl2br w:val="nil"/>
                    <w:tr2bl w:val="nil"/>
                  </w:tcBorders>
                  <w:shd w:val="clear" w:color="auto" w:fill="auto"/>
                  <w:vAlign w:val="center"/>
                </w:tcPr>
                <w:p w14:paraId="619E73A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w:t>
                  </w:r>
                </w:p>
              </w:tc>
              <w:tc>
                <w:tcPr>
                  <w:tcW w:w="1223" w:type="dxa"/>
                  <w:tcBorders>
                    <w:tl2br w:val="nil"/>
                    <w:tr2bl w:val="nil"/>
                  </w:tcBorders>
                  <w:shd w:val="clear" w:color="auto" w:fill="auto"/>
                  <w:vAlign w:val="center"/>
                </w:tcPr>
                <w:p w14:paraId="40566054">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1.78</w:t>
                  </w:r>
                </w:p>
              </w:tc>
              <w:tc>
                <w:tcPr>
                  <w:tcW w:w="1085" w:type="dxa"/>
                  <w:tcBorders>
                    <w:tl2br w:val="nil"/>
                    <w:tr2bl w:val="nil"/>
                  </w:tcBorders>
                  <w:shd w:val="clear" w:color="auto" w:fill="auto"/>
                  <w:vAlign w:val="center"/>
                </w:tcPr>
                <w:p w14:paraId="71FF4CB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1.82</w:t>
                  </w:r>
                </w:p>
              </w:tc>
              <w:tc>
                <w:tcPr>
                  <w:tcW w:w="946" w:type="dxa"/>
                  <w:tcBorders>
                    <w:tl2br w:val="nil"/>
                    <w:tr2bl w:val="nil"/>
                  </w:tcBorders>
                  <w:shd w:val="clear" w:color="auto" w:fill="auto"/>
                  <w:vAlign w:val="center"/>
                </w:tcPr>
                <w:p w14:paraId="721E7820">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677" w:type="dxa"/>
                  <w:tcBorders>
                    <w:tl2br w:val="nil"/>
                    <w:tr2bl w:val="nil"/>
                  </w:tcBorders>
                  <w:shd w:val="clear" w:color="auto" w:fill="auto"/>
                  <w:vAlign w:val="center"/>
                </w:tcPr>
                <w:p w14:paraId="45FAA3C9">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46661E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7E17E9B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溶解性总固体</w:t>
                  </w:r>
                </w:p>
              </w:tc>
              <w:tc>
                <w:tcPr>
                  <w:tcW w:w="1212" w:type="dxa"/>
                  <w:tcBorders>
                    <w:tl2br w:val="nil"/>
                    <w:tr2bl w:val="nil"/>
                  </w:tcBorders>
                  <w:shd w:val="clear" w:color="auto" w:fill="auto"/>
                  <w:vAlign w:val="center"/>
                </w:tcPr>
                <w:p w14:paraId="35F5026A">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426</w:t>
                  </w:r>
                </w:p>
              </w:tc>
              <w:tc>
                <w:tcPr>
                  <w:tcW w:w="1234" w:type="dxa"/>
                  <w:tcBorders>
                    <w:tl2br w:val="nil"/>
                    <w:tr2bl w:val="nil"/>
                  </w:tcBorders>
                  <w:shd w:val="clear" w:color="auto" w:fill="auto"/>
                  <w:vAlign w:val="center"/>
                </w:tcPr>
                <w:p w14:paraId="5DA13C05">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414</w:t>
                  </w:r>
                </w:p>
              </w:tc>
              <w:tc>
                <w:tcPr>
                  <w:tcW w:w="1223" w:type="dxa"/>
                  <w:tcBorders>
                    <w:tl2br w:val="nil"/>
                    <w:tr2bl w:val="nil"/>
                  </w:tcBorders>
                  <w:shd w:val="clear" w:color="auto" w:fill="auto"/>
                  <w:vAlign w:val="center"/>
                </w:tcPr>
                <w:p w14:paraId="7673D5F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436</w:t>
                  </w:r>
                </w:p>
              </w:tc>
              <w:tc>
                <w:tcPr>
                  <w:tcW w:w="1085" w:type="dxa"/>
                  <w:tcBorders>
                    <w:tl2br w:val="nil"/>
                    <w:tr2bl w:val="nil"/>
                  </w:tcBorders>
                  <w:shd w:val="clear" w:color="auto" w:fill="auto"/>
                  <w:vAlign w:val="center"/>
                </w:tcPr>
                <w:p w14:paraId="04B7D9B4">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436</w:t>
                  </w:r>
                </w:p>
              </w:tc>
              <w:tc>
                <w:tcPr>
                  <w:tcW w:w="946" w:type="dxa"/>
                  <w:tcBorders>
                    <w:tl2br w:val="nil"/>
                    <w:tr2bl w:val="nil"/>
                  </w:tcBorders>
                  <w:shd w:val="clear" w:color="auto" w:fill="auto"/>
                  <w:vAlign w:val="center"/>
                </w:tcPr>
                <w:p w14:paraId="04D94395">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1000</w:t>
                  </w:r>
                </w:p>
              </w:tc>
              <w:tc>
                <w:tcPr>
                  <w:tcW w:w="677" w:type="dxa"/>
                  <w:tcBorders>
                    <w:tl2br w:val="nil"/>
                    <w:tr2bl w:val="nil"/>
                  </w:tcBorders>
                  <w:shd w:val="clear" w:color="auto" w:fill="auto"/>
                  <w:vAlign w:val="center"/>
                </w:tcPr>
                <w:p w14:paraId="2CE606E0">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30CAE1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2FCCE2BB">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阴离子表面活性剂</w:t>
                  </w:r>
                </w:p>
              </w:tc>
              <w:tc>
                <w:tcPr>
                  <w:tcW w:w="1212" w:type="dxa"/>
                  <w:tcBorders>
                    <w:tl2br w:val="nil"/>
                    <w:tr2bl w:val="nil"/>
                  </w:tcBorders>
                  <w:shd w:val="clear" w:color="auto" w:fill="auto"/>
                  <w:vAlign w:val="center"/>
                </w:tcPr>
                <w:p w14:paraId="6A792FA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0.07</w:t>
                  </w:r>
                </w:p>
              </w:tc>
              <w:tc>
                <w:tcPr>
                  <w:tcW w:w="1234" w:type="dxa"/>
                  <w:tcBorders>
                    <w:tl2br w:val="nil"/>
                    <w:tr2bl w:val="nil"/>
                  </w:tcBorders>
                  <w:shd w:val="clear" w:color="auto" w:fill="auto"/>
                  <w:vAlign w:val="center"/>
                </w:tcPr>
                <w:p w14:paraId="29BE2057">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0.08</w:t>
                  </w:r>
                </w:p>
              </w:tc>
              <w:tc>
                <w:tcPr>
                  <w:tcW w:w="1223" w:type="dxa"/>
                  <w:tcBorders>
                    <w:tl2br w:val="nil"/>
                    <w:tr2bl w:val="nil"/>
                  </w:tcBorders>
                  <w:shd w:val="clear" w:color="auto" w:fill="auto"/>
                  <w:vAlign w:val="center"/>
                </w:tcPr>
                <w:p w14:paraId="4EFD08E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0.06</w:t>
                  </w:r>
                </w:p>
              </w:tc>
              <w:tc>
                <w:tcPr>
                  <w:tcW w:w="1085" w:type="dxa"/>
                  <w:tcBorders>
                    <w:tl2br w:val="nil"/>
                    <w:tr2bl w:val="nil"/>
                  </w:tcBorders>
                  <w:shd w:val="clear" w:color="auto" w:fill="auto"/>
                  <w:vAlign w:val="center"/>
                </w:tcPr>
                <w:p w14:paraId="5ECFFE6B">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0.08</w:t>
                  </w:r>
                </w:p>
              </w:tc>
              <w:tc>
                <w:tcPr>
                  <w:tcW w:w="946" w:type="dxa"/>
                  <w:tcBorders>
                    <w:tl2br w:val="nil"/>
                    <w:tr2bl w:val="nil"/>
                  </w:tcBorders>
                  <w:shd w:val="clear" w:color="auto" w:fill="auto"/>
                  <w:vAlign w:val="center"/>
                </w:tcPr>
                <w:p w14:paraId="4A7BF80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677" w:type="dxa"/>
                  <w:tcBorders>
                    <w:tl2br w:val="nil"/>
                    <w:tr2bl w:val="nil"/>
                  </w:tcBorders>
                  <w:shd w:val="clear" w:color="auto" w:fill="auto"/>
                  <w:vAlign w:val="center"/>
                </w:tcPr>
                <w:p w14:paraId="1B1C5826">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4B9C6E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14CCFA87">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铁（mg/L）</w:t>
                  </w:r>
                </w:p>
              </w:tc>
              <w:tc>
                <w:tcPr>
                  <w:tcW w:w="1212" w:type="dxa"/>
                  <w:tcBorders>
                    <w:tl2br w:val="nil"/>
                    <w:tr2bl w:val="nil"/>
                  </w:tcBorders>
                  <w:shd w:val="clear" w:color="auto" w:fill="auto"/>
                  <w:vAlign w:val="center"/>
                </w:tcPr>
                <w:p w14:paraId="08491F84">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c>
                <w:tcPr>
                  <w:tcW w:w="1234" w:type="dxa"/>
                  <w:tcBorders>
                    <w:tl2br w:val="nil"/>
                    <w:tr2bl w:val="nil"/>
                  </w:tcBorders>
                  <w:shd w:val="clear" w:color="auto" w:fill="auto"/>
                  <w:vAlign w:val="center"/>
                </w:tcPr>
                <w:p w14:paraId="70A85F55">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c>
                <w:tcPr>
                  <w:tcW w:w="1223" w:type="dxa"/>
                  <w:tcBorders>
                    <w:tl2br w:val="nil"/>
                    <w:tr2bl w:val="nil"/>
                  </w:tcBorders>
                  <w:shd w:val="clear" w:color="auto" w:fill="auto"/>
                  <w:vAlign w:val="center"/>
                </w:tcPr>
                <w:p w14:paraId="0C4AA6F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0.06</w:t>
                  </w:r>
                </w:p>
              </w:tc>
              <w:tc>
                <w:tcPr>
                  <w:tcW w:w="1085" w:type="dxa"/>
                  <w:tcBorders>
                    <w:tl2br w:val="nil"/>
                    <w:tr2bl w:val="nil"/>
                  </w:tcBorders>
                  <w:shd w:val="clear" w:color="auto" w:fill="auto"/>
                  <w:vAlign w:val="center"/>
                </w:tcPr>
                <w:p w14:paraId="2E9DA51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0.06</w:t>
                  </w:r>
                </w:p>
              </w:tc>
              <w:tc>
                <w:tcPr>
                  <w:tcW w:w="946" w:type="dxa"/>
                  <w:tcBorders>
                    <w:tl2br w:val="nil"/>
                    <w:tr2bl w:val="nil"/>
                  </w:tcBorders>
                  <w:shd w:val="clear" w:color="auto" w:fill="auto"/>
                  <w:vAlign w:val="center"/>
                </w:tcPr>
                <w:p w14:paraId="583092E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77" w:type="dxa"/>
                  <w:tcBorders>
                    <w:tl2br w:val="nil"/>
                    <w:tr2bl w:val="nil"/>
                  </w:tcBorders>
                  <w:shd w:val="clear" w:color="auto" w:fill="auto"/>
                  <w:vAlign w:val="center"/>
                </w:tcPr>
                <w:p w14:paraId="58081E14">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29CAE2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4AC89BDA">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锰（mg/L）</w:t>
                  </w:r>
                </w:p>
              </w:tc>
              <w:tc>
                <w:tcPr>
                  <w:tcW w:w="1212" w:type="dxa"/>
                  <w:tcBorders>
                    <w:tl2br w:val="nil"/>
                    <w:tr2bl w:val="nil"/>
                  </w:tcBorders>
                  <w:shd w:val="clear" w:color="auto" w:fill="auto"/>
                  <w:vAlign w:val="center"/>
                </w:tcPr>
                <w:p w14:paraId="703E0F0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m:oMath>
                    <m:r>
                      <m:rPr>
                        <m:nor/>
                        <m:sty m:val="p"/>
                      </m:rPr>
                      <w:rPr>
                        <w:rFonts w:hint="default" w:ascii="Times New Roman" w:hAnsi="Times New Roman" w:eastAsia="宋体" w:cs="Times New Roman"/>
                        <w:b w:val="0"/>
                        <w:i w:val="0"/>
                        <w:color w:val="auto"/>
                        <w:kern w:val="2"/>
                        <w:sz w:val="18"/>
                        <w:szCs w:val="18"/>
                        <w:highlight w:val="none"/>
                        <w:lang w:val="en-US" w:eastAsia="zh-CN" w:bidi="ar-SA"/>
                      </w:rPr>
                      <m:t>&lt;</m:t>
                    </m:r>
                  </m:oMath>
                  <w:r>
                    <w:rPr>
                      <w:rFonts w:hint="default" w:ascii="Times New Roman" w:hAnsi="Times New Roman" w:eastAsia="宋体" w:cs="Times New Roman"/>
                      <w:color w:val="auto"/>
                      <w:sz w:val="18"/>
                      <w:szCs w:val="18"/>
                      <w:highlight w:val="none"/>
                      <w:lang w:val="en-US" w:eastAsia="zh-CN"/>
                    </w:rPr>
                    <w:t>0.01</w:t>
                  </w:r>
                </w:p>
              </w:tc>
              <w:tc>
                <w:tcPr>
                  <w:tcW w:w="1234" w:type="dxa"/>
                  <w:tcBorders>
                    <w:tl2br w:val="nil"/>
                    <w:tr2bl w:val="nil"/>
                  </w:tcBorders>
                  <w:shd w:val="clear" w:color="auto" w:fill="auto"/>
                  <w:vAlign w:val="center"/>
                </w:tcPr>
                <w:p w14:paraId="6050699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m:oMath>
                    <m:r>
                      <m:rPr>
                        <m:nor/>
                        <m:sty m:val="p"/>
                      </m:rPr>
                      <w:rPr>
                        <w:rFonts w:hint="default" w:ascii="Times New Roman" w:hAnsi="Times New Roman" w:eastAsia="宋体" w:cs="Times New Roman"/>
                        <w:b w:val="0"/>
                        <w:i w:val="0"/>
                        <w:color w:val="auto"/>
                        <w:kern w:val="2"/>
                        <w:sz w:val="18"/>
                        <w:szCs w:val="18"/>
                        <w:highlight w:val="none"/>
                        <w:lang w:val="en-US" w:eastAsia="zh-CN" w:bidi="ar-SA"/>
                      </w:rPr>
                      <m:t>&lt;</m:t>
                    </m:r>
                  </m:oMath>
                  <w:r>
                    <w:rPr>
                      <w:rFonts w:hint="default" w:ascii="Times New Roman" w:hAnsi="Times New Roman" w:eastAsia="宋体" w:cs="Times New Roman"/>
                      <w:color w:val="auto"/>
                      <w:sz w:val="18"/>
                      <w:szCs w:val="18"/>
                      <w:highlight w:val="none"/>
                      <w:lang w:val="en-US" w:eastAsia="zh-CN"/>
                    </w:rPr>
                    <w:t>0.01</w:t>
                  </w:r>
                </w:p>
              </w:tc>
              <w:tc>
                <w:tcPr>
                  <w:tcW w:w="1223" w:type="dxa"/>
                  <w:tcBorders>
                    <w:tl2br w:val="nil"/>
                    <w:tr2bl w:val="nil"/>
                  </w:tcBorders>
                  <w:shd w:val="clear" w:color="auto" w:fill="auto"/>
                  <w:vAlign w:val="center"/>
                </w:tcPr>
                <w:p w14:paraId="06DA269A">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m:oMath>
                    <m:r>
                      <m:rPr>
                        <m:nor/>
                        <m:sty m:val="p"/>
                      </m:rPr>
                      <w:rPr>
                        <w:rFonts w:hint="default" w:ascii="Times New Roman" w:hAnsi="Times New Roman" w:eastAsia="宋体" w:cs="Times New Roman"/>
                        <w:b w:val="0"/>
                        <w:i w:val="0"/>
                        <w:color w:val="auto"/>
                        <w:kern w:val="2"/>
                        <w:sz w:val="18"/>
                        <w:szCs w:val="18"/>
                        <w:highlight w:val="none"/>
                        <w:lang w:val="en-US" w:eastAsia="zh-CN" w:bidi="ar-SA"/>
                      </w:rPr>
                      <m:t>&lt;</m:t>
                    </m:r>
                  </m:oMath>
                  <w:r>
                    <w:rPr>
                      <w:rFonts w:hint="default" w:ascii="Times New Roman" w:hAnsi="Times New Roman" w:eastAsia="宋体" w:cs="Times New Roman"/>
                      <w:color w:val="auto"/>
                      <w:sz w:val="18"/>
                      <w:szCs w:val="18"/>
                      <w:highlight w:val="none"/>
                      <w:lang w:val="en-US" w:eastAsia="zh-CN"/>
                    </w:rPr>
                    <w:t>0.01</w:t>
                  </w:r>
                </w:p>
              </w:tc>
              <w:tc>
                <w:tcPr>
                  <w:tcW w:w="1085" w:type="dxa"/>
                  <w:tcBorders>
                    <w:tl2br w:val="nil"/>
                    <w:tr2bl w:val="nil"/>
                  </w:tcBorders>
                  <w:shd w:val="clear" w:color="auto" w:fill="auto"/>
                  <w:vAlign w:val="center"/>
                </w:tcPr>
                <w:p w14:paraId="115D731D">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m:oMath>
                    <m:r>
                      <m:rPr>
                        <m:nor/>
                        <m:sty m:val="p"/>
                      </m:rPr>
                      <w:rPr>
                        <w:rFonts w:hint="default" w:ascii="Times New Roman" w:hAnsi="Times New Roman" w:eastAsia="宋体" w:cs="Times New Roman"/>
                        <w:b w:val="0"/>
                        <w:i w:val="0"/>
                        <w:color w:val="auto"/>
                        <w:kern w:val="2"/>
                        <w:sz w:val="18"/>
                        <w:szCs w:val="18"/>
                        <w:highlight w:val="none"/>
                        <w:lang w:val="en-US" w:eastAsia="zh-CN" w:bidi="ar-SA"/>
                      </w:rPr>
                      <m:t>&lt;</m:t>
                    </m:r>
                  </m:oMath>
                  <w:r>
                    <w:rPr>
                      <w:rFonts w:hint="default" w:ascii="Times New Roman" w:hAnsi="Times New Roman" w:eastAsia="宋体" w:cs="Times New Roman"/>
                      <w:color w:val="auto"/>
                      <w:sz w:val="18"/>
                      <w:szCs w:val="18"/>
                      <w:highlight w:val="none"/>
                      <w:lang w:val="en-US" w:eastAsia="zh-CN"/>
                    </w:rPr>
                    <w:t>0.01</w:t>
                  </w:r>
                </w:p>
              </w:tc>
              <w:tc>
                <w:tcPr>
                  <w:tcW w:w="946" w:type="dxa"/>
                  <w:tcBorders>
                    <w:tl2br w:val="nil"/>
                    <w:tr2bl w:val="nil"/>
                  </w:tcBorders>
                  <w:shd w:val="clear" w:color="auto" w:fill="auto"/>
                  <w:vAlign w:val="center"/>
                </w:tcPr>
                <w:p w14:paraId="7FDC3D55">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77" w:type="dxa"/>
                  <w:tcBorders>
                    <w:tl2br w:val="nil"/>
                    <w:tr2bl w:val="nil"/>
                  </w:tcBorders>
                  <w:shd w:val="clear" w:color="auto" w:fill="auto"/>
                  <w:vAlign w:val="center"/>
                </w:tcPr>
                <w:p w14:paraId="5D80BF18">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1EA551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14:paraId="634A6713">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大肠埃希氏菌（MPN/100mL或CFU/100mL）</w:t>
                  </w:r>
                </w:p>
              </w:tc>
              <w:tc>
                <w:tcPr>
                  <w:tcW w:w="1212" w:type="dxa"/>
                  <w:tcBorders>
                    <w:tl2br w:val="nil"/>
                    <w:tr2bl w:val="nil"/>
                  </w:tcBorders>
                  <w:shd w:val="clear" w:color="auto" w:fill="auto"/>
                  <w:vAlign w:val="center"/>
                </w:tcPr>
                <w:p w14:paraId="5F7C79E0">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m:oMath>
                    <m:r>
                      <m:rPr>
                        <m:nor/>
                        <m:sty m:val="p"/>
                      </m:rPr>
                      <w:rPr>
                        <w:rFonts w:hint="default" w:ascii="Times New Roman" w:hAnsi="Times New Roman" w:eastAsia="宋体" w:cs="Times New Roman"/>
                        <w:b w:val="0"/>
                        <w:i w:val="0"/>
                        <w:color w:val="auto"/>
                        <w:kern w:val="2"/>
                        <w:sz w:val="18"/>
                        <w:szCs w:val="18"/>
                        <w:highlight w:val="none"/>
                        <w:lang w:val="en-US" w:eastAsia="zh-CN" w:bidi="ar-SA"/>
                      </w:rPr>
                      <m:t>&lt;</m:t>
                    </m:r>
                  </m:oMath>
                  <w:r>
                    <w:rPr>
                      <w:rFonts w:hint="default" w:ascii="Times New Roman" w:hAnsi="Times New Roman" w:eastAsia="宋体" w:cs="Times New Roman"/>
                      <w:color w:val="auto"/>
                      <w:sz w:val="18"/>
                      <w:szCs w:val="18"/>
                      <w:highlight w:val="none"/>
                      <w:lang w:val="en-US" w:eastAsia="zh-CN"/>
                    </w:rPr>
                    <w:t>2</w:t>
                  </w:r>
                </w:p>
              </w:tc>
              <w:tc>
                <w:tcPr>
                  <w:tcW w:w="1234" w:type="dxa"/>
                  <w:tcBorders>
                    <w:tl2br w:val="nil"/>
                    <w:tr2bl w:val="nil"/>
                  </w:tcBorders>
                  <w:shd w:val="clear" w:color="auto" w:fill="auto"/>
                  <w:vAlign w:val="center"/>
                </w:tcPr>
                <w:p w14:paraId="434888B1">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m:oMath>
                    <m:r>
                      <m:rPr>
                        <m:nor/>
                        <m:sty m:val="p"/>
                      </m:rPr>
                      <w:rPr>
                        <w:rFonts w:hint="default" w:ascii="Times New Roman" w:hAnsi="Times New Roman" w:eastAsia="宋体" w:cs="Times New Roman"/>
                        <w:b w:val="0"/>
                        <w:i w:val="0"/>
                        <w:color w:val="auto"/>
                        <w:kern w:val="2"/>
                        <w:sz w:val="18"/>
                        <w:szCs w:val="18"/>
                        <w:highlight w:val="none"/>
                        <w:lang w:val="en-US" w:eastAsia="zh-CN" w:bidi="ar-SA"/>
                      </w:rPr>
                      <m:t>&lt;</m:t>
                    </m:r>
                  </m:oMath>
                  <w:r>
                    <w:rPr>
                      <w:rFonts w:hint="default" w:ascii="Times New Roman" w:hAnsi="Times New Roman" w:eastAsia="宋体" w:cs="Times New Roman"/>
                      <w:color w:val="auto"/>
                      <w:sz w:val="18"/>
                      <w:szCs w:val="18"/>
                      <w:highlight w:val="none"/>
                      <w:lang w:val="en-US" w:eastAsia="zh-CN"/>
                    </w:rPr>
                    <w:t>2</w:t>
                  </w:r>
                </w:p>
              </w:tc>
              <w:tc>
                <w:tcPr>
                  <w:tcW w:w="1223" w:type="dxa"/>
                  <w:tcBorders>
                    <w:tl2br w:val="nil"/>
                    <w:tr2bl w:val="nil"/>
                  </w:tcBorders>
                  <w:shd w:val="clear" w:color="auto" w:fill="auto"/>
                  <w:vAlign w:val="center"/>
                </w:tcPr>
                <w:p w14:paraId="7450C730">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m:oMath>
                    <m:r>
                      <m:rPr>
                        <m:nor/>
                        <m:sty m:val="p"/>
                      </m:rPr>
                      <w:rPr>
                        <w:rFonts w:hint="default" w:ascii="Times New Roman" w:hAnsi="Times New Roman" w:eastAsia="宋体" w:cs="Times New Roman"/>
                        <w:b w:val="0"/>
                        <w:i w:val="0"/>
                        <w:color w:val="auto"/>
                        <w:kern w:val="2"/>
                        <w:sz w:val="18"/>
                        <w:szCs w:val="18"/>
                        <w:highlight w:val="none"/>
                        <w:lang w:val="en-US" w:eastAsia="zh-CN" w:bidi="ar-SA"/>
                      </w:rPr>
                      <m:t>&lt;</m:t>
                    </m:r>
                  </m:oMath>
                  <w:r>
                    <w:rPr>
                      <w:rFonts w:hint="default" w:ascii="Times New Roman" w:hAnsi="Times New Roman" w:eastAsia="宋体" w:cs="Times New Roman"/>
                      <w:color w:val="auto"/>
                      <w:sz w:val="18"/>
                      <w:szCs w:val="18"/>
                      <w:highlight w:val="none"/>
                      <w:lang w:val="en-US" w:eastAsia="zh-CN"/>
                    </w:rPr>
                    <w:t>2</w:t>
                  </w:r>
                </w:p>
              </w:tc>
              <w:tc>
                <w:tcPr>
                  <w:tcW w:w="1085" w:type="dxa"/>
                  <w:tcBorders>
                    <w:tl2br w:val="nil"/>
                    <w:tr2bl w:val="nil"/>
                  </w:tcBorders>
                  <w:shd w:val="clear" w:color="auto" w:fill="auto"/>
                  <w:vAlign w:val="center"/>
                </w:tcPr>
                <w:p w14:paraId="1B18DB2A">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rPr>
                  </w:pPr>
                  <m:oMath>
                    <m:r>
                      <m:rPr>
                        <m:nor/>
                        <m:sty m:val="p"/>
                      </m:rPr>
                      <w:rPr>
                        <w:rFonts w:hint="default" w:ascii="Times New Roman" w:hAnsi="Times New Roman" w:eastAsia="宋体" w:cs="Times New Roman"/>
                        <w:b w:val="0"/>
                        <w:i w:val="0"/>
                        <w:color w:val="auto"/>
                        <w:kern w:val="2"/>
                        <w:sz w:val="18"/>
                        <w:szCs w:val="18"/>
                        <w:highlight w:val="none"/>
                        <w:lang w:val="en-US" w:eastAsia="zh-CN" w:bidi="ar-SA"/>
                      </w:rPr>
                      <m:t>&lt;</m:t>
                    </m:r>
                  </m:oMath>
                  <w:r>
                    <w:rPr>
                      <w:rFonts w:hint="default" w:ascii="Times New Roman" w:hAnsi="Times New Roman" w:eastAsia="宋体" w:cs="Times New Roman"/>
                      <w:color w:val="auto"/>
                      <w:sz w:val="18"/>
                      <w:szCs w:val="18"/>
                      <w:highlight w:val="none"/>
                      <w:lang w:val="en-US" w:eastAsia="zh-CN"/>
                    </w:rPr>
                    <w:t>2</w:t>
                  </w:r>
                </w:p>
              </w:tc>
              <w:tc>
                <w:tcPr>
                  <w:tcW w:w="946" w:type="dxa"/>
                  <w:tcBorders>
                    <w:tl2br w:val="nil"/>
                    <w:tr2bl w:val="nil"/>
                  </w:tcBorders>
                  <w:shd w:val="clear" w:color="auto" w:fill="auto"/>
                  <w:vAlign w:val="center"/>
                </w:tcPr>
                <w:p w14:paraId="6D3C71EA">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无（不应检出）</w:t>
                  </w:r>
                </w:p>
              </w:tc>
              <w:tc>
                <w:tcPr>
                  <w:tcW w:w="677" w:type="dxa"/>
                  <w:tcBorders>
                    <w:tl2br w:val="nil"/>
                    <w:tr2bl w:val="nil"/>
                  </w:tcBorders>
                  <w:shd w:val="clear" w:color="auto" w:fill="auto"/>
                  <w:vAlign w:val="center"/>
                </w:tcPr>
                <w:p w14:paraId="645D48DF">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38B314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32" w:type="dxa"/>
                  <w:gridSpan w:val="7"/>
                  <w:tcBorders>
                    <w:tl2br w:val="nil"/>
                    <w:tr2bl w:val="nil"/>
                  </w:tcBorders>
                  <w:shd w:val="clear" w:color="auto" w:fill="auto"/>
                  <w:vAlign w:val="center"/>
                </w:tcPr>
                <w:p w14:paraId="106F03FD">
                  <w:pPr>
                    <w:pStyle w:val="53"/>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当检测结果低于方法检出限时，报项目的检出限并加“&lt;”或“未检出”表示。</w:t>
                  </w:r>
                </w:p>
              </w:tc>
            </w:tr>
          </w:tbl>
          <w:p w14:paraId="66E6A4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综上，本项目运营期生活污水依托易门铜业有限公司已建生活污水处理设施进行处理是合理可行的。</w:t>
            </w:r>
          </w:p>
          <w:p w14:paraId="5B6BAE7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z w:val="24"/>
                <w:lang w:val="en-US" w:eastAsia="zh-CN"/>
              </w:rPr>
            </w:pPr>
            <w:r>
              <w:rPr>
                <w:rFonts w:hint="default" w:ascii="Times New Roman" w:hAnsi="Times New Roman" w:eastAsia="宋体" w:cs="Times New Roman"/>
                <w:b/>
                <w:bCs/>
                <w:color w:val="auto"/>
                <w:sz w:val="24"/>
              </w:rPr>
              <w:t>2.</w:t>
            </w:r>
            <w:r>
              <w:rPr>
                <w:rFonts w:hint="eastAsia" w:cs="Times New Roman"/>
                <w:b/>
                <w:bCs/>
                <w:color w:val="auto"/>
                <w:sz w:val="24"/>
                <w:lang w:val="en-US" w:eastAsia="zh-CN"/>
              </w:rPr>
              <w:t>3废水非正常排放环境影响分析</w:t>
            </w:r>
          </w:p>
          <w:p w14:paraId="5C3943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本项目运营期废水非正常排放情况包括：</w:t>
            </w:r>
            <w:r>
              <w:rPr>
                <w:rFonts w:hint="eastAsia" w:eastAsia="宋体" w:cs="Times New Roman"/>
                <w:b w:val="0"/>
                <w:bCs w:val="0"/>
                <w:color w:val="auto"/>
                <w:sz w:val="24"/>
                <w:lang w:val="en-US" w:eastAsia="zh-CN"/>
              </w:rPr>
              <w:t>回水</w:t>
            </w:r>
            <w:r>
              <w:rPr>
                <w:rFonts w:hint="eastAsia" w:ascii="Times New Roman" w:hAnsi="Times New Roman" w:eastAsia="宋体" w:cs="Times New Roman"/>
                <w:b w:val="0"/>
                <w:bCs w:val="0"/>
                <w:color w:val="auto"/>
                <w:sz w:val="24"/>
                <w:lang w:val="en-US" w:eastAsia="zh-CN"/>
              </w:rPr>
              <w:t>池池体破损、排水管道破裂、检修等，若上述情形发生将会造成</w:t>
            </w:r>
            <w:r>
              <w:rPr>
                <w:rFonts w:hint="eastAsia" w:eastAsia="宋体" w:cs="Times New Roman"/>
                <w:b w:val="0"/>
                <w:bCs w:val="0"/>
                <w:color w:val="auto"/>
                <w:sz w:val="24"/>
                <w:lang w:val="en-US" w:eastAsia="zh-CN"/>
              </w:rPr>
              <w:t>生产废水</w:t>
            </w:r>
            <w:r>
              <w:rPr>
                <w:rFonts w:hint="eastAsia" w:ascii="Times New Roman" w:hAnsi="Times New Roman" w:eastAsia="宋体" w:cs="Times New Roman"/>
                <w:b w:val="0"/>
                <w:bCs w:val="0"/>
                <w:color w:val="auto"/>
                <w:sz w:val="24"/>
                <w:lang w:val="en-US" w:eastAsia="zh-CN"/>
              </w:rPr>
              <w:t>直接排放至周边环境，废水的直接外排会对厂区及周边土壤环境、地表水环境造成污染。为了防止废水非正常排放污染周边环境，易门铜业有限公司已设置截流沟和事故水池导流并暂存事故废水。根据建设单位提供的资料，</w:t>
            </w:r>
            <w:r>
              <w:rPr>
                <w:rFonts w:hint="eastAsia" w:eastAsia="宋体" w:cs="Times New Roman"/>
                <w:b w:val="0"/>
                <w:bCs w:val="0"/>
                <w:color w:val="auto"/>
                <w:sz w:val="24"/>
                <w:lang w:val="en-US" w:eastAsia="zh-CN"/>
              </w:rPr>
              <w:t>渣选厂</w:t>
            </w:r>
            <w:r>
              <w:rPr>
                <w:rFonts w:hint="eastAsia" w:cs="Times New Roman"/>
                <w:b w:val="0"/>
                <w:bCs w:val="0"/>
                <w:color w:val="auto"/>
                <w:sz w:val="24"/>
                <w:lang w:val="en-US" w:eastAsia="zh-CN"/>
              </w:rPr>
              <w:t>现已</w:t>
            </w:r>
            <w:r>
              <w:rPr>
                <w:rFonts w:hint="eastAsia" w:ascii="Times New Roman" w:hAnsi="Times New Roman" w:eastAsia="宋体" w:cs="Times New Roman"/>
                <w:b w:val="0"/>
                <w:bCs w:val="0"/>
                <w:color w:val="auto"/>
                <w:sz w:val="24"/>
                <w:lang w:val="en-US" w:eastAsia="zh-CN"/>
              </w:rPr>
              <w:t>建</w:t>
            </w:r>
            <w:r>
              <w:rPr>
                <w:rFonts w:hint="eastAsia" w:cs="Times New Roman"/>
                <w:b w:val="0"/>
                <w:bCs w:val="0"/>
                <w:color w:val="auto"/>
                <w:sz w:val="24"/>
                <w:lang w:val="en-US" w:eastAsia="zh-CN"/>
              </w:rPr>
              <w:t>成1个容积为300</w:t>
            </w:r>
            <w:r>
              <w:rPr>
                <w:rFonts w:hint="default" w:ascii="Times New Roman" w:hAnsi="Times New Roman" w:eastAsia="宋体" w:cs="Times New Roman"/>
                <w:b w:val="0"/>
                <w:bCs w:val="0"/>
                <w:color w:val="auto"/>
                <w:sz w:val="24"/>
                <w:lang w:val="en-US" w:eastAsia="zh-CN"/>
              </w:rPr>
              <w:t>m</w:t>
            </w:r>
            <w:r>
              <w:rPr>
                <w:rFonts w:hint="default" w:ascii="Times New Roman" w:hAnsi="Times New Roman" w:eastAsia="宋体" w:cs="Times New Roman"/>
                <w:b w:val="0"/>
                <w:bCs w:val="0"/>
                <w:color w:val="auto"/>
                <w:sz w:val="24"/>
                <w:vertAlign w:val="superscript"/>
                <w:lang w:val="en-US" w:eastAsia="zh-CN"/>
              </w:rPr>
              <w:t>3</w:t>
            </w:r>
            <w:r>
              <w:rPr>
                <w:rFonts w:hint="eastAsia" w:cs="Times New Roman"/>
                <w:b w:val="0"/>
                <w:bCs w:val="0"/>
                <w:color w:val="auto"/>
                <w:sz w:val="24"/>
                <w:lang w:val="en-US" w:eastAsia="zh-CN"/>
              </w:rPr>
              <w:t>尾矿应急池，</w:t>
            </w:r>
            <w:r>
              <w:rPr>
                <w:rFonts w:hint="default" w:ascii="Times New Roman" w:hAnsi="Times New Roman" w:eastAsia="宋体" w:cs="Times New Roman"/>
                <w:b w:val="0"/>
                <w:bCs w:val="0"/>
                <w:color w:val="auto"/>
                <w:sz w:val="24"/>
                <w:lang w:val="en-US" w:eastAsia="zh-CN"/>
              </w:rPr>
              <w:t>1</w:t>
            </w:r>
            <w:r>
              <w:rPr>
                <w:rFonts w:hint="eastAsia" w:ascii="Times New Roman" w:hAnsi="Times New Roman" w:eastAsia="宋体" w:cs="Times New Roman"/>
                <w:b w:val="0"/>
                <w:bCs w:val="0"/>
                <w:color w:val="auto"/>
                <w:sz w:val="24"/>
                <w:lang w:val="en-US" w:eastAsia="zh-CN"/>
              </w:rPr>
              <w:t>个容积为</w:t>
            </w:r>
            <w:r>
              <w:rPr>
                <w:rFonts w:hint="default" w:ascii="Times New Roman" w:hAnsi="Times New Roman" w:eastAsia="宋体" w:cs="Times New Roman"/>
                <w:b w:val="0"/>
                <w:bCs w:val="0"/>
                <w:color w:val="auto"/>
                <w:sz w:val="24"/>
                <w:lang w:val="en-US" w:eastAsia="zh-CN"/>
              </w:rPr>
              <w:t>200m</w:t>
            </w:r>
            <w:r>
              <w:rPr>
                <w:rFonts w:hint="default" w:ascii="Times New Roman" w:hAnsi="Times New Roman" w:eastAsia="宋体" w:cs="Times New Roman"/>
                <w:b w:val="0"/>
                <w:bCs w:val="0"/>
                <w:color w:val="auto"/>
                <w:sz w:val="24"/>
                <w:vertAlign w:val="superscript"/>
                <w:lang w:val="en-US" w:eastAsia="zh-CN"/>
              </w:rPr>
              <w:t>3</w:t>
            </w:r>
            <w:r>
              <w:rPr>
                <w:rFonts w:hint="eastAsia" w:cs="Times New Roman"/>
                <w:b w:val="0"/>
                <w:bCs w:val="0"/>
                <w:color w:val="auto"/>
                <w:sz w:val="24"/>
                <w:lang w:val="en-US" w:eastAsia="zh-CN"/>
              </w:rPr>
              <w:t>的精矿应急池</w:t>
            </w:r>
            <w:r>
              <w:rPr>
                <w:rFonts w:hint="eastAsia" w:ascii="Times New Roman" w:hAnsi="Times New Roman" w:eastAsia="宋体" w:cs="Times New Roman"/>
                <w:b w:val="0"/>
                <w:bCs w:val="0"/>
                <w:color w:val="auto"/>
                <w:sz w:val="24"/>
                <w:lang w:val="en-US" w:eastAsia="zh-CN"/>
              </w:rPr>
              <w:t>，项目事故水池容积可满足事故状态废水收集要求；此外，建设单位已针对可能产生的废液、废水事故排放情况设立三级应急防控体系，项目区地面按照要求采取分区防渗措施，发生事故时，事故废水进入事故应急池暂存，确保事故废水未经处理不得出厂界。事后将事故水池中的废水导入废水处理站处理后回用，杜绝事故废水外排。</w:t>
            </w:r>
          </w:p>
          <w:p w14:paraId="3143169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2.</w:t>
            </w:r>
            <w:r>
              <w:rPr>
                <w:rFonts w:hint="eastAsia" w:cs="Times New Roman"/>
                <w:b/>
                <w:bCs/>
                <w:color w:val="auto"/>
                <w:sz w:val="24"/>
                <w:lang w:val="en-US" w:eastAsia="zh-CN"/>
              </w:rPr>
              <w:t>4</w:t>
            </w:r>
            <w:r>
              <w:rPr>
                <w:rFonts w:hint="eastAsia" w:ascii="Times New Roman" w:hAnsi="Times New Roman" w:eastAsia="宋体" w:cs="Times New Roman"/>
                <w:b/>
                <w:bCs/>
                <w:color w:val="auto"/>
                <w:sz w:val="24"/>
                <w:lang w:val="en-US" w:eastAsia="zh-CN"/>
              </w:rPr>
              <w:t>废水监测计划</w:t>
            </w:r>
          </w:p>
          <w:p w14:paraId="49A7DB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本项目运营期废水经处理后全部回用，不外排，无需制定运营期废水监测计划。</w:t>
            </w:r>
          </w:p>
          <w:p w14:paraId="3AE638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rPr>
            </w:pPr>
            <w:r>
              <w:rPr>
                <w:rFonts w:hint="default" w:ascii="Times New Roman" w:hAnsi="Times New Roman" w:eastAsia="宋体" w:cs="Times New Roman"/>
                <w:b/>
                <w:bCs/>
                <w:color w:val="auto"/>
                <w:sz w:val="24"/>
              </w:rPr>
              <w:t>2.</w:t>
            </w:r>
            <w:r>
              <w:rPr>
                <w:rFonts w:hint="eastAsia" w:ascii="Times New Roman" w:hAnsi="Times New Roman" w:eastAsia="宋体" w:cs="Times New Roman"/>
                <w:b/>
                <w:bCs/>
                <w:color w:val="auto"/>
                <w:sz w:val="24"/>
                <w:lang w:val="en-US" w:eastAsia="zh-CN"/>
              </w:rPr>
              <w:t>5废水环境影响分析结论</w:t>
            </w:r>
          </w:p>
          <w:p w14:paraId="08B8B2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综上分析，本项目运营期废水（生活污水、生产废水）经处理达标后全部回用，不外排，对周边地表水环境影响较小。</w:t>
            </w:r>
          </w:p>
          <w:p w14:paraId="5F0640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p>
          <w:p w14:paraId="4BB269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p>
          <w:p w14:paraId="2BCCAB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p>
          <w:p w14:paraId="300546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p>
          <w:p w14:paraId="1AEE4D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p>
          <w:p w14:paraId="787893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12626A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533945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0E8E40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6C70F3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159C80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527930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7C32AE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08D915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kern w:val="2"/>
                <w:sz w:val="24"/>
                <w:szCs w:val="24"/>
                <w:lang w:val="en-US" w:eastAsia="zh-CN" w:bidi="ar-SA"/>
              </w:rPr>
            </w:pPr>
          </w:p>
          <w:p w14:paraId="7694D8F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kern w:val="2"/>
                <w:sz w:val="24"/>
                <w:szCs w:val="24"/>
                <w:lang w:val="en-US" w:eastAsia="zh-CN" w:bidi="ar-SA"/>
              </w:rPr>
            </w:pPr>
          </w:p>
        </w:tc>
      </w:tr>
    </w:tbl>
    <w:p w14:paraId="3820D922">
      <w:pPr>
        <w:bidi w:val="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5" w:name="_Toc12648"/>
      <w:bookmarkStart w:id="16" w:name="_Toc22565"/>
      <w:bookmarkStart w:id="17" w:name="_Toc3271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3617"/>
      </w:tblGrid>
      <w:tr w14:paraId="6B99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7" w:type="dxa"/>
            <w:vAlign w:val="center"/>
          </w:tcPr>
          <w:p w14:paraId="1E7F9C6A">
            <w:pPr>
              <w:bidi w:val="0"/>
              <w:ind w:left="0" w:leftChars="0" w:right="0" w:rightChars="0" w:firstLine="0" w:firstLineChars="0"/>
              <w:jc w:val="center"/>
              <w:rPr>
                <w:rFonts w:hint="default"/>
                <w:vertAlign w:val="baseline"/>
                <w:lang w:val="en-US" w:eastAsia="zh-CN"/>
              </w:rPr>
            </w:pPr>
            <w:r>
              <w:rPr>
                <w:rFonts w:hint="eastAsia"/>
                <w:b/>
                <w:bCs/>
                <w:sz w:val="24"/>
                <w:szCs w:val="24"/>
                <w:vertAlign w:val="baseline"/>
                <w:lang w:val="en-US" w:eastAsia="zh-CN"/>
              </w:rPr>
              <w:t>运营期环境影响和保护措施</w:t>
            </w:r>
          </w:p>
        </w:tc>
        <w:tc>
          <w:tcPr>
            <w:tcW w:w="13617" w:type="dxa"/>
          </w:tcPr>
          <w:p w14:paraId="3CEE3F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3、噪声</w:t>
            </w:r>
          </w:p>
          <w:p w14:paraId="3961FDF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1噪声污染源源强核算结果及相关参数</w:t>
            </w:r>
          </w:p>
          <w:p w14:paraId="3B9C545D">
            <w:pPr>
              <w:pStyle w:val="3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sz w:val="24"/>
                <w:szCs w:val="24"/>
              </w:rPr>
              <w:t>项目产生噪声的设备主要有破碎机、振动筛、球磨机、浮选机、</w:t>
            </w:r>
            <w:r>
              <w:rPr>
                <w:rFonts w:hint="eastAsia" w:ascii="Times New Roman" w:hAnsi="Times New Roman" w:eastAsia="宋体" w:cs="Times New Roman"/>
                <w:sz w:val="24"/>
                <w:szCs w:val="24"/>
                <w:lang w:val="en-US" w:eastAsia="zh-CN"/>
              </w:rPr>
              <w:t>风机、</w:t>
            </w:r>
            <w:r>
              <w:rPr>
                <w:rFonts w:hint="default" w:ascii="Times New Roman" w:hAnsi="Times New Roman" w:eastAsia="宋体" w:cs="Times New Roman"/>
                <w:sz w:val="24"/>
                <w:szCs w:val="24"/>
              </w:rPr>
              <w:t>离心风机、渣浆泵等，噪声声级为85~105dB</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bCs/>
                <w:color w:val="auto"/>
                <w:kern w:val="0"/>
                <w:sz w:val="24"/>
                <w:szCs w:val="24"/>
                <w:lang w:val="en-US" w:eastAsia="zh-CN"/>
              </w:rPr>
              <w:t>，</w:t>
            </w:r>
            <w:r>
              <w:rPr>
                <w:rFonts w:hint="default" w:ascii="Times New Roman" w:hAnsi="Times New Roman" w:eastAsia="宋体" w:cs="Times New Roman"/>
                <w:bCs/>
                <w:color w:val="auto"/>
                <w:kern w:val="0"/>
                <w:sz w:val="24"/>
                <w:szCs w:val="24"/>
              </w:rPr>
              <w:t>经采取</w:t>
            </w:r>
            <w:r>
              <w:rPr>
                <w:rFonts w:hint="default" w:ascii="Times New Roman" w:hAnsi="Times New Roman" w:eastAsia="宋体" w:cs="Times New Roman"/>
                <w:bCs/>
                <w:color w:val="auto"/>
                <w:sz w:val="24"/>
                <w:szCs w:val="24"/>
                <w:highlight w:val="none"/>
                <w:lang w:val="en-US" w:eastAsia="zh-CN"/>
              </w:rPr>
              <w:t>使用低噪声设备、风机消声、隔音板</w:t>
            </w:r>
            <w:r>
              <w:rPr>
                <w:rFonts w:hint="default" w:ascii="Times New Roman" w:hAnsi="Times New Roman" w:eastAsia="宋体" w:cs="Times New Roman"/>
                <w:bCs/>
                <w:color w:val="auto"/>
                <w:sz w:val="24"/>
                <w:szCs w:val="24"/>
                <w:highlight w:val="none"/>
              </w:rPr>
              <w:t>距离衰减、减震等措施处理</w:t>
            </w:r>
            <w:r>
              <w:rPr>
                <w:rFonts w:hint="default" w:ascii="Times New Roman" w:hAnsi="Times New Roman" w:eastAsia="宋体" w:cs="Times New Roman"/>
                <w:bCs/>
                <w:color w:val="auto"/>
                <w:kern w:val="0"/>
                <w:sz w:val="24"/>
                <w:szCs w:val="24"/>
              </w:rPr>
              <w:t>，噪声对周围环境影响较小</w:t>
            </w:r>
            <w:r>
              <w:rPr>
                <w:rFonts w:hint="eastAsia"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排放噪声源强见</w:t>
            </w:r>
            <w:r>
              <w:rPr>
                <w:rFonts w:hint="default" w:ascii="Times New Roman" w:hAnsi="Times New Roman" w:eastAsia="宋体" w:cs="Times New Roman"/>
                <w:bCs/>
                <w:color w:val="auto"/>
                <w:kern w:val="0"/>
                <w:sz w:val="24"/>
                <w:szCs w:val="24"/>
                <w:lang w:eastAsia="zh-CN"/>
              </w:rPr>
              <w:t>下</w:t>
            </w:r>
            <w:r>
              <w:rPr>
                <w:rFonts w:hint="default" w:ascii="Times New Roman" w:hAnsi="Times New Roman" w:eastAsia="宋体" w:cs="Times New Roman"/>
                <w:bCs/>
                <w:color w:val="auto"/>
                <w:kern w:val="0"/>
                <w:sz w:val="24"/>
                <w:szCs w:val="24"/>
              </w:rPr>
              <w:t>表。</w:t>
            </w:r>
          </w:p>
          <w:p w14:paraId="6B136032">
            <w:pPr>
              <w:pStyle w:val="31"/>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rPr>
                <w:rFonts w:hint="eastAsia" w:ascii="黑体" w:hAnsi="黑体" w:eastAsia="黑体" w:cs="黑体"/>
                <w:b w:val="0"/>
                <w:bCs w:val="0"/>
                <w:color w:val="auto"/>
                <w:kern w:val="0"/>
                <w:sz w:val="21"/>
                <w:szCs w:val="21"/>
                <w:lang w:eastAsia="zh-CN"/>
              </w:rPr>
            </w:pPr>
            <w:r>
              <w:rPr>
                <w:rFonts w:hint="eastAsia" w:ascii="黑体" w:hAnsi="黑体" w:eastAsia="黑体" w:cs="黑体"/>
                <w:b w:val="0"/>
                <w:bCs w:val="0"/>
                <w:color w:val="auto"/>
                <w:sz w:val="21"/>
                <w:szCs w:val="21"/>
                <w:highlight w:val="none"/>
                <w:lang w:val="en-US" w:eastAsia="zh-CN"/>
              </w:rPr>
              <w:t xml:space="preserve">表4-10   </w:t>
            </w:r>
            <w:r>
              <w:rPr>
                <w:rFonts w:hint="eastAsia" w:ascii="黑体" w:hAnsi="黑体" w:eastAsia="黑体" w:cs="黑体"/>
                <w:b w:val="0"/>
                <w:bCs w:val="0"/>
                <w:color w:val="auto"/>
                <w:kern w:val="0"/>
                <w:sz w:val="21"/>
                <w:szCs w:val="21"/>
              </w:rPr>
              <w:t>噪声污染源源强</w:t>
            </w:r>
            <w:r>
              <w:rPr>
                <w:rFonts w:hint="eastAsia" w:ascii="黑体" w:hAnsi="黑体" w:eastAsia="黑体" w:cs="黑体"/>
                <w:b w:val="0"/>
                <w:bCs w:val="0"/>
                <w:color w:val="auto"/>
                <w:kern w:val="0"/>
                <w:sz w:val="21"/>
                <w:szCs w:val="21"/>
                <w:lang w:eastAsia="zh-CN"/>
              </w:rPr>
              <w:t>调查清单（室</w:t>
            </w:r>
            <w:r>
              <w:rPr>
                <w:rFonts w:hint="eastAsia" w:ascii="黑体" w:hAnsi="黑体" w:eastAsia="黑体" w:cs="黑体"/>
                <w:b w:val="0"/>
                <w:bCs w:val="0"/>
                <w:color w:val="auto"/>
                <w:kern w:val="0"/>
                <w:sz w:val="21"/>
                <w:szCs w:val="21"/>
                <w:lang w:val="en-US" w:eastAsia="zh-CN"/>
              </w:rPr>
              <w:t>外</w:t>
            </w:r>
            <w:r>
              <w:rPr>
                <w:rFonts w:hint="eastAsia" w:ascii="黑体" w:hAnsi="黑体" w:eastAsia="黑体" w:cs="黑体"/>
                <w:b w:val="0"/>
                <w:bCs w:val="0"/>
                <w:color w:val="auto"/>
                <w:kern w:val="0"/>
                <w:sz w:val="21"/>
                <w:szCs w:val="21"/>
                <w:lang w:eastAsia="zh-CN"/>
              </w:rPr>
              <w:t>声源）</w:t>
            </w:r>
          </w:p>
          <w:tbl>
            <w:tblPr>
              <w:tblStyle w:val="22"/>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089"/>
              <w:gridCol w:w="975"/>
              <w:gridCol w:w="1016"/>
              <w:gridCol w:w="936"/>
              <w:gridCol w:w="863"/>
              <w:gridCol w:w="2425"/>
              <w:gridCol w:w="1716"/>
              <w:gridCol w:w="1331"/>
              <w:gridCol w:w="1332"/>
            </w:tblGrid>
            <w:tr w14:paraId="7500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 w:type="pct"/>
                  <w:vMerge w:val="restart"/>
                  <w:tcBorders>
                    <w:left w:val="nil"/>
                  </w:tcBorders>
                  <w:vAlign w:val="center"/>
                </w:tcPr>
                <w:p w14:paraId="1B07D7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序号</w:t>
                  </w:r>
                </w:p>
              </w:tc>
              <w:tc>
                <w:tcPr>
                  <w:tcW w:w="783" w:type="pct"/>
                  <w:vMerge w:val="restart"/>
                  <w:vAlign w:val="center"/>
                </w:tcPr>
                <w:p w14:paraId="713B05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声源名称</w:t>
                  </w:r>
                </w:p>
              </w:tc>
              <w:tc>
                <w:tcPr>
                  <w:tcW w:w="365" w:type="pct"/>
                  <w:vMerge w:val="restart"/>
                  <w:vAlign w:val="center"/>
                </w:tcPr>
                <w:p w14:paraId="66A8C6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型号</w:t>
                  </w:r>
                </w:p>
              </w:tc>
              <w:tc>
                <w:tcPr>
                  <w:tcW w:w="1056" w:type="pct"/>
                  <w:gridSpan w:val="3"/>
                  <w:vAlign w:val="center"/>
                </w:tcPr>
                <w:p w14:paraId="5AC8392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空间相对位置/m</w:t>
                  </w:r>
                </w:p>
              </w:tc>
              <w:tc>
                <w:tcPr>
                  <w:tcW w:w="1553" w:type="pct"/>
                  <w:gridSpan w:val="2"/>
                  <w:vAlign w:val="center"/>
                </w:tcPr>
                <w:p w14:paraId="15CC05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声源源强（任选一种）</w:t>
                  </w:r>
                </w:p>
              </w:tc>
              <w:tc>
                <w:tcPr>
                  <w:tcW w:w="499" w:type="pct"/>
                  <w:vMerge w:val="restart"/>
                  <w:vAlign w:val="center"/>
                </w:tcPr>
                <w:p w14:paraId="55D8A7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声源控制措施</w:t>
                  </w:r>
                </w:p>
              </w:tc>
              <w:tc>
                <w:tcPr>
                  <w:tcW w:w="499" w:type="pct"/>
                  <w:vMerge w:val="restart"/>
                  <w:tcBorders>
                    <w:right w:val="nil"/>
                  </w:tcBorders>
                  <w:vAlign w:val="center"/>
                </w:tcPr>
                <w:p w14:paraId="3BF9E65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运行时段</w:t>
                  </w:r>
                </w:p>
              </w:tc>
            </w:tr>
            <w:tr w14:paraId="1FB6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 w:type="pct"/>
                  <w:vMerge w:val="continue"/>
                  <w:tcBorders>
                    <w:left w:val="nil"/>
                  </w:tcBorders>
                  <w:vAlign w:val="center"/>
                </w:tcPr>
                <w:p w14:paraId="623746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783" w:type="pct"/>
                  <w:vMerge w:val="continue"/>
                  <w:vAlign w:val="center"/>
                </w:tcPr>
                <w:p w14:paraId="04D670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365" w:type="pct"/>
                  <w:vMerge w:val="continue"/>
                  <w:vAlign w:val="center"/>
                </w:tcPr>
                <w:p w14:paraId="3A10B1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381" w:type="pct"/>
                  <w:vAlign w:val="center"/>
                </w:tcPr>
                <w:p w14:paraId="76AE58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X</w:t>
                  </w:r>
                </w:p>
              </w:tc>
              <w:tc>
                <w:tcPr>
                  <w:tcW w:w="351" w:type="pct"/>
                  <w:vAlign w:val="center"/>
                </w:tcPr>
                <w:p w14:paraId="2DF2B3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Y</w:t>
                  </w:r>
                </w:p>
              </w:tc>
              <w:tc>
                <w:tcPr>
                  <w:tcW w:w="323" w:type="pct"/>
                  <w:vAlign w:val="center"/>
                </w:tcPr>
                <w:p w14:paraId="77B302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Z</w:t>
                  </w:r>
                </w:p>
              </w:tc>
              <w:tc>
                <w:tcPr>
                  <w:tcW w:w="909" w:type="pct"/>
                  <w:vAlign w:val="center"/>
                </w:tcPr>
                <w:p w14:paraId="417042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（声压级/距声源距离）/（dB</w:t>
                  </w:r>
                  <w:r>
                    <w:rPr>
                      <w:rFonts w:hint="eastAsia" w:ascii="Times New Roman" w:hAnsi="Times New Roman" w:eastAsia="宋体" w:cs="Times New Roman"/>
                      <w:b w:val="0"/>
                      <w:bCs w:val="0"/>
                      <w:color w:val="auto"/>
                      <w:sz w:val="18"/>
                      <w:szCs w:val="18"/>
                      <w:highlight w:val="none"/>
                      <w:lang w:val="en-US" w:eastAsia="zh-CN"/>
                    </w:rPr>
                    <w:t>（A）</w:t>
                  </w:r>
                  <w:r>
                    <w:rPr>
                      <w:rFonts w:hint="default" w:ascii="Times New Roman" w:hAnsi="Times New Roman" w:eastAsia="宋体" w:cs="Times New Roman"/>
                      <w:b w:val="0"/>
                      <w:bCs w:val="0"/>
                      <w:color w:val="auto"/>
                      <w:sz w:val="18"/>
                      <w:szCs w:val="18"/>
                      <w:highlight w:val="none"/>
                      <w:lang w:val="en-US" w:eastAsia="zh-CN"/>
                    </w:rPr>
                    <w:t>/m）</w:t>
                  </w:r>
                </w:p>
              </w:tc>
              <w:tc>
                <w:tcPr>
                  <w:tcW w:w="643" w:type="pct"/>
                  <w:vAlign w:val="center"/>
                </w:tcPr>
                <w:p w14:paraId="781203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声功率级/dB</w:t>
                  </w:r>
                  <w:r>
                    <w:rPr>
                      <w:rFonts w:hint="eastAsia" w:ascii="Times New Roman" w:hAnsi="Times New Roman" w:eastAsia="宋体" w:cs="Times New Roman"/>
                      <w:b w:val="0"/>
                      <w:bCs w:val="0"/>
                      <w:color w:val="auto"/>
                      <w:sz w:val="18"/>
                      <w:szCs w:val="18"/>
                      <w:highlight w:val="none"/>
                      <w:lang w:val="en-US" w:eastAsia="zh-CN"/>
                    </w:rPr>
                    <w:t>（A）</w:t>
                  </w:r>
                </w:p>
              </w:tc>
              <w:tc>
                <w:tcPr>
                  <w:tcW w:w="499" w:type="pct"/>
                  <w:vMerge w:val="continue"/>
                  <w:vAlign w:val="center"/>
                </w:tcPr>
                <w:p w14:paraId="1E0EAC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499" w:type="pct"/>
                  <w:vMerge w:val="continue"/>
                  <w:tcBorders>
                    <w:right w:val="nil"/>
                  </w:tcBorders>
                  <w:vAlign w:val="center"/>
                </w:tcPr>
                <w:p w14:paraId="4F5C937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r>
            <w:tr w14:paraId="0C97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 w:type="pct"/>
                  <w:tcBorders>
                    <w:left w:val="nil"/>
                  </w:tcBorders>
                  <w:vAlign w:val="center"/>
                </w:tcPr>
                <w:p w14:paraId="64FC7BB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783" w:type="pct"/>
                  <w:vAlign w:val="center"/>
                </w:tcPr>
                <w:p w14:paraId="2923D8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高效浓缩机（铜精矿）</w:t>
                  </w:r>
                </w:p>
              </w:tc>
              <w:tc>
                <w:tcPr>
                  <w:tcW w:w="365" w:type="pct"/>
                  <w:vAlign w:val="center"/>
                </w:tcPr>
                <w:p w14:paraId="36A78A0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点源</w:t>
                  </w:r>
                </w:p>
              </w:tc>
              <w:tc>
                <w:tcPr>
                  <w:tcW w:w="381" w:type="pct"/>
                  <w:vAlign w:val="center"/>
                </w:tcPr>
                <w:p w14:paraId="56B4B25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15</w:t>
                  </w:r>
                </w:p>
              </w:tc>
              <w:tc>
                <w:tcPr>
                  <w:tcW w:w="351" w:type="pct"/>
                  <w:vAlign w:val="center"/>
                </w:tcPr>
                <w:p w14:paraId="77BD21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-55</w:t>
                  </w:r>
                </w:p>
              </w:tc>
              <w:tc>
                <w:tcPr>
                  <w:tcW w:w="323" w:type="pct"/>
                  <w:vAlign w:val="center"/>
                </w:tcPr>
                <w:p w14:paraId="138444F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w:t>
                  </w:r>
                </w:p>
              </w:tc>
              <w:tc>
                <w:tcPr>
                  <w:tcW w:w="909" w:type="pct"/>
                  <w:vAlign w:val="center"/>
                </w:tcPr>
                <w:p w14:paraId="1D8E3D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643" w:type="pct"/>
                  <w:vAlign w:val="center"/>
                </w:tcPr>
                <w:p w14:paraId="7E46D4E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75</w:t>
                  </w:r>
                </w:p>
              </w:tc>
              <w:tc>
                <w:tcPr>
                  <w:tcW w:w="499" w:type="pct"/>
                  <w:vAlign w:val="center"/>
                </w:tcPr>
                <w:p w14:paraId="1AE972F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减震</w:t>
                  </w:r>
                </w:p>
              </w:tc>
              <w:tc>
                <w:tcPr>
                  <w:tcW w:w="499" w:type="pct"/>
                  <w:tcBorders>
                    <w:right w:val="nil"/>
                  </w:tcBorders>
                  <w:vAlign w:val="center"/>
                </w:tcPr>
                <w:p w14:paraId="1E51CEF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稳定声源</w:t>
                  </w:r>
                </w:p>
              </w:tc>
            </w:tr>
            <w:tr w14:paraId="4BCD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 w:type="pct"/>
                  <w:tcBorders>
                    <w:left w:val="nil"/>
                  </w:tcBorders>
                  <w:vAlign w:val="center"/>
                </w:tcPr>
                <w:p w14:paraId="5250F04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w:t>
                  </w:r>
                </w:p>
              </w:tc>
              <w:tc>
                <w:tcPr>
                  <w:tcW w:w="783" w:type="pct"/>
                  <w:vAlign w:val="center"/>
                </w:tcPr>
                <w:p w14:paraId="41EEA9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高效浓缩机（</w:t>
                  </w:r>
                  <w:r>
                    <w:rPr>
                      <w:rFonts w:hint="eastAsia" w:ascii="Times New Roman" w:hAnsi="Times New Roman" w:eastAsia="宋体" w:cs="Times New Roman"/>
                      <w:b w:val="0"/>
                      <w:bCs w:val="0"/>
                      <w:color w:val="auto"/>
                      <w:sz w:val="18"/>
                      <w:szCs w:val="18"/>
                      <w:highlight w:val="none"/>
                      <w:lang w:val="en-US" w:eastAsia="zh-CN"/>
                    </w:rPr>
                    <w:t>铁</w:t>
                  </w:r>
                  <w:r>
                    <w:rPr>
                      <w:rFonts w:hint="default" w:ascii="Times New Roman" w:hAnsi="Times New Roman" w:eastAsia="宋体" w:cs="Times New Roman"/>
                      <w:b w:val="0"/>
                      <w:bCs w:val="0"/>
                      <w:color w:val="auto"/>
                      <w:sz w:val="18"/>
                      <w:szCs w:val="18"/>
                      <w:highlight w:val="none"/>
                      <w:lang w:val="en-US" w:eastAsia="zh-CN"/>
                    </w:rPr>
                    <w:t>精矿）</w:t>
                  </w:r>
                </w:p>
              </w:tc>
              <w:tc>
                <w:tcPr>
                  <w:tcW w:w="365" w:type="pct"/>
                  <w:vAlign w:val="center"/>
                </w:tcPr>
                <w:p w14:paraId="5567862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点源</w:t>
                  </w:r>
                </w:p>
              </w:tc>
              <w:tc>
                <w:tcPr>
                  <w:tcW w:w="381" w:type="pct"/>
                  <w:vAlign w:val="center"/>
                </w:tcPr>
                <w:p w14:paraId="3E5276F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-56</w:t>
                  </w:r>
                </w:p>
              </w:tc>
              <w:tc>
                <w:tcPr>
                  <w:tcW w:w="351" w:type="pct"/>
                  <w:vAlign w:val="center"/>
                </w:tcPr>
                <w:p w14:paraId="437ACE9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-81</w:t>
                  </w:r>
                </w:p>
              </w:tc>
              <w:tc>
                <w:tcPr>
                  <w:tcW w:w="323" w:type="pct"/>
                  <w:vAlign w:val="center"/>
                </w:tcPr>
                <w:p w14:paraId="778681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w:t>
                  </w:r>
                </w:p>
              </w:tc>
              <w:tc>
                <w:tcPr>
                  <w:tcW w:w="909" w:type="pct"/>
                  <w:vAlign w:val="center"/>
                </w:tcPr>
                <w:p w14:paraId="2BCF2CB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643" w:type="pct"/>
                  <w:vAlign w:val="center"/>
                </w:tcPr>
                <w:p w14:paraId="10E1160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75</w:t>
                  </w:r>
                </w:p>
              </w:tc>
              <w:tc>
                <w:tcPr>
                  <w:tcW w:w="499" w:type="pct"/>
                  <w:vAlign w:val="center"/>
                </w:tcPr>
                <w:p w14:paraId="56F02A5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减震</w:t>
                  </w:r>
                </w:p>
              </w:tc>
              <w:tc>
                <w:tcPr>
                  <w:tcW w:w="499" w:type="pct"/>
                  <w:tcBorders>
                    <w:right w:val="nil"/>
                  </w:tcBorders>
                  <w:vAlign w:val="center"/>
                </w:tcPr>
                <w:p w14:paraId="13412CD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稳定声源</w:t>
                  </w:r>
                </w:p>
              </w:tc>
            </w:tr>
            <w:tr w14:paraId="3719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 w:type="pct"/>
                  <w:tcBorders>
                    <w:left w:val="nil"/>
                  </w:tcBorders>
                  <w:vAlign w:val="center"/>
                </w:tcPr>
                <w:p w14:paraId="6AFD56D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w:t>
                  </w:r>
                </w:p>
              </w:tc>
              <w:tc>
                <w:tcPr>
                  <w:tcW w:w="783" w:type="pct"/>
                  <w:vAlign w:val="center"/>
                </w:tcPr>
                <w:p w14:paraId="4602949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高效浓缩机（</w:t>
                  </w:r>
                  <w:r>
                    <w:rPr>
                      <w:rFonts w:hint="eastAsia" w:ascii="Times New Roman" w:hAnsi="Times New Roman" w:eastAsia="宋体" w:cs="Times New Roman"/>
                      <w:b w:val="0"/>
                      <w:bCs w:val="0"/>
                      <w:color w:val="auto"/>
                      <w:sz w:val="18"/>
                      <w:szCs w:val="18"/>
                      <w:highlight w:val="none"/>
                      <w:lang w:val="en-US" w:eastAsia="zh-CN"/>
                    </w:rPr>
                    <w:t>尾</w:t>
                  </w:r>
                  <w:r>
                    <w:rPr>
                      <w:rFonts w:hint="default" w:ascii="Times New Roman" w:hAnsi="Times New Roman" w:eastAsia="宋体" w:cs="Times New Roman"/>
                      <w:b w:val="0"/>
                      <w:bCs w:val="0"/>
                      <w:color w:val="auto"/>
                      <w:sz w:val="18"/>
                      <w:szCs w:val="18"/>
                      <w:highlight w:val="none"/>
                      <w:lang w:val="en-US" w:eastAsia="zh-CN"/>
                    </w:rPr>
                    <w:t>矿）</w:t>
                  </w:r>
                </w:p>
              </w:tc>
              <w:tc>
                <w:tcPr>
                  <w:tcW w:w="365" w:type="pct"/>
                  <w:vAlign w:val="center"/>
                </w:tcPr>
                <w:p w14:paraId="68AEE4F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点源</w:t>
                  </w:r>
                </w:p>
              </w:tc>
              <w:tc>
                <w:tcPr>
                  <w:tcW w:w="381" w:type="pct"/>
                  <w:vAlign w:val="center"/>
                </w:tcPr>
                <w:p w14:paraId="4CAAEF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-34</w:t>
                  </w:r>
                </w:p>
              </w:tc>
              <w:tc>
                <w:tcPr>
                  <w:tcW w:w="351" w:type="pct"/>
                  <w:vAlign w:val="center"/>
                </w:tcPr>
                <w:p w14:paraId="7721495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323" w:type="pct"/>
                  <w:vAlign w:val="center"/>
                </w:tcPr>
                <w:p w14:paraId="7794AD2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909" w:type="pct"/>
                  <w:vAlign w:val="center"/>
                </w:tcPr>
                <w:p w14:paraId="2333D1A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c>
                <w:tcPr>
                  <w:tcW w:w="643" w:type="pct"/>
                  <w:vAlign w:val="center"/>
                </w:tcPr>
                <w:p w14:paraId="3945E1D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75</w:t>
                  </w:r>
                </w:p>
              </w:tc>
              <w:tc>
                <w:tcPr>
                  <w:tcW w:w="499" w:type="pct"/>
                  <w:vAlign w:val="center"/>
                </w:tcPr>
                <w:p w14:paraId="28BFAA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减震</w:t>
                  </w:r>
                </w:p>
              </w:tc>
              <w:tc>
                <w:tcPr>
                  <w:tcW w:w="499" w:type="pct"/>
                  <w:tcBorders>
                    <w:right w:val="nil"/>
                  </w:tcBorders>
                  <w:vAlign w:val="center"/>
                </w:tcPr>
                <w:p w14:paraId="1B6EEE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稳定声源</w:t>
                  </w:r>
                </w:p>
              </w:tc>
            </w:tr>
          </w:tbl>
          <w:p w14:paraId="20FFCF8B">
            <w:pPr>
              <w:pStyle w:val="31"/>
              <w:ind w:left="0" w:leftChars="0" w:right="0" w:rightChars="0" w:firstLine="0" w:firstLineChars="0"/>
              <w:jc w:val="center"/>
              <w:rPr>
                <w:rFonts w:hint="eastAsia" w:ascii="黑体" w:hAnsi="黑体" w:eastAsia="黑体" w:cs="黑体"/>
                <w:b w:val="0"/>
                <w:bCs w:val="0"/>
                <w:color w:val="auto"/>
                <w:kern w:val="0"/>
                <w:sz w:val="21"/>
                <w:szCs w:val="21"/>
                <w:lang w:eastAsia="zh-CN"/>
              </w:rPr>
            </w:pPr>
            <w:r>
              <w:rPr>
                <w:rFonts w:hint="eastAsia" w:ascii="黑体" w:hAnsi="黑体" w:eastAsia="黑体" w:cs="黑体"/>
                <w:b w:val="0"/>
                <w:bCs w:val="0"/>
                <w:color w:val="auto"/>
                <w:sz w:val="21"/>
                <w:szCs w:val="21"/>
                <w:highlight w:val="none"/>
                <w:lang w:val="en-US" w:eastAsia="zh-CN"/>
              </w:rPr>
              <w:t xml:space="preserve">表4-11   </w:t>
            </w:r>
            <w:r>
              <w:rPr>
                <w:rFonts w:hint="eastAsia" w:ascii="黑体" w:hAnsi="黑体" w:eastAsia="黑体" w:cs="黑体"/>
                <w:b w:val="0"/>
                <w:bCs w:val="0"/>
                <w:color w:val="auto"/>
                <w:kern w:val="0"/>
                <w:sz w:val="21"/>
                <w:szCs w:val="21"/>
              </w:rPr>
              <w:t>噪声污染源源强</w:t>
            </w:r>
            <w:r>
              <w:rPr>
                <w:rFonts w:hint="eastAsia" w:ascii="黑体" w:hAnsi="黑体" w:eastAsia="黑体" w:cs="黑体"/>
                <w:b w:val="0"/>
                <w:bCs w:val="0"/>
                <w:color w:val="auto"/>
                <w:kern w:val="0"/>
                <w:sz w:val="21"/>
                <w:szCs w:val="21"/>
                <w:lang w:eastAsia="zh-CN"/>
              </w:rPr>
              <w:t>调查清单（室内声源）</w:t>
            </w:r>
          </w:p>
          <w:tbl>
            <w:tblPr>
              <w:tblStyle w:val="21"/>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9"/>
              <w:gridCol w:w="763"/>
              <w:gridCol w:w="1056"/>
              <w:gridCol w:w="631"/>
              <w:gridCol w:w="1034"/>
              <w:gridCol w:w="683"/>
              <w:gridCol w:w="2524"/>
              <w:gridCol w:w="631"/>
              <w:gridCol w:w="569"/>
              <w:gridCol w:w="610"/>
              <w:gridCol w:w="621"/>
              <w:gridCol w:w="724"/>
              <w:gridCol w:w="983"/>
              <w:gridCol w:w="786"/>
              <w:gridCol w:w="646"/>
              <w:gridCol w:w="673"/>
            </w:tblGrid>
            <w:tr w14:paraId="1A739F6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 w:type="pct"/>
                  <w:vMerge w:val="restart"/>
                  <w:tcBorders>
                    <w:tl2br w:val="nil"/>
                    <w:tr2bl w:val="nil"/>
                  </w:tcBorders>
                  <w:noWrap w:val="0"/>
                  <w:vAlign w:val="center"/>
                </w:tcPr>
                <w:p w14:paraId="6D8CD3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序号</w:t>
                  </w:r>
                </w:p>
              </w:tc>
              <w:tc>
                <w:tcPr>
                  <w:tcW w:w="284" w:type="pct"/>
                  <w:vMerge w:val="restart"/>
                  <w:tcBorders>
                    <w:tl2br w:val="nil"/>
                    <w:tr2bl w:val="nil"/>
                  </w:tcBorders>
                  <w:noWrap w:val="0"/>
                  <w:vAlign w:val="center"/>
                </w:tcPr>
                <w:p w14:paraId="635844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建筑物名称</w:t>
                  </w:r>
                </w:p>
              </w:tc>
              <w:tc>
                <w:tcPr>
                  <w:tcW w:w="394" w:type="pct"/>
                  <w:vMerge w:val="restart"/>
                  <w:tcBorders>
                    <w:tl2br w:val="nil"/>
                    <w:tr2bl w:val="nil"/>
                  </w:tcBorders>
                  <w:noWrap w:val="0"/>
                  <w:vAlign w:val="center"/>
                </w:tcPr>
                <w:p w14:paraId="3F778CC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声源名称</w:t>
                  </w:r>
                </w:p>
              </w:tc>
              <w:tc>
                <w:tcPr>
                  <w:tcW w:w="235" w:type="pct"/>
                  <w:vMerge w:val="restart"/>
                  <w:tcBorders>
                    <w:tl2br w:val="nil"/>
                    <w:tr2bl w:val="nil"/>
                  </w:tcBorders>
                  <w:noWrap w:val="0"/>
                  <w:vAlign w:val="center"/>
                </w:tcPr>
                <w:p w14:paraId="3F0650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型号</w:t>
                  </w:r>
                </w:p>
              </w:tc>
              <w:tc>
                <w:tcPr>
                  <w:tcW w:w="641" w:type="pct"/>
                  <w:gridSpan w:val="2"/>
                  <w:tcBorders>
                    <w:tl2br w:val="nil"/>
                    <w:tr2bl w:val="nil"/>
                  </w:tcBorders>
                  <w:noWrap w:val="0"/>
                  <w:vAlign w:val="center"/>
                </w:tcPr>
                <w:p w14:paraId="02AFA19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声源源强（任选一直）</w:t>
                  </w:r>
                </w:p>
              </w:tc>
              <w:tc>
                <w:tcPr>
                  <w:tcW w:w="942" w:type="pct"/>
                  <w:vMerge w:val="restart"/>
                  <w:tcBorders>
                    <w:tl2br w:val="nil"/>
                    <w:tr2bl w:val="nil"/>
                  </w:tcBorders>
                  <w:noWrap w:val="0"/>
                  <w:vAlign w:val="center"/>
                </w:tcPr>
                <w:p w14:paraId="615862F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en-US" w:bidi="ar-SA"/>
                    </w:rPr>
                  </w:pPr>
                  <w:r>
                    <w:rPr>
                      <w:rFonts w:hint="default" w:ascii="Times New Roman" w:hAnsi="Times New Roman" w:eastAsia="宋体" w:cs="Times New Roman"/>
                      <w:b w:val="0"/>
                      <w:bCs w:val="0"/>
                      <w:color w:val="auto"/>
                      <w:sz w:val="18"/>
                      <w:szCs w:val="18"/>
                      <w:highlight w:val="none"/>
                      <w:lang w:val="en-US" w:eastAsia="zh-CN"/>
                    </w:rPr>
                    <w:t>声源控制措施</w:t>
                  </w:r>
                </w:p>
              </w:tc>
              <w:tc>
                <w:tcPr>
                  <w:tcW w:w="675" w:type="pct"/>
                  <w:gridSpan w:val="3"/>
                  <w:tcBorders>
                    <w:tl2br w:val="nil"/>
                    <w:tr2bl w:val="nil"/>
                  </w:tcBorders>
                  <w:noWrap w:val="0"/>
                  <w:vAlign w:val="center"/>
                </w:tcPr>
                <w:p w14:paraId="42D0CE8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空间相对位置/m</w:t>
                  </w:r>
                </w:p>
              </w:tc>
              <w:tc>
                <w:tcPr>
                  <w:tcW w:w="231" w:type="pct"/>
                  <w:vMerge w:val="restart"/>
                  <w:tcBorders>
                    <w:tl2br w:val="nil"/>
                    <w:tr2bl w:val="nil"/>
                  </w:tcBorders>
                  <w:noWrap w:val="0"/>
                  <w:vAlign w:val="center"/>
                </w:tcPr>
                <w:p w14:paraId="7E39BE4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eastAsia="en-US"/>
                    </w:rPr>
                    <w:t>距室内边界距离/m</w:t>
                  </w:r>
                </w:p>
              </w:tc>
              <w:tc>
                <w:tcPr>
                  <w:tcW w:w="270" w:type="pct"/>
                  <w:vMerge w:val="restart"/>
                  <w:tcBorders>
                    <w:tl2br w:val="nil"/>
                    <w:tr2bl w:val="nil"/>
                  </w:tcBorders>
                  <w:noWrap w:val="0"/>
                  <w:vAlign w:val="center"/>
                </w:tcPr>
                <w:p w14:paraId="66DF48B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eastAsia="en-US"/>
                    </w:rPr>
                    <w:t>室内边界声级/dB</w:t>
                  </w:r>
                  <w:r>
                    <w:rPr>
                      <w:rFonts w:hint="default" w:ascii="Times New Roman" w:hAnsi="Times New Roman" w:eastAsia="宋体" w:cs="Times New Roman"/>
                      <w:i w:val="0"/>
                      <w:iCs w:val="0"/>
                      <w:color w:val="auto"/>
                      <w:kern w:val="0"/>
                      <w:sz w:val="18"/>
                      <w:szCs w:val="18"/>
                      <w:highlight w:val="none"/>
                      <w:u w:val="none"/>
                      <w:lang w:val="en-US" w:eastAsia="zh-CN" w:bidi="ar"/>
                    </w:rPr>
                    <w:t>（A）</w:t>
                  </w:r>
                </w:p>
              </w:tc>
              <w:tc>
                <w:tcPr>
                  <w:tcW w:w="366" w:type="pct"/>
                  <w:vMerge w:val="restart"/>
                  <w:tcBorders>
                    <w:tl2br w:val="nil"/>
                    <w:tr2bl w:val="nil"/>
                  </w:tcBorders>
                  <w:noWrap w:val="0"/>
                  <w:vAlign w:val="center"/>
                </w:tcPr>
                <w:p w14:paraId="13B4A99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运行时段</w:t>
                  </w:r>
                </w:p>
              </w:tc>
              <w:tc>
                <w:tcPr>
                  <w:tcW w:w="293" w:type="pct"/>
                  <w:vMerge w:val="restart"/>
                  <w:tcBorders>
                    <w:tl2br w:val="nil"/>
                    <w:tr2bl w:val="nil"/>
                  </w:tcBorders>
                  <w:noWrap w:val="0"/>
                  <w:vAlign w:val="center"/>
                </w:tcPr>
                <w:p w14:paraId="0A08F03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eastAsia="en-US"/>
                    </w:rPr>
                    <w:t>建筑物插入损失/dB</w:t>
                  </w:r>
                  <w:r>
                    <w:rPr>
                      <w:rFonts w:hint="default" w:ascii="Times New Roman" w:hAnsi="Times New Roman" w:eastAsia="宋体" w:cs="Times New Roman"/>
                      <w:i w:val="0"/>
                      <w:iCs w:val="0"/>
                      <w:color w:val="auto"/>
                      <w:kern w:val="0"/>
                      <w:sz w:val="18"/>
                      <w:szCs w:val="18"/>
                      <w:highlight w:val="none"/>
                      <w:u w:val="none"/>
                      <w:lang w:val="en-US" w:eastAsia="zh-CN" w:bidi="ar"/>
                    </w:rPr>
                    <w:t>（A）</w:t>
                  </w:r>
                </w:p>
              </w:tc>
              <w:tc>
                <w:tcPr>
                  <w:tcW w:w="492" w:type="pct"/>
                  <w:gridSpan w:val="2"/>
                  <w:tcBorders>
                    <w:tl2br w:val="nil"/>
                    <w:tr2bl w:val="nil"/>
                  </w:tcBorders>
                  <w:noWrap w:val="0"/>
                  <w:vAlign w:val="center"/>
                </w:tcPr>
                <w:p w14:paraId="4FBF3B8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18"/>
                      <w:szCs w:val="18"/>
                      <w:highlight w:val="none"/>
                      <w:lang w:eastAsia="en-US"/>
                    </w:rPr>
                  </w:pPr>
                  <w:r>
                    <w:rPr>
                      <w:rFonts w:hint="default" w:ascii="Times New Roman" w:hAnsi="Times New Roman" w:eastAsia="宋体" w:cs="Times New Roman"/>
                      <w:b w:val="0"/>
                      <w:bCs/>
                      <w:color w:val="auto"/>
                      <w:kern w:val="0"/>
                      <w:sz w:val="18"/>
                      <w:szCs w:val="18"/>
                      <w:highlight w:val="none"/>
                      <w:lang w:eastAsia="en-US"/>
                    </w:rPr>
                    <w:t>建筑物外噪声</w:t>
                  </w:r>
                </w:p>
              </w:tc>
            </w:tr>
            <w:tr w14:paraId="2DEFBFD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 w:type="pct"/>
                  <w:vMerge w:val="continue"/>
                  <w:tcBorders>
                    <w:tl2br w:val="nil"/>
                    <w:tr2bl w:val="nil"/>
                  </w:tcBorders>
                  <w:noWrap w:val="0"/>
                  <w:vAlign w:val="center"/>
                </w:tcPr>
                <w:p w14:paraId="2B329C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284" w:type="pct"/>
                  <w:vMerge w:val="continue"/>
                  <w:tcBorders>
                    <w:tl2br w:val="nil"/>
                    <w:tr2bl w:val="nil"/>
                  </w:tcBorders>
                  <w:noWrap w:val="0"/>
                  <w:vAlign w:val="center"/>
                </w:tcPr>
                <w:p w14:paraId="1D96C69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394" w:type="pct"/>
                  <w:vMerge w:val="continue"/>
                  <w:tcBorders>
                    <w:tl2br w:val="nil"/>
                    <w:tr2bl w:val="nil"/>
                  </w:tcBorders>
                  <w:noWrap w:val="0"/>
                  <w:vAlign w:val="center"/>
                </w:tcPr>
                <w:p w14:paraId="3C3967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235" w:type="pct"/>
                  <w:vMerge w:val="continue"/>
                  <w:tcBorders>
                    <w:tl2br w:val="nil"/>
                    <w:tr2bl w:val="nil"/>
                  </w:tcBorders>
                  <w:noWrap w:val="0"/>
                  <w:vAlign w:val="center"/>
                </w:tcPr>
                <w:p w14:paraId="631E74C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386" w:type="pct"/>
                  <w:tcBorders>
                    <w:tl2br w:val="nil"/>
                    <w:tr2bl w:val="nil"/>
                  </w:tcBorders>
                  <w:noWrap w:val="0"/>
                  <w:vAlign w:val="center"/>
                </w:tcPr>
                <w:p w14:paraId="1B0A65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（声压级/距声源距离）/（dB（A）/m）</w:t>
                  </w:r>
                </w:p>
              </w:tc>
              <w:tc>
                <w:tcPr>
                  <w:tcW w:w="254" w:type="pct"/>
                  <w:tcBorders>
                    <w:tl2br w:val="nil"/>
                    <w:tr2bl w:val="nil"/>
                  </w:tcBorders>
                  <w:noWrap w:val="0"/>
                  <w:vAlign w:val="center"/>
                </w:tcPr>
                <w:p w14:paraId="75C49D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0"/>
                      <w:sz w:val="18"/>
                      <w:szCs w:val="18"/>
                      <w:highlight w:val="none"/>
                      <w:lang w:eastAsia="en-US"/>
                    </w:rPr>
                  </w:pPr>
                  <w:r>
                    <w:rPr>
                      <w:rFonts w:hint="default" w:ascii="Times New Roman" w:hAnsi="Times New Roman" w:eastAsia="宋体" w:cs="Times New Roman"/>
                      <w:i w:val="0"/>
                      <w:iCs w:val="0"/>
                      <w:color w:val="auto"/>
                      <w:kern w:val="0"/>
                      <w:sz w:val="18"/>
                      <w:szCs w:val="18"/>
                      <w:highlight w:val="none"/>
                      <w:u w:val="none"/>
                      <w:lang w:val="en-US" w:eastAsia="zh-CN" w:bidi="ar"/>
                    </w:rPr>
                    <w:t>声功率级/dB（A）</w:t>
                  </w:r>
                </w:p>
              </w:tc>
              <w:tc>
                <w:tcPr>
                  <w:tcW w:w="942" w:type="pct"/>
                  <w:vMerge w:val="continue"/>
                  <w:tcBorders>
                    <w:tl2br w:val="nil"/>
                    <w:tr2bl w:val="nil"/>
                  </w:tcBorders>
                  <w:noWrap w:val="0"/>
                  <w:vAlign w:val="center"/>
                </w:tcPr>
                <w:p w14:paraId="1C65468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en-US" w:bidi="ar-SA"/>
                    </w:rPr>
                  </w:pPr>
                </w:p>
              </w:tc>
              <w:tc>
                <w:tcPr>
                  <w:tcW w:w="235" w:type="pct"/>
                  <w:tcBorders>
                    <w:tl2br w:val="nil"/>
                    <w:tr2bl w:val="nil"/>
                  </w:tcBorders>
                  <w:noWrap w:val="0"/>
                  <w:vAlign w:val="center"/>
                </w:tcPr>
                <w:p w14:paraId="1E5DE4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X</w:t>
                  </w:r>
                </w:p>
              </w:tc>
              <w:tc>
                <w:tcPr>
                  <w:tcW w:w="212" w:type="pct"/>
                  <w:tcBorders>
                    <w:tl2br w:val="nil"/>
                    <w:tr2bl w:val="nil"/>
                  </w:tcBorders>
                  <w:noWrap w:val="0"/>
                  <w:vAlign w:val="center"/>
                </w:tcPr>
                <w:p w14:paraId="529FFD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Y</w:t>
                  </w:r>
                </w:p>
              </w:tc>
              <w:tc>
                <w:tcPr>
                  <w:tcW w:w="227" w:type="pct"/>
                  <w:tcBorders>
                    <w:tl2br w:val="nil"/>
                    <w:tr2bl w:val="nil"/>
                  </w:tcBorders>
                  <w:noWrap w:val="0"/>
                  <w:vAlign w:val="center"/>
                </w:tcPr>
                <w:p w14:paraId="288BFD6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Z</w:t>
                  </w:r>
                </w:p>
              </w:tc>
              <w:tc>
                <w:tcPr>
                  <w:tcW w:w="231" w:type="pct"/>
                  <w:vMerge w:val="continue"/>
                  <w:tcBorders>
                    <w:tl2br w:val="nil"/>
                    <w:tr2bl w:val="nil"/>
                  </w:tcBorders>
                  <w:noWrap w:val="0"/>
                  <w:vAlign w:val="center"/>
                </w:tcPr>
                <w:p w14:paraId="5FB1528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270" w:type="pct"/>
                  <w:vMerge w:val="continue"/>
                  <w:tcBorders>
                    <w:tl2br w:val="nil"/>
                    <w:tr2bl w:val="nil"/>
                  </w:tcBorders>
                  <w:noWrap w:val="0"/>
                  <w:vAlign w:val="center"/>
                </w:tcPr>
                <w:p w14:paraId="209A09E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366" w:type="pct"/>
                  <w:vMerge w:val="continue"/>
                  <w:tcBorders>
                    <w:tl2br w:val="nil"/>
                    <w:tr2bl w:val="nil"/>
                  </w:tcBorders>
                  <w:noWrap w:val="0"/>
                  <w:vAlign w:val="center"/>
                </w:tcPr>
                <w:p w14:paraId="0A9B2A5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293" w:type="pct"/>
                  <w:vMerge w:val="continue"/>
                  <w:tcBorders>
                    <w:tl2br w:val="nil"/>
                    <w:tr2bl w:val="nil"/>
                  </w:tcBorders>
                  <w:noWrap w:val="0"/>
                  <w:vAlign w:val="center"/>
                </w:tcPr>
                <w:p w14:paraId="5496690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241" w:type="pct"/>
                  <w:tcBorders>
                    <w:tl2br w:val="nil"/>
                    <w:tr2bl w:val="nil"/>
                  </w:tcBorders>
                  <w:noWrap w:val="0"/>
                  <w:vAlign w:val="center"/>
                </w:tcPr>
                <w:p w14:paraId="08ED731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val="0"/>
                      <w:bCs w:val="0"/>
                      <w:color w:val="auto"/>
                      <w:kern w:val="0"/>
                      <w:sz w:val="18"/>
                      <w:szCs w:val="18"/>
                      <w:highlight w:val="none"/>
                      <w:lang w:eastAsia="en-US"/>
                    </w:rPr>
                    <w:t>声压级/dB</w:t>
                  </w:r>
                  <w:r>
                    <w:rPr>
                      <w:rFonts w:hint="default" w:ascii="Times New Roman" w:hAnsi="Times New Roman" w:eastAsia="宋体" w:cs="Times New Roman"/>
                      <w:i w:val="0"/>
                      <w:iCs w:val="0"/>
                      <w:color w:val="auto"/>
                      <w:kern w:val="0"/>
                      <w:sz w:val="18"/>
                      <w:szCs w:val="18"/>
                      <w:highlight w:val="none"/>
                      <w:u w:val="none"/>
                      <w:lang w:val="en-US" w:eastAsia="zh-CN" w:bidi="ar"/>
                    </w:rPr>
                    <w:t>（A）</w:t>
                  </w:r>
                </w:p>
              </w:tc>
              <w:tc>
                <w:tcPr>
                  <w:tcW w:w="251" w:type="pct"/>
                  <w:tcBorders>
                    <w:tl2br w:val="nil"/>
                    <w:tr2bl w:val="nil"/>
                  </w:tcBorders>
                  <w:noWrap w:val="0"/>
                  <w:vAlign w:val="center"/>
                </w:tcPr>
                <w:p w14:paraId="619EE4D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建筑物外距离</w:t>
                  </w:r>
                </w:p>
              </w:tc>
            </w:tr>
            <w:tr w14:paraId="5AB71D8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 w:type="pct"/>
                  <w:tcBorders>
                    <w:tl2br w:val="nil"/>
                    <w:tr2bl w:val="nil"/>
                  </w:tcBorders>
                  <w:noWrap w:val="0"/>
                  <w:vAlign w:val="center"/>
                </w:tcPr>
                <w:p w14:paraId="0907B6D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284" w:type="pct"/>
                  <w:tcBorders>
                    <w:tl2br w:val="nil"/>
                    <w:tr2bl w:val="nil"/>
                  </w:tcBorders>
                  <w:noWrap w:val="0"/>
                  <w:vAlign w:val="center"/>
                </w:tcPr>
                <w:p w14:paraId="59ED06B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塔磨机车间</w:t>
                  </w:r>
                </w:p>
              </w:tc>
              <w:tc>
                <w:tcPr>
                  <w:tcW w:w="394" w:type="pct"/>
                  <w:tcBorders>
                    <w:tl2br w:val="nil"/>
                    <w:tr2bl w:val="nil"/>
                  </w:tcBorders>
                  <w:noWrap w:val="0"/>
                  <w:vAlign w:val="center"/>
                </w:tcPr>
                <w:p w14:paraId="14C9C90C">
                  <w:pPr>
                    <w:pStyle w:val="30"/>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塔磨机</w:t>
                  </w:r>
                </w:p>
              </w:tc>
              <w:tc>
                <w:tcPr>
                  <w:tcW w:w="235" w:type="pct"/>
                  <w:tcBorders>
                    <w:tl2br w:val="nil"/>
                    <w:tr2bl w:val="nil"/>
                  </w:tcBorders>
                  <w:noWrap w:val="0"/>
                  <w:vAlign w:val="center"/>
                </w:tcPr>
                <w:p w14:paraId="7D2B4AB8">
                  <w:pPr>
                    <w:pStyle w:val="30"/>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0C1C20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54" w:type="pct"/>
                  <w:tcBorders>
                    <w:tl2br w:val="nil"/>
                    <w:tr2bl w:val="nil"/>
                  </w:tcBorders>
                  <w:noWrap w:val="0"/>
                  <w:vAlign w:val="center"/>
                </w:tcPr>
                <w:p w14:paraId="66ADB63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80</w:t>
                  </w:r>
                </w:p>
              </w:tc>
              <w:tc>
                <w:tcPr>
                  <w:tcW w:w="942" w:type="pct"/>
                  <w:tcBorders>
                    <w:tl2br w:val="nil"/>
                    <w:tr2bl w:val="nil"/>
                  </w:tcBorders>
                  <w:noWrap w:val="0"/>
                  <w:vAlign w:val="center"/>
                </w:tcPr>
                <w:p w14:paraId="22ACE9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减振+厂房隔声+厂界隔声墙</w:t>
                  </w:r>
                </w:p>
              </w:tc>
              <w:tc>
                <w:tcPr>
                  <w:tcW w:w="235" w:type="pct"/>
                  <w:tcBorders>
                    <w:tl2br w:val="nil"/>
                    <w:tr2bl w:val="nil"/>
                  </w:tcBorders>
                  <w:noWrap w:val="0"/>
                  <w:vAlign w:val="center"/>
                </w:tcPr>
                <w:p w14:paraId="50F1E0B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w:t>
                  </w:r>
                </w:p>
              </w:tc>
              <w:tc>
                <w:tcPr>
                  <w:tcW w:w="212" w:type="pct"/>
                  <w:tcBorders>
                    <w:tl2br w:val="nil"/>
                    <w:tr2bl w:val="nil"/>
                  </w:tcBorders>
                  <w:noWrap w:val="0"/>
                  <w:vAlign w:val="center"/>
                </w:tcPr>
                <w:p w14:paraId="7B0CC7E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17</w:t>
                  </w:r>
                </w:p>
              </w:tc>
              <w:tc>
                <w:tcPr>
                  <w:tcW w:w="227" w:type="pct"/>
                  <w:tcBorders>
                    <w:tl2br w:val="nil"/>
                    <w:tr2bl w:val="nil"/>
                  </w:tcBorders>
                  <w:noWrap w:val="0"/>
                  <w:vAlign w:val="center"/>
                </w:tcPr>
                <w:p w14:paraId="1BC39AB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F71137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9.17</w:t>
                  </w:r>
                </w:p>
              </w:tc>
              <w:tc>
                <w:tcPr>
                  <w:tcW w:w="724" w:type="dxa"/>
                  <w:tcBorders>
                    <w:tl2br w:val="nil"/>
                    <w:tr2bl w:val="nil"/>
                  </w:tcBorders>
                  <w:noWrap w:val="0"/>
                  <w:vAlign w:val="center"/>
                </w:tcPr>
                <w:p w14:paraId="40E18E6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72.97</w:t>
                  </w:r>
                </w:p>
              </w:tc>
              <w:tc>
                <w:tcPr>
                  <w:tcW w:w="366" w:type="pct"/>
                  <w:tcBorders>
                    <w:tl2br w:val="nil"/>
                    <w:tr2bl w:val="nil"/>
                  </w:tcBorders>
                  <w:noWrap w:val="0"/>
                  <w:vAlign w:val="center"/>
                </w:tcPr>
                <w:p w14:paraId="027D6A8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1DB3B42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61D7905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41.93</w:t>
                  </w:r>
                </w:p>
              </w:tc>
              <w:tc>
                <w:tcPr>
                  <w:tcW w:w="251" w:type="pct"/>
                  <w:tcBorders>
                    <w:tl2br w:val="nil"/>
                    <w:tr2bl w:val="nil"/>
                  </w:tcBorders>
                  <w:noWrap w:val="0"/>
                  <w:vAlign w:val="center"/>
                </w:tcPr>
                <w:p w14:paraId="1A87E3A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282DDBF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 w:type="pct"/>
                  <w:tcBorders>
                    <w:tl2br w:val="nil"/>
                    <w:tr2bl w:val="nil"/>
                  </w:tcBorders>
                  <w:noWrap w:val="0"/>
                  <w:vAlign w:val="center"/>
                </w:tcPr>
                <w:p w14:paraId="38EDD9A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w:t>
                  </w:r>
                </w:p>
              </w:tc>
              <w:tc>
                <w:tcPr>
                  <w:tcW w:w="284" w:type="pct"/>
                  <w:tcBorders>
                    <w:tl2br w:val="nil"/>
                    <w:tr2bl w:val="nil"/>
                  </w:tcBorders>
                  <w:noWrap w:val="0"/>
                  <w:vAlign w:val="center"/>
                </w:tcPr>
                <w:p w14:paraId="305265C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粗碎车间</w:t>
                  </w:r>
                </w:p>
              </w:tc>
              <w:tc>
                <w:tcPr>
                  <w:tcW w:w="394" w:type="pct"/>
                  <w:tcBorders>
                    <w:tl2br w:val="nil"/>
                    <w:tr2bl w:val="nil"/>
                  </w:tcBorders>
                  <w:noWrap w:val="0"/>
                  <w:vAlign w:val="center"/>
                </w:tcPr>
                <w:p w14:paraId="33865883">
                  <w:pPr>
                    <w:pStyle w:val="30"/>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val="0"/>
                      <w:bCs w:val="0"/>
                      <w:color w:val="auto"/>
                      <w:sz w:val="18"/>
                      <w:szCs w:val="18"/>
                      <w:highlight w:val="none"/>
                      <w:lang w:val="en-US" w:eastAsia="zh-CN"/>
                    </w:rPr>
                    <w:t>颚式破碎机（粗碎）</w:t>
                  </w:r>
                </w:p>
              </w:tc>
              <w:tc>
                <w:tcPr>
                  <w:tcW w:w="235" w:type="pct"/>
                  <w:tcBorders>
                    <w:tl2br w:val="nil"/>
                    <w:tr2bl w:val="nil"/>
                  </w:tcBorders>
                  <w:noWrap w:val="0"/>
                  <w:vAlign w:val="center"/>
                </w:tcPr>
                <w:p w14:paraId="06062E74">
                  <w:pPr>
                    <w:pStyle w:val="30"/>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165AC31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254" w:type="pct"/>
                  <w:tcBorders>
                    <w:tl2br w:val="nil"/>
                    <w:tr2bl w:val="nil"/>
                  </w:tcBorders>
                  <w:noWrap w:val="0"/>
                  <w:vAlign w:val="center"/>
                </w:tcPr>
                <w:p w14:paraId="0E58BDF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95</w:t>
                  </w:r>
                </w:p>
              </w:tc>
              <w:tc>
                <w:tcPr>
                  <w:tcW w:w="942" w:type="pct"/>
                  <w:tcBorders>
                    <w:tl2br w:val="nil"/>
                    <w:tr2bl w:val="nil"/>
                  </w:tcBorders>
                  <w:noWrap w:val="0"/>
                  <w:vAlign w:val="center"/>
                </w:tcPr>
                <w:p w14:paraId="0D9C96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631" w:type="dxa"/>
                  <w:tcBorders>
                    <w:tl2br w:val="nil"/>
                    <w:tr2bl w:val="nil"/>
                  </w:tcBorders>
                  <w:noWrap w:val="0"/>
                  <w:vAlign w:val="center"/>
                </w:tcPr>
                <w:p w14:paraId="0B577A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102</w:t>
                  </w:r>
                </w:p>
              </w:tc>
              <w:tc>
                <w:tcPr>
                  <w:tcW w:w="569" w:type="dxa"/>
                  <w:tcBorders>
                    <w:tl2br w:val="nil"/>
                    <w:tr2bl w:val="nil"/>
                  </w:tcBorders>
                  <w:noWrap w:val="0"/>
                  <w:vAlign w:val="center"/>
                </w:tcPr>
                <w:p w14:paraId="4E7339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-89</w:t>
                  </w:r>
                </w:p>
              </w:tc>
              <w:tc>
                <w:tcPr>
                  <w:tcW w:w="610" w:type="dxa"/>
                  <w:tcBorders>
                    <w:tl2br w:val="nil"/>
                    <w:tr2bl w:val="nil"/>
                  </w:tcBorders>
                  <w:noWrap w:val="0"/>
                  <w:vAlign w:val="center"/>
                </w:tcPr>
                <w:p w14:paraId="6DC3784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w:t>
                  </w:r>
                </w:p>
              </w:tc>
              <w:tc>
                <w:tcPr>
                  <w:tcW w:w="621" w:type="dxa"/>
                  <w:tcBorders>
                    <w:tl2br w:val="nil"/>
                    <w:tr2bl w:val="nil"/>
                  </w:tcBorders>
                  <w:noWrap w:val="0"/>
                  <w:vAlign w:val="center"/>
                </w:tcPr>
                <w:p w14:paraId="1511B14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8.32</w:t>
                  </w:r>
                </w:p>
              </w:tc>
              <w:tc>
                <w:tcPr>
                  <w:tcW w:w="724" w:type="dxa"/>
                  <w:tcBorders>
                    <w:tl2br w:val="nil"/>
                    <w:tr2bl w:val="nil"/>
                  </w:tcBorders>
                  <w:noWrap w:val="0"/>
                  <w:vAlign w:val="center"/>
                </w:tcPr>
                <w:p w14:paraId="78B82C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87.97</w:t>
                  </w:r>
                </w:p>
              </w:tc>
              <w:tc>
                <w:tcPr>
                  <w:tcW w:w="366" w:type="pct"/>
                  <w:tcBorders>
                    <w:tl2br w:val="nil"/>
                    <w:tr2bl w:val="nil"/>
                  </w:tcBorders>
                  <w:noWrap w:val="0"/>
                  <w:vAlign w:val="center"/>
                </w:tcPr>
                <w:p w14:paraId="26F9411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1A9431A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25</w:t>
                  </w:r>
                </w:p>
              </w:tc>
              <w:tc>
                <w:tcPr>
                  <w:tcW w:w="646" w:type="dxa"/>
                  <w:tcBorders>
                    <w:tl2br w:val="nil"/>
                    <w:tr2bl w:val="nil"/>
                  </w:tcBorders>
                  <w:noWrap w:val="0"/>
                  <w:vAlign w:val="center"/>
                </w:tcPr>
                <w:p w14:paraId="48A4C7B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56.93</w:t>
                  </w:r>
                </w:p>
              </w:tc>
              <w:tc>
                <w:tcPr>
                  <w:tcW w:w="673" w:type="dxa"/>
                  <w:tcBorders>
                    <w:tl2br w:val="nil"/>
                    <w:tr2bl w:val="nil"/>
                  </w:tcBorders>
                  <w:noWrap w:val="0"/>
                  <w:vAlign w:val="center"/>
                </w:tcPr>
                <w:p w14:paraId="135FC33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7CD2E36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 w:type="pct"/>
                  <w:tcBorders>
                    <w:tl2br w:val="nil"/>
                    <w:tr2bl w:val="nil"/>
                  </w:tcBorders>
                  <w:noWrap w:val="0"/>
                  <w:vAlign w:val="center"/>
                </w:tcPr>
                <w:p w14:paraId="2D60AA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w:t>
                  </w:r>
                </w:p>
              </w:tc>
              <w:tc>
                <w:tcPr>
                  <w:tcW w:w="284" w:type="pct"/>
                  <w:vMerge w:val="restart"/>
                  <w:tcBorders>
                    <w:tl2br w:val="nil"/>
                    <w:tr2bl w:val="nil"/>
                  </w:tcBorders>
                  <w:noWrap w:val="0"/>
                  <w:vAlign w:val="center"/>
                </w:tcPr>
                <w:p w14:paraId="0346A60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eastAsia" w:cs="Times New Roman"/>
                      <w:bCs/>
                      <w:color w:val="auto"/>
                      <w:sz w:val="18"/>
                      <w:szCs w:val="18"/>
                      <w:lang w:val="en-US" w:eastAsia="zh-CN" w:bidi="ar"/>
                    </w:rPr>
                    <w:t>中细碎</w:t>
                  </w:r>
                </w:p>
              </w:tc>
              <w:tc>
                <w:tcPr>
                  <w:tcW w:w="394" w:type="pct"/>
                  <w:tcBorders>
                    <w:tl2br w:val="nil"/>
                    <w:tr2bl w:val="nil"/>
                  </w:tcBorders>
                  <w:noWrap w:val="0"/>
                  <w:vAlign w:val="center"/>
                </w:tcPr>
                <w:p w14:paraId="22AA9540">
                  <w:pPr>
                    <w:pStyle w:val="32"/>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rPr>
                    <w:t>板式给料机</w:t>
                  </w:r>
                  <w:r>
                    <w:rPr>
                      <w:rFonts w:hint="default" w:ascii="Times New Roman" w:hAnsi="Times New Roman" w:eastAsia="宋体" w:cs="Times New Roman"/>
                      <w:color w:val="auto"/>
                      <w:sz w:val="18"/>
                      <w:szCs w:val="18"/>
                      <w:lang w:val="en-US" w:eastAsia="zh-CN"/>
                    </w:rPr>
                    <w:t>1</w:t>
                  </w:r>
                </w:p>
              </w:tc>
              <w:tc>
                <w:tcPr>
                  <w:tcW w:w="235" w:type="pct"/>
                  <w:tcBorders>
                    <w:tl2br w:val="nil"/>
                    <w:tr2bl w:val="nil"/>
                  </w:tcBorders>
                  <w:noWrap w:val="0"/>
                  <w:vAlign w:val="center"/>
                </w:tcPr>
                <w:p w14:paraId="08460BD2">
                  <w:pPr>
                    <w:keepNext w:val="0"/>
                    <w:keepLines w:val="0"/>
                    <w:pageBreakBefore w:val="0"/>
                    <w:widowControl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991B0D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w:t>
                  </w:r>
                </w:p>
              </w:tc>
              <w:tc>
                <w:tcPr>
                  <w:tcW w:w="254" w:type="pct"/>
                  <w:tcBorders>
                    <w:tl2br w:val="nil"/>
                    <w:tr2bl w:val="nil"/>
                  </w:tcBorders>
                  <w:noWrap w:val="0"/>
                  <w:vAlign w:val="center"/>
                </w:tcPr>
                <w:p w14:paraId="066A29E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75</w:t>
                  </w:r>
                </w:p>
              </w:tc>
              <w:tc>
                <w:tcPr>
                  <w:tcW w:w="942" w:type="pct"/>
                  <w:tcBorders>
                    <w:tl2br w:val="nil"/>
                    <w:tr2bl w:val="nil"/>
                  </w:tcBorders>
                  <w:noWrap w:val="0"/>
                  <w:vAlign w:val="center"/>
                </w:tcPr>
                <w:p w14:paraId="1DA7502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5E1E5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40</w:t>
                  </w:r>
                </w:p>
              </w:tc>
              <w:tc>
                <w:tcPr>
                  <w:tcW w:w="212" w:type="pct"/>
                  <w:tcBorders>
                    <w:tl2br w:val="nil"/>
                    <w:tr2bl w:val="nil"/>
                  </w:tcBorders>
                  <w:noWrap w:val="0"/>
                  <w:vAlign w:val="center"/>
                </w:tcPr>
                <w:p w14:paraId="64DACA6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48</w:t>
                  </w:r>
                </w:p>
              </w:tc>
              <w:tc>
                <w:tcPr>
                  <w:tcW w:w="227" w:type="pct"/>
                  <w:tcBorders>
                    <w:tl2br w:val="nil"/>
                    <w:tr2bl w:val="nil"/>
                  </w:tcBorders>
                  <w:noWrap w:val="0"/>
                  <w:vAlign w:val="center"/>
                </w:tcPr>
                <w:p w14:paraId="6229BFF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04B6B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8.56</w:t>
                  </w:r>
                </w:p>
              </w:tc>
              <w:tc>
                <w:tcPr>
                  <w:tcW w:w="724" w:type="dxa"/>
                  <w:tcBorders>
                    <w:tl2br w:val="nil"/>
                    <w:tr2bl w:val="nil"/>
                  </w:tcBorders>
                  <w:noWrap w:val="0"/>
                  <w:vAlign w:val="center"/>
                </w:tcPr>
                <w:p w14:paraId="10D8938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67.97</w:t>
                  </w:r>
                </w:p>
              </w:tc>
              <w:tc>
                <w:tcPr>
                  <w:tcW w:w="366" w:type="pct"/>
                  <w:tcBorders>
                    <w:tl2br w:val="nil"/>
                    <w:tr2bl w:val="nil"/>
                  </w:tcBorders>
                  <w:noWrap w:val="0"/>
                  <w:vAlign w:val="center"/>
                </w:tcPr>
                <w:p w14:paraId="0B9704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C0B4D9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35A33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51" w:type="pct"/>
                  <w:tcBorders>
                    <w:tl2br w:val="nil"/>
                    <w:tr2bl w:val="nil"/>
                  </w:tcBorders>
                  <w:noWrap w:val="0"/>
                  <w:vAlign w:val="center"/>
                </w:tcPr>
                <w:p w14:paraId="5DAB62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6C58214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 w:type="pct"/>
                  <w:tcBorders>
                    <w:tl2br w:val="nil"/>
                    <w:tr2bl w:val="nil"/>
                  </w:tcBorders>
                  <w:noWrap w:val="0"/>
                  <w:vAlign w:val="center"/>
                </w:tcPr>
                <w:p w14:paraId="458456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4</w:t>
                  </w:r>
                </w:p>
              </w:tc>
              <w:tc>
                <w:tcPr>
                  <w:tcW w:w="284" w:type="pct"/>
                  <w:vMerge w:val="continue"/>
                  <w:tcBorders>
                    <w:tl2br w:val="nil"/>
                    <w:tr2bl w:val="nil"/>
                  </w:tcBorders>
                  <w:noWrap w:val="0"/>
                  <w:vAlign w:val="center"/>
                </w:tcPr>
                <w:p w14:paraId="0B33D56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p>
              </w:tc>
              <w:tc>
                <w:tcPr>
                  <w:tcW w:w="394" w:type="pct"/>
                  <w:tcBorders>
                    <w:tl2br w:val="nil"/>
                    <w:tr2bl w:val="nil"/>
                  </w:tcBorders>
                  <w:noWrap w:val="0"/>
                  <w:vAlign w:val="center"/>
                </w:tcPr>
                <w:p w14:paraId="4484DFB9">
                  <w:pPr>
                    <w:pStyle w:val="32"/>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板式给料机</w:t>
                  </w:r>
                  <w:r>
                    <w:rPr>
                      <w:rFonts w:hint="default" w:ascii="Times New Roman" w:hAnsi="Times New Roman" w:eastAsia="宋体" w:cs="Times New Roman"/>
                      <w:color w:val="auto"/>
                      <w:sz w:val="18"/>
                      <w:szCs w:val="18"/>
                      <w:lang w:val="en-US" w:eastAsia="zh-CN"/>
                    </w:rPr>
                    <w:t>2</w:t>
                  </w:r>
                </w:p>
              </w:tc>
              <w:tc>
                <w:tcPr>
                  <w:tcW w:w="235" w:type="pct"/>
                  <w:tcBorders>
                    <w:tl2br w:val="nil"/>
                    <w:tr2bl w:val="nil"/>
                  </w:tcBorders>
                  <w:noWrap w:val="0"/>
                  <w:vAlign w:val="center"/>
                </w:tcPr>
                <w:p w14:paraId="2FFF81C4">
                  <w:pPr>
                    <w:keepNext w:val="0"/>
                    <w:keepLines w:val="0"/>
                    <w:pageBreakBefore w:val="0"/>
                    <w:widowControl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0B2874A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w:t>
                  </w:r>
                </w:p>
              </w:tc>
              <w:tc>
                <w:tcPr>
                  <w:tcW w:w="254" w:type="pct"/>
                  <w:tcBorders>
                    <w:tl2br w:val="nil"/>
                    <w:tr2bl w:val="nil"/>
                  </w:tcBorders>
                  <w:noWrap w:val="0"/>
                  <w:vAlign w:val="center"/>
                </w:tcPr>
                <w:p w14:paraId="26B2953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942" w:type="pct"/>
                  <w:tcBorders>
                    <w:tl2br w:val="nil"/>
                    <w:tr2bl w:val="nil"/>
                  </w:tcBorders>
                  <w:noWrap w:val="0"/>
                  <w:vAlign w:val="center"/>
                </w:tcPr>
                <w:p w14:paraId="5899FAB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5FE2A3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42</w:t>
                  </w:r>
                </w:p>
              </w:tc>
              <w:tc>
                <w:tcPr>
                  <w:tcW w:w="212" w:type="pct"/>
                  <w:tcBorders>
                    <w:tl2br w:val="nil"/>
                    <w:tr2bl w:val="nil"/>
                  </w:tcBorders>
                  <w:noWrap w:val="0"/>
                  <w:vAlign w:val="center"/>
                </w:tcPr>
                <w:p w14:paraId="1CF8E6C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45</w:t>
                  </w:r>
                </w:p>
              </w:tc>
              <w:tc>
                <w:tcPr>
                  <w:tcW w:w="227" w:type="pct"/>
                  <w:tcBorders>
                    <w:tl2br w:val="nil"/>
                    <w:tr2bl w:val="nil"/>
                  </w:tcBorders>
                  <w:noWrap w:val="0"/>
                  <w:vAlign w:val="center"/>
                </w:tcPr>
                <w:p w14:paraId="7A5B82BA">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10B2DF9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8.56</w:t>
                  </w:r>
                </w:p>
              </w:tc>
              <w:tc>
                <w:tcPr>
                  <w:tcW w:w="724" w:type="dxa"/>
                  <w:tcBorders>
                    <w:tl2br w:val="nil"/>
                    <w:tr2bl w:val="nil"/>
                  </w:tcBorders>
                  <w:noWrap w:val="0"/>
                  <w:vAlign w:val="center"/>
                </w:tcPr>
                <w:p w14:paraId="4656D2E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67.97</w:t>
                  </w:r>
                </w:p>
              </w:tc>
              <w:tc>
                <w:tcPr>
                  <w:tcW w:w="366" w:type="pct"/>
                  <w:tcBorders>
                    <w:tl2br w:val="nil"/>
                    <w:tr2bl w:val="nil"/>
                  </w:tcBorders>
                  <w:noWrap w:val="0"/>
                  <w:vAlign w:val="center"/>
                </w:tcPr>
                <w:p w14:paraId="1F59A29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0F9EC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E479FF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51" w:type="pct"/>
                  <w:tcBorders>
                    <w:tl2br w:val="nil"/>
                    <w:tr2bl w:val="nil"/>
                  </w:tcBorders>
                  <w:noWrap w:val="0"/>
                  <w:vAlign w:val="center"/>
                </w:tcPr>
                <w:p w14:paraId="6DB1EA0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4CBC6CE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1633BDB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w:t>
                  </w:r>
                </w:p>
              </w:tc>
              <w:tc>
                <w:tcPr>
                  <w:tcW w:w="284" w:type="pct"/>
                  <w:vMerge w:val="continue"/>
                  <w:tcBorders>
                    <w:tl2br w:val="nil"/>
                    <w:tr2bl w:val="nil"/>
                  </w:tcBorders>
                  <w:noWrap w:val="0"/>
                  <w:vAlign w:val="center"/>
                </w:tcPr>
                <w:p w14:paraId="011FE0C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48EF564">
                  <w:pPr>
                    <w:pStyle w:val="32"/>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rPr>
                    <w:t>颚式破碎机（中碎）</w:t>
                  </w:r>
                </w:p>
              </w:tc>
              <w:tc>
                <w:tcPr>
                  <w:tcW w:w="235" w:type="pct"/>
                  <w:tcBorders>
                    <w:tl2br w:val="nil"/>
                    <w:tr2bl w:val="nil"/>
                  </w:tcBorders>
                  <w:noWrap w:val="0"/>
                  <w:vAlign w:val="center"/>
                </w:tcPr>
                <w:p w14:paraId="7F13C363">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0A6D6A4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w:t>
                  </w:r>
                </w:p>
              </w:tc>
              <w:tc>
                <w:tcPr>
                  <w:tcW w:w="254" w:type="pct"/>
                  <w:tcBorders>
                    <w:tl2br w:val="nil"/>
                    <w:tr2bl w:val="nil"/>
                  </w:tcBorders>
                  <w:noWrap w:val="0"/>
                  <w:vAlign w:val="center"/>
                </w:tcPr>
                <w:p w14:paraId="3A39789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95</w:t>
                  </w:r>
                </w:p>
              </w:tc>
              <w:tc>
                <w:tcPr>
                  <w:tcW w:w="942" w:type="pct"/>
                  <w:tcBorders>
                    <w:tl2br w:val="nil"/>
                    <w:tr2bl w:val="nil"/>
                  </w:tcBorders>
                  <w:noWrap w:val="0"/>
                  <w:vAlign w:val="center"/>
                </w:tcPr>
                <w:p w14:paraId="6DA9B94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069680A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36</w:t>
                  </w:r>
                </w:p>
              </w:tc>
              <w:tc>
                <w:tcPr>
                  <w:tcW w:w="212" w:type="pct"/>
                  <w:tcBorders>
                    <w:tl2br w:val="nil"/>
                    <w:tr2bl w:val="nil"/>
                  </w:tcBorders>
                  <w:noWrap w:val="0"/>
                  <w:vAlign w:val="center"/>
                </w:tcPr>
                <w:p w14:paraId="2552516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46</w:t>
                  </w:r>
                </w:p>
              </w:tc>
              <w:tc>
                <w:tcPr>
                  <w:tcW w:w="227" w:type="pct"/>
                  <w:tcBorders>
                    <w:tl2br w:val="nil"/>
                    <w:tr2bl w:val="nil"/>
                  </w:tcBorders>
                  <w:noWrap w:val="0"/>
                  <w:vAlign w:val="center"/>
                </w:tcPr>
                <w:p w14:paraId="57457337">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6B0648C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8.56</w:t>
                  </w:r>
                </w:p>
              </w:tc>
              <w:tc>
                <w:tcPr>
                  <w:tcW w:w="724" w:type="dxa"/>
                  <w:tcBorders>
                    <w:tl2br w:val="nil"/>
                    <w:tr2bl w:val="nil"/>
                  </w:tcBorders>
                  <w:noWrap w:val="0"/>
                  <w:vAlign w:val="center"/>
                </w:tcPr>
                <w:p w14:paraId="44AD809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87.97</w:t>
                  </w:r>
                </w:p>
              </w:tc>
              <w:tc>
                <w:tcPr>
                  <w:tcW w:w="366" w:type="pct"/>
                  <w:tcBorders>
                    <w:tl2br w:val="nil"/>
                    <w:tr2bl w:val="nil"/>
                  </w:tcBorders>
                  <w:noWrap w:val="0"/>
                  <w:vAlign w:val="center"/>
                </w:tcPr>
                <w:p w14:paraId="242C71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15880F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7E41F54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56.93</w:t>
                  </w:r>
                </w:p>
              </w:tc>
              <w:tc>
                <w:tcPr>
                  <w:tcW w:w="251" w:type="pct"/>
                  <w:tcBorders>
                    <w:tl2br w:val="nil"/>
                    <w:tr2bl w:val="nil"/>
                  </w:tcBorders>
                  <w:noWrap w:val="0"/>
                  <w:vAlign w:val="center"/>
                </w:tcPr>
                <w:p w14:paraId="5F4F1B1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2E4BD0B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3C07099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w:t>
                  </w:r>
                </w:p>
              </w:tc>
              <w:tc>
                <w:tcPr>
                  <w:tcW w:w="284" w:type="pct"/>
                  <w:vMerge w:val="continue"/>
                  <w:tcBorders>
                    <w:tl2br w:val="nil"/>
                    <w:tr2bl w:val="nil"/>
                  </w:tcBorders>
                  <w:noWrap w:val="0"/>
                  <w:vAlign w:val="center"/>
                </w:tcPr>
                <w:p w14:paraId="5D3715D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3FA31EEC">
                  <w:pPr>
                    <w:pStyle w:val="32"/>
                    <w:ind w:left="0" w:leftChars="0" w:right="0" w:rightChars="0" w:firstLine="0" w:firstLineChars="0"/>
                    <w:jc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color w:val="auto"/>
                      <w:sz w:val="18"/>
                      <w:szCs w:val="18"/>
                    </w:rPr>
                    <w:t>圆锥破碎机（细碎）</w:t>
                  </w:r>
                </w:p>
              </w:tc>
              <w:tc>
                <w:tcPr>
                  <w:tcW w:w="235" w:type="pct"/>
                  <w:tcBorders>
                    <w:tl2br w:val="nil"/>
                    <w:tr2bl w:val="nil"/>
                  </w:tcBorders>
                  <w:noWrap w:val="0"/>
                  <w:vAlign w:val="center"/>
                </w:tcPr>
                <w:p w14:paraId="6E150BA6">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1F31CBB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5686010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90</w:t>
                  </w:r>
                </w:p>
              </w:tc>
              <w:tc>
                <w:tcPr>
                  <w:tcW w:w="942" w:type="pct"/>
                  <w:tcBorders>
                    <w:tl2br w:val="nil"/>
                    <w:tr2bl w:val="nil"/>
                  </w:tcBorders>
                  <w:noWrap w:val="0"/>
                  <w:vAlign w:val="center"/>
                </w:tcPr>
                <w:p w14:paraId="143AEE1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9E0284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35</w:t>
                  </w:r>
                </w:p>
              </w:tc>
              <w:tc>
                <w:tcPr>
                  <w:tcW w:w="212" w:type="pct"/>
                  <w:tcBorders>
                    <w:tl2br w:val="nil"/>
                    <w:tr2bl w:val="nil"/>
                  </w:tcBorders>
                  <w:noWrap w:val="0"/>
                  <w:vAlign w:val="center"/>
                </w:tcPr>
                <w:p w14:paraId="7D3BDB6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46</w:t>
                  </w:r>
                </w:p>
              </w:tc>
              <w:tc>
                <w:tcPr>
                  <w:tcW w:w="227" w:type="pct"/>
                  <w:tcBorders>
                    <w:tl2br w:val="nil"/>
                    <w:tr2bl w:val="nil"/>
                  </w:tcBorders>
                  <w:noWrap w:val="0"/>
                  <w:vAlign w:val="center"/>
                </w:tcPr>
                <w:p w14:paraId="76BC7AC8">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751FE3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8.56</w:t>
                  </w:r>
                </w:p>
              </w:tc>
              <w:tc>
                <w:tcPr>
                  <w:tcW w:w="724" w:type="dxa"/>
                  <w:tcBorders>
                    <w:tl2br w:val="nil"/>
                    <w:tr2bl w:val="nil"/>
                  </w:tcBorders>
                  <w:noWrap w:val="0"/>
                  <w:vAlign w:val="center"/>
                </w:tcPr>
                <w:p w14:paraId="3E92E31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82.97</w:t>
                  </w:r>
                </w:p>
              </w:tc>
              <w:tc>
                <w:tcPr>
                  <w:tcW w:w="366" w:type="pct"/>
                  <w:tcBorders>
                    <w:tl2br w:val="nil"/>
                    <w:tr2bl w:val="nil"/>
                  </w:tcBorders>
                  <w:noWrap w:val="0"/>
                  <w:vAlign w:val="center"/>
                </w:tcPr>
                <w:p w14:paraId="538D5BD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05F9AD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7DF8226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51.93</w:t>
                  </w:r>
                </w:p>
              </w:tc>
              <w:tc>
                <w:tcPr>
                  <w:tcW w:w="251" w:type="pct"/>
                  <w:tcBorders>
                    <w:tl2br w:val="nil"/>
                    <w:tr2bl w:val="nil"/>
                  </w:tcBorders>
                  <w:noWrap w:val="0"/>
                  <w:vAlign w:val="center"/>
                </w:tcPr>
                <w:p w14:paraId="3B73139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A94D55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6115386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w:t>
                  </w:r>
                </w:p>
              </w:tc>
              <w:tc>
                <w:tcPr>
                  <w:tcW w:w="284" w:type="pct"/>
                  <w:vMerge w:val="continue"/>
                  <w:tcBorders>
                    <w:tl2br w:val="nil"/>
                    <w:tr2bl w:val="nil"/>
                  </w:tcBorders>
                  <w:noWrap w:val="0"/>
                  <w:vAlign w:val="center"/>
                </w:tcPr>
                <w:p w14:paraId="74617E1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B752BC9">
                  <w:pPr>
                    <w:pStyle w:val="32"/>
                    <w:ind w:left="0" w:leftChars="0" w:right="0" w:rightChars="0" w:firstLine="0" w:firstLineChars="0"/>
                    <w:jc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color w:val="auto"/>
                      <w:sz w:val="18"/>
                      <w:szCs w:val="18"/>
                    </w:rPr>
                    <w:t>圆振动筛</w:t>
                  </w:r>
                </w:p>
              </w:tc>
              <w:tc>
                <w:tcPr>
                  <w:tcW w:w="235" w:type="pct"/>
                  <w:tcBorders>
                    <w:tl2br w:val="nil"/>
                    <w:tr2bl w:val="nil"/>
                  </w:tcBorders>
                  <w:noWrap w:val="0"/>
                  <w:vAlign w:val="center"/>
                </w:tcPr>
                <w:p w14:paraId="7833E462">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7D4D62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013E75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85</w:t>
                  </w:r>
                </w:p>
              </w:tc>
              <w:tc>
                <w:tcPr>
                  <w:tcW w:w="942" w:type="pct"/>
                  <w:tcBorders>
                    <w:tl2br w:val="nil"/>
                    <w:tr2bl w:val="nil"/>
                  </w:tcBorders>
                  <w:noWrap w:val="0"/>
                  <w:vAlign w:val="center"/>
                </w:tcPr>
                <w:p w14:paraId="090F996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E7866D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-28</w:t>
                  </w:r>
                </w:p>
              </w:tc>
              <w:tc>
                <w:tcPr>
                  <w:tcW w:w="212" w:type="pct"/>
                  <w:tcBorders>
                    <w:tl2br w:val="nil"/>
                    <w:tr2bl w:val="nil"/>
                  </w:tcBorders>
                  <w:noWrap w:val="0"/>
                  <w:vAlign w:val="center"/>
                </w:tcPr>
                <w:p w14:paraId="785A91A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26</w:t>
                  </w:r>
                </w:p>
              </w:tc>
              <w:tc>
                <w:tcPr>
                  <w:tcW w:w="227" w:type="pct"/>
                  <w:tcBorders>
                    <w:tl2br w:val="nil"/>
                    <w:tr2bl w:val="nil"/>
                  </w:tcBorders>
                  <w:noWrap w:val="0"/>
                  <w:vAlign w:val="center"/>
                </w:tcPr>
                <w:p w14:paraId="3357A8C4">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10F378B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8.23</w:t>
                  </w:r>
                </w:p>
              </w:tc>
              <w:tc>
                <w:tcPr>
                  <w:tcW w:w="724" w:type="dxa"/>
                  <w:tcBorders>
                    <w:tl2br w:val="nil"/>
                    <w:tr2bl w:val="nil"/>
                  </w:tcBorders>
                  <w:noWrap w:val="0"/>
                  <w:vAlign w:val="center"/>
                </w:tcPr>
                <w:p w14:paraId="47D6998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77.97</w:t>
                  </w:r>
                </w:p>
              </w:tc>
              <w:tc>
                <w:tcPr>
                  <w:tcW w:w="366" w:type="pct"/>
                  <w:tcBorders>
                    <w:tl2br w:val="nil"/>
                    <w:tr2bl w:val="nil"/>
                  </w:tcBorders>
                  <w:noWrap w:val="0"/>
                  <w:vAlign w:val="center"/>
                </w:tcPr>
                <w:p w14:paraId="1BC8F6B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B7F5A8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3E7651D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46.93</w:t>
                  </w:r>
                </w:p>
              </w:tc>
              <w:tc>
                <w:tcPr>
                  <w:tcW w:w="251" w:type="pct"/>
                  <w:tcBorders>
                    <w:tl2br w:val="nil"/>
                    <w:tr2bl w:val="nil"/>
                  </w:tcBorders>
                  <w:noWrap w:val="0"/>
                  <w:vAlign w:val="center"/>
                </w:tcPr>
                <w:p w14:paraId="5473A9A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2DD4E6D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756A6B2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8</w:t>
                  </w:r>
                </w:p>
              </w:tc>
              <w:tc>
                <w:tcPr>
                  <w:tcW w:w="284" w:type="pct"/>
                  <w:vMerge w:val="continue"/>
                  <w:tcBorders>
                    <w:tl2br w:val="nil"/>
                    <w:tr2bl w:val="nil"/>
                  </w:tcBorders>
                  <w:noWrap w:val="0"/>
                  <w:vAlign w:val="center"/>
                </w:tcPr>
                <w:p w14:paraId="3459255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3631963">
                  <w:pPr>
                    <w:pStyle w:val="32"/>
                    <w:ind w:left="0" w:leftChars="0" w:right="0" w:rightChars="0" w:firstLine="0" w:firstLineChars="0"/>
                    <w:jc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color w:val="auto"/>
                      <w:sz w:val="18"/>
                      <w:szCs w:val="18"/>
                    </w:rPr>
                    <w:t>电动单梁起重机</w:t>
                  </w:r>
                </w:p>
              </w:tc>
              <w:tc>
                <w:tcPr>
                  <w:tcW w:w="235" w:type="pct"/>
                  <w:tcBorders>
                    <w:tl2br w:val="nil"/>
                    <w:tr2bl w:val="nil"/>
                  </w:tcBorders>
                  <w:noWrap w:val="0"/>
                  <w:vAlign w:val="center"/>
                </w:tcPr>
                <w:p w14:paraId="73F48E93">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021F9F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75ED124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6900CB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AF46BB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-31</w:t>
                  </w:r>
                </w:p>
              </w:tc>
              <w:tc>
                <w:tcPr>
                  <w:tcW w:w="212" w:type="pct"/>
                  <w:tcBorders>
                    <w:tl2br w:val="nil"/>
                    <w:tr2bl w:val="nil"/>
                  </w:tcBorders>
                  <w:noWrap w:val="0"/>
                  <w:vAlign w:val="center"/>
                </w:tcPr>
                <w:p w14:paraId="568B11A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23</w:t>
                  </w:r>
                </w:p>
              </w:tc>
              <w:tc>
                <w:tcPr>
                  <w:tcW w:w="227" w:type="pct"/>
                  <w:tcBorders>
                    <w:tl2br w:val="nil"/>
                    <w:tr2bl w:val="nil"/>
                  </w:tcBorders>
                  <w:noWrap w:val="0"/>
                  <w:vAlign w:val="center"/>
                </w:tcPr>
                <w:p w14:paraId="4B2082C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4482E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8.23</w:t>
                  </w:r>
                </w:p>
              </w:tc>
              <w:tc>
                <w:tcPr>
                  <w:tcW w:w="724" w:type="dxa"/>
                  <w:tcBorders>
                    <w:tl2br w:val="nil"/>
                    <w:tr2bl w:val="nil"/>
                  </w:tcBorders>
                  <w:noWrap w:val="0"/>
                  <w:vAlign w:val="center"/>
                </w:tcPr>
                <w:p w14:paraId="0B9435D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72.97</w:t>
                  </w:r>
                </w:p>
              </w:tc>
              <w:tc>
                <w:tcPr>
                  <w:tcW w:w="366" w:type="pct"/>
                  <w:tcBorders>
                    <w:tl2br w:val="nil"/>
                    <w:tr2bl w:val="nil"/>
                  </w:tcBorders>
                  <w:noWrap w:val="0"/>
                  <w:vAlign w:val="center"/>
                </w:tcPr>
                <w:p w14:paraId="50E6F04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90EA51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25A43C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41.93</w:t>
                  </w:r>
                </w:p>
              </w:tc>
              <w:tc>
                <w:tcPr>
                  <w:tcW w:w="251" w:type="pct"/>
                  <w:tcBorders>
                    <w:tl2br w:val="nil"/>
                    <w:tr2bl w:val="nil"/>
                  </w:tcBorders>
                  <w:noWrap w:val="0"/>
                  <w:vAlign w:val="center"/>
                </w:tcPr>
                <w:p w14:paraId="05A2BE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4EA840C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4375096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9</w:t>
                  </w:r>
                </w:p>
              </w:tc>
              <w:tc>
                <w:tcPr>
                  <w:tcW w:w="284" w:type="pct"/>
                  <w:vMerge w:val="continue"/>
                  <w:tcBorders>
                    <w:tl2br w:val="nil"/>
                    <w:tr2bl w:val="nil"/>
                  </w:tcBorders>
                  <w:noWrap w:val="0"/>
                  <w:vAlign w:val="center"/>
                </w:tcPr>
                <w:p w14:paraId="5A1053E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1084B09">
                  <w:pPr>
                    <w:pStyle w:val="32"/>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布袋除尘器风机1</w:t>
                  </w:r>
                </w:p>
              </w:tc>
              <w:tc>
                <w:tcPr>
                  <w:tcW w:w="235" w:type="pct"/>
                  <w:tcBorders>
                    <w:tl2br w:val="nil"/>
                    <w:tr2bl w:val="nil"/>
                  </w:tcBorders>
                  <w:noWrap w:val="0"/>
                  <w:vAlign w:val="center"/>
                </w:tcPr>
                <w:p w14:paraId="67266477">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电源</w:t>
                  </w:r>
                </w:p>
              </w:tc>
              <w:tc>
                <w:tcPr>
                  <w:tcW w:w="386" w:type="pct"/>
                  <w:tcBorders>
                    <w:tl2br w:val="nil"/>
                    <w:tr2bl w:val="nil"/>
                  </w:tcBorders>
                  <w:noWrap w:val="0"/>
                  <w:vAlign w:val="center"/>
                </w:tcPr>
                <w:p w14:paraId="2628CF8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16F707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942" w:type="pct"/>
                  <w:tcBorders>
                    <w:tl2br w:val="nil"/>
                    <w:tr2bl w:val="nil"/>
                  </w:tcBorders>
                  <w:noWrap w:val="0"/>
                  <w:vAlign w:val="center"/>
                </w:tcPr>
                <w:p w14:paraId="1A804B2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B6F4FE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73</w:t>
                  </w:r>
                </w:p>
              </w:tc>
              <w:tc>
                <w:tcPr>
                  <w:tcW w:w="212" w:type="pct"/>
                  <w:tcBorders>
                    <w:tl2br w:val="nil"/>
                    <w:tr2bl w:val="nil"/>
                  </w:tcBorders>
                  <w:noWrap w:val="0"/>
                  <w:vAlign w:val="center"/>
                </w:tcPr>
                <w:p w14:paraId="46CCC52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-64</w:t>
                  </w:r>
                </w:p>
              </w:tc>
              <w:tc>
                <w:tcPr>
                  <w:tcW w:w="227" w:type="pct"/>
                  <w:tcBorders>
                    <w:tl2br w:val="nil"/>
                    <w:tr2bl w:val="nil"/>
                  </w:tcBorders>
                  <w:noWrap w:val="0"/>
                  <w:vAlign w:val="center"/>
                </w:tcPr>
                <w:p w14:paraId="13ABEDB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1F45753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7.23</w:t>
                  </w:r>
                </w:p>
              </w:tc>
              <w:tc>
                <w:tcPr>
                  <w:tcW w:w="724" w:type="dxa"/>
                  <w:tcBorders>
                    <w:tl2br w:val="nil"/>
                    <w:tr2bl w:val="nil"/>
                  </w:tcBorders>
                  <w:noWrap w:val="0"/>
                  <w:vAlign w:val="center"/>
                </w:tcPr>
                <w:p w14:paraId="13FD542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77.98</w:t>
                  </w:r>
                </w:p>
              </w:tc>
              <w:tc>
                <w:tcPr>
                  <w:tcW w:w="366" w:type="pct"/>
                  <w:tcBorders>
                    <w:tl2br w:val="nil"/>
                    <w:tr2bl w:val="nil"/>
                  </w:tcBorders>
                  <w:noWrap w:val="0"/>
                  <w:vAlign w:val="center"/>
                </w:tcPr>
                <w:p w14:paraId="33BCE56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1F0AC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A0893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46.93</w:t>
                  </w:r>
                </w:p>
              </w:tc>
              <w:tc>
                <w:tcPr>
                  <w:tcW w:w="251" w:type="pct"/>
                  <w:tcBorders>
                    <w:tl2br w:val="nil"/>
                    <w:tr2bl w:val="nil"/>
                  </w:tcBorders>
                  <w:noWrap w:val="0"/>
                  <w:vAlign w:val="center"/>
                </w:tcPr>
                <w:p w14:paraId="5C22A02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25F5C28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5903153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10</w:t>
                  </w:r>
                </w:p>
              </w:tc>
              <w:tc>
                <w:tcPr>
                  <w:tcW w:w="284" w:type="pct"/>
                  <w:vMerge w:val="continue"/>
                  <w:tcBorders>
                    <w:tl2br w:val="nil"/>
                    <w:tr2bl w:val="nil"/>
                  </w:tcBorders>
                  <w:noWrap w:val="0"/>
                  <w:vAlign w:val="center"/>
                </w:tcPr>
                <w:p w14:paraId="2360C73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A429676">
                  <w:pPr>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布袋除尘器风机2</w:t>
                  </w:r>
                </w:p>
              </w:tc>
              <w:tc>
                <w:tcPr>
                  <w:tcW w:w="235" w:type="pct"/>
                  <w:tcBorders>
                    <w:tl2br w:val="nil"/>
                    <w:tr2bl w:val="nil"/>
                  </w:tcBorders>
                  <w:noWrap w:val="0"/>
                  <w:vAlign w:val="center"/>
                </w:tcPr>
                <w:p w14:paraId="01F6FBC4">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C4E98F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4D4E661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942" w:type="pct"/>
                  <w:tcBorders>
                    <w:tl2br w:val="nil"/>
                    <w:tr2bl w:val="nil"/>
                  </w:tcBorders>
                  <w:noWrap w:val="0"/>
                  <w:vAlign w:val="center"/>
                </w:tcPr>
                <w:p w14:paraId="19585A3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617E071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33</w:t>
                  </w:r>
                </w:p>
              </w:tc>
              <w:tc>
                <w:tcPr>
                  <w:tcW w:w="212" w:type="pct"/>
                  <w:tcBorders>
                    <w:tl2br w:val="nil"/>
                    <w:tr2bl w:val="nil"/>
                  </w:tcBorders>
                  <w:noWrap w:val="0"/>
                  <w:vAlign w:val="center"/>
                </w:tcPr>
                <w:p w14:paraId="1E93C4B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w:t>
                  </w:r>
                </w:p>
              </w:tc>
              <w:tc>
                <w:tcPr>
                  <w:tcW w:w="227" w:type="pct"/>
                  <w:tcBorders>
                    <w:tl2br w:val="nil"/>
                    <w:tr2bl w:val="nil"/>
                  </w:tcBorders>
                  <w:noWrap w:val="0"/>
                  <w:vAlign w:val="center"/>
                </w:tcPr>
                <w:p w14:paraId="5F3AD5D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6A81591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8.56</w:t>
                  </w:r>
                </w:p>
              </w:tc>
              <w:tc>
                <w:tcPr>
                  <w:tcW w:w="724" w:type="dxa"/>
                  <w:tcBorders>
                    <w:tl2br w:val="nil"/>
                    <w:tr2bl w:val="nil"/>
                  </w:tcBorders>
                  <w:noWrap w:val="0"/>
                  <w:vAlign w:val="center"/>
                </w:tcPr>
                <w:p w14:paraId="6962B42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77.97</w:t>
                  </w:r>
                </w:p>
              </w:tc>
              <w:tc>
                <w:tcPr>
                  <w:tcW w:w="366" w:type="pct"/>
                  <w:tcBorders>
                    <w:tl2br w:val="nil"/>
                    <w:tr2bl w:val="nil"/>
                  </w:tcBorders>
                  <w:noWrap w:val="0"/>
                  <w:vAlign w:val="center"/>
                </w:tcPr>
                <w:p w14:paraId="6CC18AB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3437AC4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0DD60F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46.93</w:t>
                  </w:r>
                </w:p>
              </w:tc>
              <w:tc>
                <w:tcPr>
                  <w:tcW w:w="251" w:type="pct"/>
                  <w:tcBorders>
                    <w:tl2br w:val="nil"/>
                    <w:tr2bl w:val="nil"/>
                  </w:tcBorders>
                  <w:noWrap w:val="0"/>
                  <w:vAlign w:val="center"/>
                </w:tcPr>
                <w:p w14:paraId="33E7672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61F1EE9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7FE080A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11</w:t>
                  </w:r>
                </w:p>
              </w:tc>
              <w:tc>
                <w:tcPr>
                  <w:tcW w:w="284" w:type="pct"/>
                  <w:vMerge w:val="continue"/>
                  <w:tcBorders>
                    <w:tl2br w:val="nil"/>
                    <w:tr2bl w:val="nil"/>
                  </w:tcBorders>
                  <w:noWrap w:val="0"/>
                  <w:vAlign w:val="center"/>
                </w:tcPr>
                <w:p w14:paraId="5ECA488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4D23ACE">
                  <w:pPr>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布袋除尘器风机3</w:t>
                  </w:r>
                </w:p>
              </w:tc>
              <w:tc>
                <w:tcPr>
                  <w:tcW w:w="235" w:type="pct"/>
                  <w:tcBorders>
                    <w:tl2br w:val="nil"/>
                    <w:tr2bl w:val="nil"/>
                  </w:tcBorders>
                  <w:noWrap w:val="0"/>
                  <w:vAlign w:val="center"/>
                </w:tcPr>
                <w:p w14:paraId="6ED7B5F1">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电源</w:t>
                  </w:r>
                </w:p>
              </w:tc>
              <w:tc>
                <w:tcPr>
                  <w:tcW w:w="386" w:type="pct"/>
                  <w:tcBorders>
                    <w:tl2br w:val="nil"/>
                    <w:tr2bl w:val="nil"/>
                  </w:tcBorders>
                  <w:noWrap w:val="0"/>
                  <w:vAlign w:val="center"/>
                </w:tcPr>
                <w:p w14:paraId="7D240D9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C5FDA8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942" w:type="pct"/>
                  <w:tcBorders>
                    <w:tl2br w:val="nil"/>
                    <w:tr2bl w:val="nil"/>
                  </w:tcBorders>
                  <w:noWrap w:val="0"/>
                  <w:vAlign w:val="center"/>
                </w:tcPr>
                <w:p w14:paraId="0C8E83D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A2168F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212" w:type="pct"/>
                  <w:tcBorders>
                    <w:tl2br w:val="nil"/>
                    <w:tr2bl w:val="nil"/>
                  </w:tcBorders>
                  <w:noWrap w:val="0"/>
                  <w:vAlign w:val="center"/>
                </w:tcPr>
                <w:p w14:paraId="541E2AA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24</w:t>
                  </w:r>
                </w:p>
              </w:tc>
              <w:tc>
                <w:tcPr>
                  <w:tcW w:w="227" w:type="pct"/>
                  <w:tcBorders>
                    <w:tl2br w:val="nil"/>
                    <w:tr2bl w:val="nil"/>
                  </w:tcBorders>
                  <w:noWrap w:val="0"/>
                  <w:vAlign w:val="center"/>
                </w:tcPr>
                <w:p w14:paraId="467863B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67FAF7A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8.23</w:t>
                  </w:r>
                </w:p>
              </w:tc>
              <w:tc>
                <w:tcPr>
                  <w:tcW w:w="724" w:type="dxa"/>
                  <w:tcBorders>
                    <w:tl2br w:val="nil"/>
                    <w:tr2bl w:val="nil"/>
                  </w:tcBorders>
                  <w:noWrap w:val="0"/>
                  <w:vAlign w:val="center"/>
                </w:tcPr>
                <w:p w14:paraId="128CB99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77.97</w:t>
                  </w:r>
                </w:p>
              </w:tc>
              <w:tc>
                <w:tcPr>
                  <w:tcW w:w="366" w:type="pct"/>
                  <w:tcBorders>
                    <w:tl2br w:val="nil"/>
                    <w:tr2bl w:val="nil"/>
                  </w:tcBorders>
                  <w:noWrap w:val="0"/>
                  <w:vAlign w:val="center"/>
                </w:tcPr>
                <w:p w14:paraId="5B97B7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716EB8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0372E8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46.93</w:t>
                  </w:r>
                </w:p>
              </w:tc>
              <w:tc>
                <w:tcPr>
                  <w:tcW w:w="251" w:type="pct"/>
                  <w:tcBorders>
                    <w:tl2br w:val="nil"/>
                    <w:tr2bl w:val="nil"/>
                  </w:tcBorders>
                  <w:noWrap w:val="0"/>
                  <w:vAlign w:val="center"/>
                </w:tcPr>
                <w:p w14:paraId="1A1E524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F9F12D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476E86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w:t>
                  </w:r>
                </w:p>
              </w:tc>
              <w:tc>
                <w:tcPr>
                  <w:tcW w:w="284" w:type="pct"/>
                  <w:vMerge w:val="restart"/>
                  <w:tcBorders>
                    <w:tl2br w:val="nil"/>
                    <w:tr2bl w:val="nil"/>
                  </w:tcBorders>
                  <w:shd w:val="clear" w:color="auto" w:fill="auto"/>
                  <w:noWrap w:val="0"/>
                  <w:vAlign w:val="center"/>
                </w:tcPr>
                <w:p w14:paraId="418C642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18"/>
                      <w:szCs w:val="18"/>
                      <w:lang w:val="en-US" w:eastAsia="zh-CN" w:bidi="ar"/>
                    </w:rPr>
                  </w:pPr>
                  <w:r>
                    <w:rPr>
                      <w:rFonts w:hint="default" w:ascii="Times New Roman" w:hAnsi="Times New Roman" w:eastAsia="宋体" w:cs="Times New Roman"/>
                      <w:bCs/>
                      <w:color w:val="auto"/>
                      <w:sz w:val="18"/>
                      <w:szCs w:val="18"/>
                      <w:lang w:val="en-US" w:eastAsia="zh-CN" w:bidi="ar"/>
                    </w:rPr>
                    <w:t>磨矿浮选车间</w:t>
                  </w:r>
                </w:p>
              </w:tc>
              <w:tc>
                <w:tcPr>
                  <w:tcW w:w="394" w:type="pct"/>
                  <w:tcBorders>
                    <w:tl2br w:val="nil"/>
                    <w:tr2bl w:val="nil"/>
                  </w:tcBorders>
                  <w:noWrap w:val="0"/>
                  <w:vAlign w:val="center"/>
                </w:tcPr>
                <w:p w14:paraId="4DC1D7AA">
                  <w:pPr>
                    <w:pStyle w:val="32"/>
                    <w:ind w:left="0" w:leftChars="0" w:right="0" w:rightChars="0" w:firstLine="0" w:firstLineChars="0"/>
                    <w:jc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color w:val="auto"/>
                      <w:sz w:val="18"/>
                      <w:szCs w:val="18"/>
                    </w:rPr>
                    <w:t>1#格子型球磨机</w:t>
                  </w:r>
                </w:p>
              </w:tc>
              <w:tc>
                <w:tcPr>
                  <w:tcW w:w="235" w:type="pct"/>
                  <w:tcBorders>
                    <w:tl2br w:val="nil"/>
                    <w:tr2bl w:val="nil"/>
                  </w:tcBorders>
                  <w:noWrap w:val="0"/>
                  <w:vAlign w:val="center"/>
                </w:tcPr>
                <w:p w14:paraId="03806AB4">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0CF9BC6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w:t>
                  </w:r>
                </w:p>
              </w:tc>
              <w:tc>
                <w:tcPr>
                  <w:tcW w:w="254" w:type="pct"/>
                  <w:tcBorders>
                    <w:tl2br w:val="nil"/>
                    <w:tr2bl w:val="nil"/>
                  </w:tcBorders>
                  <w:noWrap w:val="0"/>
                  <w:vAlign w:val="center"/>
                </w:tcPr>
                <w:p w14:paraId="107D43A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85</w:t>
                  </w:r>
                </w:p>
              </w:tc>
              <w:tc>
                <w:tcPr>
                  <w:tcW w:w="942" w:type="pct"/>
                  <w:tcBorders>
                    <w:tl2br w:val="nil"/>
                    <w:tr2bl w:val="nil"/>
                  </w:tcBorders>
                  <w:noWrap w:val="0"/>
                  <w:vAlign w:val="center"/>
                </w:tcPr>
                <w:p w14:paraId="474B20B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3FCEEB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w:t>
                  </w:r>
                </w:p>
              </w:tc>
              <w:tc>
                <w:tcPr>
                  <w:tcW w:w="212" w:type="pct"/>
                  <w:tcBorders>
                    <w:tl2br w:val="nil"/>
                    <w:tr2bl w:val="nil"/>
                  </w:tcBorders>
                  <w:noWrap w:val="0"/>
                  <w:vAlign w:val="center"/>
                </w:tcPr>
                <w:p w14:paraId="1422FC5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27" w:type="pct"/>
                  <w:tcBorders>
                    <w:tl2br w:val="nil"/>
                    <w:tr2bl w:val="nil"/>
                  </w:tcBorders>
                  <w:noWrap w:val="0"/>
                  <w:vAlign w:val="center"/>
                </w:tcPr>
                <w:p w14:paraId="2C88A40E">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6143C57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180C784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77.95</w:t>
                  </w:r>
                </w:p>
              </w:tc>
              <w:tc>
                <w:tcPr>
                  <w:tcW w:w="366" w:type="pct"/>
                  <w:tcBorders>
                    <w:tl2br w:val="nil"/>
                    <w:tr2bl w:val="nil"/>
                  </w:tcBorders>
                  <w:noWrap w:val="0"/>
                  <w:vAlign w:val="center"/>
                </w:tcPr>
                <w:p w14:paraId="2835A03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E67F79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303AC8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46.93</w:t>
                  </w:r>
                </w:p>
              </w:tc>
              <w:tc>
                <w:tcPr>
                  <w:tcW w:w="251" w:type="pct"/>
                  <w:tcBorders>
                    <w:tl2br w:val="nil"/>
                    <w:tr2bl w:val="nil"/>
                  </w:tcBorders>
                  <w:noWrap w:val="0"/>
                  <w:vAlign w:val="center"/>
                </w:tcPr>
                <w:p w14:paraId="47F3A84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4C11E7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188CD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13</w:t>
                  </w:r>
                </w:p>
              </w:tc>
              <w:tc>
                <w:tcPr>
                  <w:tcW w:w="284" w:type="pct"/>
                  <w:vMerge w:val="continue"/>
                  <w:tcBorders>
                    <w:tl2br w:val="nil"/>
                    <w:tr2bl w:val="nil"/>
                  </w:tcBorders>
                  <w:noWrap w:val="0"/>
                  <w:vAlign w:val="center"/>
                </w:tcPr>
                <w:p w14:paraId="7F975BB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3D61C5CF">
                  <w:pPr>
                    <w:pStyle w:val="32"/>
                    <w:ind w:left="0" w:leftChars="0" w:right="0" w:rightChars="0" w:firstLine="0" w:firstLineChars="0"/>
                    <w:jc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color w:val="auto"/>
                      <w:sz w:val="18"/>
                      <w:szCs w:val="18"/>
                    </w:rPr>
                    <w:t>2#溢流型球磨机</w:t>
                  </w:r>
                </w:p>
              </w:tc>
              <w:tc>
                <w:tcPr>
                  <w:tcW w:w="235" w:type="pct"/>
                  <w:tcBorders>
                    <w:tl2br w:val="nil"/>
                    <w:tr2bl w:val="nil"/>
                  </w:tcBorders>
                  <w:noWrap w:val="0"/>
                  <w:vAlign w:val="center"/>
                </w:tcPr>
                <w:p w14:paraId="275B0350">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DADD55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49D6280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85</w:t>
                  </w:r>
                </w:p>
              </w:tc>
              <w:tc>
                <w:tcPr>
                  <w:tcW w:w="942" w:type="pct"/>
                  <w:tcBorders>
                    <w:tl2br w:val="nil"/>
                    <w:tr2bl w:val="nil"/>
                  </w:tcBorders>
                  <w:noWrap w:val="0"/>
                  <w:vAlign w:val="center"/>
                </w:tcPr>
                <w:p w14:paraId="0D437B2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794EE48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212" w:type="pct"/>
                  <w:tcBorders>
                    <w:tl2br w:val="nil"/>
                    <w:tr2bl w:val="nil"/>
                  </w:tcBorders>
                  <w:noWrap w:val="0"/>
                  <w:vAlign w:val="center"/>
                </w:tcPr>
                <w:p w14:paraId="457F300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27" w:type="pct"/>
                  <w:tcBorders>
                    <w:tl2br w:val="nil"/>
                    <w:tr2bl w:val="nil"/>
                  </w:tcBorders>
                  <w:noWrap w:val="0"/>
                  <w:vAlign w:val="center"/>
                </w:tcPr>
                <w:p w14:paraId="225192B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4B8E50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0928BD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77.95</w:t>
                  </w:r>
                </w:p>
              </w:tc>
              <w:tc>
                <w:tcPr>
                  <w:tcW w:w="366" w:type="pct"/>
                  <w:tcBorders>
                    <w:tl2br w:val="nil"/>
                    <w:tr2bl w:val="nil"/>
                  </w:tcBorders>
                  <w:noWrap w:val="0"/>
                  <w:vAlign w:val="center"/>
                </w:tcPr>
                <w:p w14:paraId="0A0B188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37C85E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6A1F436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46.93</w:t>
                  </w:r>
                </w:p>
              </w:tc>
              <w:tc>
                <w:tcPr>
                  <w:tcW w:w="251" w:type="pct"/>
                  <w:tcBorders>
                    <w:tl2br w:val="nil"/>
                    <w:tr2bl w:val="nil"/>
                  </w:tcBorders>
                  <w:noWrap w:val="0"/>
                  <w:vAlign w:val="center"/>
                </w:tcPr>
                <w:p w14:paraId="0012DD2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4D9048A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0DAD32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14</w:t>
                  </w:r>
                </w:p>
              </w:tc>
              <w:tc>
                <w:tcPr>
                  <w:tcW w:w="284" w:type="pct"/>
                  <w:vMerge w:val="continue"/>
                  <w:tcBorders>
                    <w:tl2br w:val="nil"/>
                    <w:tr2bl w:val="nil"/>
                  </w:tcBorders>
                  <w:noWrap w:val="0"/>
                  <w:vAlign w:val="center"/>
                </w:tcPr>
                <w:p w14:paraId="5646BC6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7281A6E1">
                  <w:pPr>
                    <w:pStyle w:val="32"/>
                    <w:ind w:left="0" w:leftChars="0" w:right="0" w:rightChars="0" w:firstLine="0" w:firstLineChars="0"/>
                    <w:jc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color w:val="auto"/>
                      <w:sz w:val="18"/>
                      <w:szCs w:val="18"/>
                    </w:rPr>
                    <w:t>一段分级旋流器</w:t>
                  </w:r>
                </w:p>
              </w:tc>
              <w:tc>
                <w:tcPr>
                  <w:tcW w:w="235" w:type="pct"/>
                  <w:tcBorders>
                    <w:tl2br w:val="nil"/>
                    <w:tr2bl w:val="nil"/>
                  </w:tcBorders>
                  <w:noWrap w:val="0"/>
                  <w:vAlign w:val="center"/>
                </w:tcPr>
                <w:p w14:paraId="3B71105B">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5138FF4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7F716DB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70</w:t>
                  </w:r>
                </w:p>
              </w:tc>
              <w:tc>
                <w:tcPr>
                  <w:tcW w:w="942" w:type="pct"/>
                  <w:tcBorders>
                    <w:tl2br w:val="nil"/>
                    <w:tr2bl w:val="nil"/>
                  </w:tcBorders>
                  <w:noWrap w:val="0"/>
                  <w:vAlign w:val="center"/>
                </w:tcPr>
                <w:p w14:paraId="61EB784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41E279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w:t>
                  </w:r>
                </w:p>
              </w:tc>
              <w:tc>
                <w:tcPr>
                  <w:tcW w:w="212" w:type="pct"/>
                  <w:tcBorders>
                    <w:tl2br w:val="nil"/>
                    <w:tr2bl w:val="nil"/>
                  </w:tcBorders>
                  <w:noWrap w:val="0"/>
                  <w:vAlign w:val="center"/>
                </w:tcPr>
                <w:p w14:paraId="3401BC3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227" w:type="pct"/>
                  <w:tcBorders>
                    <w:tl2br w:val="nil"/>
                    <w:tr2bl w:val="nil"/>
                  </w:tcBorders>
                  <w:noWrap w:val="0"/>
                  <w:vAlign w:val="center"/>
                </w:tcPr>
                <w:p w14:paraId="476969D5">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278963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6422EC4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66" w:type="pct"/>
                  <w:tcBorders>
                    <w:tl2br w:val="nil"/>
                    <w:tr2bl w:val="nil"/>
                  </w:tcBorders>
                  <w:noWrap w:val="0"/>
                  <w:vAlign w:val="center"/>
                </w:tcPr>
                <w:p w14:paraId="0190C7D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E4FB7B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39E5EF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51" w:type="pct"/>
                  <w:tcBorders>
                    <w:tl2br w:val="nil"/>
                    <w:tr2bl w:val="nil"/>
                  </w:tcBorders>
                  <w:noWrap w:val="0"/>
                  <w:vAlign w:val="center"/>
                </w:tcPr>
                <w:p w14:paraId="3513A7E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E5EF77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98C3A8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15</w:t>
                  </w:r>
                </w:p>
              </w:tc>
              <w:tc>
                <w:tcPr>
                  <w:tcW w:w="284" w:type="pct"/>
                  <w:vMerge w:val="continue"/>
                  <w:tcBorders>
                    <w:tl2br w:val="nil"/>
                    <w:tr2bl w:val="nil"/>
                  </w:tcBorders>
                  <w:noWrap w:val="0"/>
                  <w:vAlign w:val="center"/>
                </w:tcPr>
                <w:p w14:paraId="2970303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9D3AD55">
                  <w:pPr>
                    <w:pStyle w:val="32"/>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再磨分级旋流器</w:t>
                  </w:r>
                </w:p>
              </w:tc>
              <w:tc>
                <w:tcPr>
                  <w:tcW w:w="235" w:type="pct"/>
                  <w:tcBorders>
                    <w:tl2br w:val="nil"/>
                    <w:tr2bl w:val="nil"/>
                  </w:tcBorders>
                  <w:noWrap w:val="0"/>
                  <w:vAlign w:val="center"/>
                </w:tcPr>
                <w:p w14:paraId="2D16F281">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FB66F7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3559DC9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70</w:t>
                  </w:r>
                </w:p>
              </w:tc>
              <w:tc>
                <w:tcPr>
                  <w:tcW w:w="942" w:type="pct"/>
                  <w:tcBorders>
                    <w:tl2br w:val="nil"/>
                    <w:tr2bl w:val="nil"/>
                  </w:tcBorders>
                  <w:noWrap w:val="0"/>
                  <w:vAlign w:val="center"/>
                </w:tcPr>
                <w:p w14:paraId="0727E3C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7615ED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212" w:type="pct"/>
                  <w:tcBorders>
                    <w:tl2br w:val="nil"/>
                    <w:tr2bl w:val="nil"/>
                  </w:tcBorders>
                  <w:noWrap w:val="0"/>
                  <w:vAlign w:val="center"/>
                </w:tcPr>
                <w:p w14:paraId="6D35549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227" w:type="pct"/>
                  <w:tcBorders>
                    <w:tl2br w:val="nil"/>
                    <w:tr2bl w:val="nil"/>
                  </w:tcBorders>
                  <w:noWrap w:val="0"/>
                  <w:vAlign w:val="center"/>
                </w:tcPr>
                <w:p w14:paraId="4F8E305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83E0F3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141B2E6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66" w:type="pct"/>
                  <w:tcBorders>
                    <w:tl2br w:val="nil"/>
                    <w:tr2bl w:val="nil"/>
                  </w:tcBorders>
                  <w:noWrap w:val="0"/>
                  <w:vAlign w:val="center"/>
                </w:tcPr>
                <w:p w14:paraId="511A09B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5AF4FB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328473E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51" w:type="pct"/>
                  <w:tcBorders>
                    <w:tl2br w:val="nil"/>
                    <w:tr2bl w:val="nil"/>
                  </w:tcBorders>
                  <w:noWrap w:val="0"/>
                  <w:vAlign w:val="center"/>
                </w:tcPr>
                <w:p w14:paraId="430B172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78E456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5B168AA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16</w:t>
                  </w:r>
                </w:p>
              </w:tc>
              <w:tc>
                <w:tcPr>
                  <w:tcW w:w="284" w:type="pct"/>
                  <w:vMerge w:val="continue"/>
                  <w:tcBorders>
                    <w:tl2br w:val="nil"/>
                    <w:tr2bl w:val="nil"/>
                  </w:tcBorders>
                  <w:noWrap w:val="0"/>
                  <w:vAlign w:val="center"/>
                </w:tcPr>
                <w:p w14:paraId="7C52A2D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05B35F5">
                  <w:pPr>
                    <w:pStyle w:val="32"/>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双吊钩桥式起重机</w:t>
                  </w:r>
                </w:p>
              </w:tc>
              <w:tc>
                <w:tcPr>
                  <w:tcW w:w="235" w:type="pct"/>
                  <w:tcBorders>
                    <w:tl2br w:val="nil"/>
                    <w:tr2bl w:val="nil"/>
                  </w:tcBorders>
                  <w:noWrap w:val="0"/>
                  <w:vAlign w:val="center"/>
                </w:tcPr>
                <w:p w14:paraId="4CF491E5">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5075C53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7D3274B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00D9EA8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408663C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-19</w:t>
                  </w:r>
                </w:p>
              </w:tc>
              <w:tc>
                <w:tcPr>
                  <w:tcW w:w="212" w:type="pct"/>
                  <w:tcBorders>
                    <w:tl2br w:val="nil"/>
                    <w:tr2bl w:val="nil"/>
                  </w:tcBorders>
                  <w:noWrap w:val="0"/>
                  <w:vAlign w:val="center"/>
                </w:tcPr>
                <w:p w14:paraId="7E7C639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227" w:type="pct"/>
                  <w:tcBorders>
                    <w:tl2br w:val="nil"/>
                    <w:tr2bl w:val="nil"/>
                  </w:tcBorders>
                  <w:noWrap w:val="0"/>
                  <w:vAlign w:val="center"/>
                </w:tcPr>
                <w:p w14:paraId="57F1A6EE">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4B17CFE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5A9AC0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67.95</w:t>
                  </w:r>
                </w:p>
              </w:tc>
              <w:tc>
                <w:tcPr>
                  <w:tcW w:w="366" w:type="pct"/>
                  <w:tcBorders>
                    <w:tl2br w:val="nil"/>
                    <w:tr2bl w:val="nil"/>
                  </w:tcBorders>
                  <w:noWrap w:val="0"/>
                  <w:vAlign w:val="center"/>
                </w:tcPr>
                <w:p w14:paraId="6C61D3F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33D1A99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8701F3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36.93</w:t>
                  </w:r>
                </w:p>
              </w:tc>
              <w:tc>
                <w:tcPr>
                  <w:tcW w:w="251" w:type="pct"/>
                  <w:tcBorders>
                    <w:tl2br w:val="nil"/>
                    <w:tr2bl w:val="nil"/>
                  </w:tcBorders>
                  <w:noWrap w:val="0"/>
                  <w:vAlign w:val="center"/>
                </w:tcPr>
                <w:p w14:paraId="2527742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1B806BB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93D2D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17</w:t>
                  </w:r>
                </w:p>
              </w:tc>
              <w:tc>
                <w:tcPr>
                  <w:tcW w:w="284" w:type="pct"/>
                  <w:vMerge w:val="continue"/>
                  <w:tcBorders>
                    <w:tl2br w:val="nil"/>
                    <w:tr2bl w:val="nil"/>
                  </w:tcBorders>
                  <w:noWrap w:val="0"/>
                  <w:vAlign w:val="center"/>
                </w:tcPr>
                <w:p w14:paraId="6749EF3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2FAC2463">
                  <w:pPr>
                    <w:pStyle w:val="32"/>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3#格子型球磨机</w:t>
                  </w:r>
                </w:p>
              </w:tc>
              <w:tc>
                <w:tcPr>
                  <w:tcW w:w="235" w:type="pct"/>
                  <w:tcBorders>
                    <w:tl2br w:val="nil"/>
                    <w:tr2bl w:val="nil"/>
                  </w:tcBorders>
                  <w:noWrap w:val="0"/>
                  <w:vAlign w:val="center"/>
                </w:tcPr>
                <w:p w14:paraId="74779CC6">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6FC16B4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23D4C9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85</w:t>
                  </w:r>
                </w:p>
              </w:tc>
              <w:tc>
                <w:tcPr>
                  <w:tcW w:w="942" w:type="pct"/>
                  <w:tcBorders>
                    <w:tl2br w:val="nil"/>
                    <w:tr2bl w:val="nil"/>
                  </w:tcBorders>
                  <w:noWrap w:val="0"/>
                  <w:vAlign w:val="center"/>
                </w:tcPr>
                <w:p w14:paraId="7B585C8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89BADB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212" w:type="pct"/>
                  <w:tcBorders>
                    <w:tl2br w:val="nil"/>
                    <w:tr2bl w:val="nil"/>
                  </w:tcBorders>
                  <w:noWrap w:val="0"/>
                  <w:vAlign w:val="center"/>
                </w:tcPr>
                <w:p w14:paraId="6E95A6E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227" w:type="pct"/>
                  <w:tcBorders>
                    <w:tl2br w:val="nil"/>
                    <w:tr2bl w:val="nil"/>
                  </w:tcBorders>
                  <w:noWrap w:val="0"/>
                  <w:vAlign w:val="center"/>
                </w:tcPr>
                <w:p w14:paraId="44D656E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5D8E9D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3AC5B48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77.95</w:t>
                  </w:r>
                </w:p>
              </w:tc>
              <w:tc>
                <w:tcPr>
                  <w:tcW w:w="366" w:type="pct"/>
                  <w:tcBorders>
                    <w:tl2br w:val="nil"/>
                    <w:tr2bl w:val="nil"/>
                  </w:tcBorders>
                  <w:noWrap w:val="0"/>
                  <w:vAlign w:val="center"/>
                </w:tcPr>
                <w:p w14:paraId="2E0D4A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7637F52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21CADB3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46.93</w:t>
                  </w:r>
                </w:p>
              </w:tc>
              <w:tc>
                <w:tcPr>
                  <w:tcW w:w="251" w:type="pct"/>
                  <w:tcBorders>
                    <w:tl2br w:val="nil"/>
                    <w:tr2bl w:val="nil"/>
                  </w:tcBorders>
                  <w:noWrap w:val="0"/>
                  <w:vAlign w:val="center"/>
                </w:tcPr>
                <w:p w14:paraId="7AED3D4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775CF8E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694817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18</w:t>
                  </w:r>
                </w:p>
              </w:tc>
              <w:tc>
                <w:tcPr>
                  <w:tcW w:w="284" w:type="pct"/>
                  <w:vMerge w:val="continue"/>
                  <w:tcBorders>
                    <w:tl2br w:val="nil"/>
                    <w:tr2bl w:val="nil"/>
                  </w:tcBorders>
                  <w:noWrap w:val="0"/>
                  <w:vAlign w:val="center"/>
                </w:tcPr>
                <w:p w14:paraId="4B5949B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2802F4EE">
                  <w:pPr>
                    <w:pStyle w:val="32"/>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4#溢流型球磨机</w:t>
                  </w:r>
                </w:p>
              </w:tc>
              <w:tc>
                <w:tcPr>
                  <w:tcW w:w="235" w:type="pct"/>
                  <w:tcBorders>
                    <w:tl2br w:val="nil"/>
                    <w:tr2bl w:val="nil"/>
                  </w:tcBorders>
                  <w:noWrap w:val="0"/>
                  <w:vAlign w:val="center"/>
                </w:tcPr>
                <w:p w14:paraId="516A4845">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16422DD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562B8FF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85</w:t>
                  </w:r>
                </w:p>
              </w:tc>
              <w:tc>
                <w:tcPr>
                  <w:tcW w:w="942" w:type="pct"/>
                  <w:tcBorders>
                    <w:tl2br w:val="nil"/>
                    <w:tr2bl w:val="nil"/>
                  </w:tcBorders>
                  <w:noWrap w:val="0"/>
                  <w:vAlign w:val="center"/>
                </w:tcPr>
                <w:p w14:paraId="1B40482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D1BF59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w:t>
                  </w:r>
                </w:p>
              </w:tc>
              <w:tc>
                <w:tcPr>
                  <w:tcW w:w="212" w:type="pct"/>
                  <w:tcBorders>
                    <w:tl2br w:val="nil"/>
                    <w:tr2bl w:val="nil"/>
                  </w:tcBorders>
                  <w:noWrap w:val="0"/>
                  <w:vAlign w:val="center"/>
                </w:tcPr>
                <w:p w14:paraId="0C09B42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227" w:type="pct"/>
                  <w:tcBorders>
                    <w:tl2br w:val="nil"/>
                    <w:tr2bl w:val="nil"/>
                  </w:tcBorders>
                  <w:noWrap w:val="0"/>
                  <w:vAlign w:val="center"/>
                </w:tcPr>
                <w:p w14:paraId="52962A47">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5C05393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0793B60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77.95</w:t>
                  </w:r>
                </w:p>
              </w:tc>
              <w:tc>
                <w:tcPr>
                  <w:tcW w:w="366" w:type="pct"/>
                  <w:tcBorders>
                    <w:tl2br w:val="nil"/>
                    <w:tr2bl w:val="nil"/>
                  </w:tcBorders>
                  <w:noWrap w:val="0"/>
                  <w:vAlign w:val="center"/>
                </w:tcPr>
                <w:p w14:paraId="4365CE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0C7BC8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27B483C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46.93</w:t>
                  </w:r>
                </w:p>
              </w:tc>
              <w:tc>
                <w:tcPr>
                  <w:tcW w:w="251" w:type="pct"/>
                  <w:tcBorders>
                    <w:tl2br w:val="nil"/>
                    <w:tr2bl w:val="nil"/>
                  </w:tcBorders>
                  <w:noWrap w:val="0"/>
                  <w:vAlign w:val="center"/>
                </w:tcPr>
                <w:p w14:paraId="01C0D48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EB9DD6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147D28A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19</w:t>
                  </w:r>
                </w:p>
              </w:tc>
              <w:tc>
                <w:tcPr>
                  <w:tcW w:w="284" w:type="pct"/>
                  <w:vMerge w:val="continue"/>
                  <w:tcBorders>
                    <w:tl2br w:val="nil"/>
                    <w:tr2bl w:val="nil"/>
                  </w:tcBorders>
                  <w:noWrap w:val="0"/>
                  <w:vAlign w:val="center"/>
                </w:tcPr>
                <w:p w14:paraId="658FE8F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4AC6D06">
                  <w:pPr>
                    <w:pStyle w:val="32"/>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一段分级旋流器</w:t>
                  </w:r>
                </w:p>
              </w:tc>
              <w:tc>
                <w:tcPr>
                  <w:tcW w:w="235" w:type="pct"/>
                  <w:tcBorders>
                    <w:tl2br w:val="nil"/>
                    <w:tr2bl w:val="nil"/>
                  </w:tcBorders>
                  <w:noWrap w:val="0"/>
                  <w:vAlign w:val="center"/>
                </w:tcPr>
                <w:p w14:paraId="357A8F9E">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091C5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CA3C8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70</w:t>
                  </w:r>
                </w:p>
              </w:tc>
              <w:tc>
                <w:tcPr>
                  <w:tcW w:w="942" w:type="pct"/>
                  <w:tcBorders>
                    <w:tl2br w:val="nil"/>
                    <w:tr2bl w:val="nil"/>
                  </w:tcBorders>
                  <w:noWrap w:val="0"/>
                  <w:vAlign w:val="center"/>
                </w:tcPr>
                <w:p w14:paraId="1EBB8DF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499A97B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w:t>
                  </w:r>
                </w:p>
              </w:tc>
              <w:tc>
                <w:tcPr>
                  <w:tcW w:w="212" w:type="pct"/>
                  <w:tcBorders>
                    <w:tl2br w:val="nil"/>
                    <w:tr2bl w:val="nil"/>
                  </w:tcBorders>
                  <w:noWrap w:val="0"/>
                  <w:vAlign w:val="center"/>
                </w:tcPr>
                <w:p w14:paraId="53F8884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227" w:type="pct"/>
                  <w:tcBorders>
                    <w:tl2br w:val="nil"/>
                    <w:tr2bl w:val="nil"/>
                  </w:tcBorders>
                  <w:noWrap w:val="0"/>
                  <w:vAlign w:val="center"/>
                </w:tcPr>
                <w:p w14:paraId="62E17B1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648A9BB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2415A08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62.95</w:t>
                  </w:r>
                </w:p>
              </w:tc>
              <w:tc>
                <w:tcPr>
                  <w:tcW w:w="366" w:type="pct"/>
                  <w:tcBorders>
                    <w:tl2br w:val="nil"/>
                    <w:tr2bl w:val="nil"/>
                  </w:tcBorders>
                  <w:noWrap w:val="0"/>
                  <w:vAlign w:val="center"/>
                </w:tcPr>
                <w:p w14:paraId="73820B1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7BA6739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47D38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31.93</w:t>
                  </w:r>
                </w:p>
              </w:tc>
              <w:tc>
                <w:tcPr>
                  <w:tcW w:w="251" w:type="pct"/>
                  <w:tcBorders>
                    <w:tl2br w:val="nil"/>
                    <w:tr2bl w:val="nil"/>
                  </w:tcBorders>
                  <w:noWrap w:val="0"/>
                  <w:vAlign w:val="center"/>
                </w:tcPr>
                <w:p w14:paraId="247EC3B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D2D917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22D5E67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20</w:t>
                  </w:r>
                </w:p>
              </w:tc>
              <w:tc>
                <w:tcPr>
                  <w:tcW w:w="284" w:type="pct"/>
                  <w:vMerge w:val="continue"/>
                  <w:tcBorders>
                    <w:tl2br w:val="nil"/>
                    <w:tr2bl w:val="nil"/>
                  </w:tcBorders>
                  <w:noWrap w:val="0"/>
                  <w:vAlign w:val="center"/>
                </w:tcPr>
                <w:p w14:paraId="406D34D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09AE572">
                  <w:pPr>
                    <w:pStyle w:val="32"/>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二段分级旋流器</w:t>
                  </w:r>
                </w:p>
              </w:tc>
              <w:tc>
                <w:tcPr>
                  <w:tcW w:w="235" w:type="pct"/>
                  <w:tcBorders>
                    <w:tl2br w:val="nil"/>
                    <w:tr2bl w:val="nil"/>
                  </w:tcBorders>
                  <w:noWrap w:val="0"/>
                  <w:vAlign w:val="center"/>
                </w:tcPr>
                <w:p w14:paraId="6C31CD9C">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785B84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3D7592A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70</w:t>
                  </w:r>
                </w:p>
              </w:tc>
              <w:tc>
                <w:tcPr>
                  <w:tcW w:w="942" w:type="pct"/>
                  <w:tcBorders>
                    <w:tl2br w:val="nil"/>
                    <w:tr2bl w:val="nil"/>
                  </w:tcBorders>
                  <w:noWrap w:val="0"/>
                  <w:vAlign w:val="center"/>
                </w:tcPr>
                <w:p w14:paraId="58F2EDD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3A9A723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-44</w:t>
                  </w:r>
                </w:p>
              </w:tc>
              <w:tc>
                <w:tcPr>
                  <w:tcW w:w="212" w:type="pct"/>
                  <w:tcBorders>
                    <w:tl2br w:val="nil"/>
                    <w:tr2bl w:val="nil"/>
                  </w:tcBorders>
                  <w:noWrap w:val="0"/>
                  <w:vAlign w:val="center"/>
                </w:tcPr>
                <w:p w14:paraId="7D4DFF0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27" w:type="pct"/>
                  <w:tcBorders>
                    <w:tl2br w:val="nil"/>
                    <w:tr2bl w:val="nil"/>
                  </w:tcBorders>
                  <w:noWrap w:val="0"/>
                  <w:vAlign w:val="center"/>
                </w:tcPr>
                <w:p w14:paraId="6CDD331E">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1069BEB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29.38</w:t>
                  </w:r>
                </w:p>
              </w:tc>
              <w:tc>
                <w:tcPr>
                  <w:tcW w:w="724" w:type="dxa"/>
                  <w:tcBorders>
                    <w:tl2br w:val="nil"/>
                    <w:tr2bl w:val="nil"/>
                  </w:tcBorders>
                  <w:noWrap w:val="0"/>
                  <w:vAlign w:val="center"/>
                </w:tcPr>
                <w:p w14:paraId="36E3B75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62.95</w:t>
                  </w:r>
                </w:p>
              </w:tc>
              <w:tc>
                <w:tcPr>
                  <w:tcW w:w="366" w:type="pct"/>
                  <w:tcBorders>
                    <w:tl2br w:val="nil"/>
                    <w:tr2bl w:val="nil"/>
                  </w:tcBorders>
                  <w:noWrap w:val="0"/>
                  <w:vAlign w:val="center"/>
                </w:tcPr>
                <w:p w14:paraId="05A85C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A15D9A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FCD0B8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31.93</w:t>
                  </w:r>
                </w:p>
              </w:tc>
              <w:tc>
                <w:tcPr>
                  <w:tcW w:w="251" w:type="pct"/>
                  <w:tcBorders>
                    <w:tl2br w:val="nil"/>
                    <w:tr2bl w:val="nil"/>
                  </w:tcBorders>
                  <w:noWrap w:val="0"/>
                  <w:vAlign w:val="center"/>
                </w:tcPr>
                <w:p w14:paraId="2BE3F4C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F7BBDB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459" w:type="dxa"/>
                  <w:tcBorders>
                    <w:tl2br w:val="nil"/>
                    <w:tr2bl w:val="nil"/>
                  </w:tcBorders>
                  <w:noWrap w:val="0"/>
                  <w:vAlign w:val="center"/>
                </w:tcPr>
                <w:p w14:paraId="3CE836D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21</w:t>
                  </w:r>
                </w:p>
              </w:tc>
              <w:tc>
                <w:tcPr>
                  <w:tcW w:w="284" w:type="pct"/>
                  <w:vMerge w:val="continue"/>
                  <w:tcBorders>
                    <w:tl2br w:val="nil"/>
                    <w:tr2bl w:val="nil"/>
                  </w:tcBorders>
                  <w:noWrap w:val="0"/>
                  <w:vAlign w:val="center"/>
                </w:tcPr>
                <w:p w14:paraId="3E241DA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CFECA81">
                  <w:pPr>
                    <w:pStyle w:val="32"/>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搅拌桶</w:t>
                  </w:r>
                  <w:r>
                    <w:rPr>
                      <w:rFonts w:hint="default" w:ascii="Times New Roman" w:hAnsi="Times New Roman" w:eastAsia="宋体" w:cs="Times New Roman"/>
                      <w:color w:val="auto"/>
                      <w:sz w:val="18"/>
                      <w:szCs w:val="18"/>
                      <w:lang w:val="en-US" w:eastAsia="zh-CN"/>
                    </w:rPr>
                    <w:t>1</w:t>
                  </w:r>
                </w:p>
              </w:tc>
              <w:tc>
                <w:tcPr>
                  <w:tcW w:w="235" w:type="pct"/>
                  <w:tcBorders>
                    <w:tl2br w:val="nil"/>
                    <w:tr2bl w:val="nil"/>
                  </w:tcBorders>
                  <w:noWrap w:val="0"/>
                  <w:vAlign w:val="center"/>
                </w:tcPr>
                <w:p w14:paraId="4E99A933">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486C9BF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CE0AED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65</w:t>
                  </w:r>
                </w:p>
              </w:tc>
              <w:tc>
                <w:tcPr>
                  <w:tcW w:w="942" w:type="pct"/>
                  <w:tcBorders>
                    <w:tl2br w:val="nil"/>
                    <w:tr2bl w:val="nil"/>
                  </w:tcBorders>
                  <w:noWrap w:val="0"/>
                  <w:vAlign w:val="center"/>
                </w:tcPr>
                <w:p w14:paraId="1FF79C7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8692EE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-82</w:t>
                  </w:r>
                </w:p>
              </w:tc>
              <w:tc>
                <w:tcPr>
                  <w:tcW w:w="212" w:type="pct"/>
                  <w:tcBorders>
                    <w:tl2br w:val="nil"/>
                    <w:tr2bl w:val="nil"/>
                  </w:tcBorders>
                  <w:noWrap w:val="0"/>
                  <w:vAlign w:val="center"/>
                </w:tcPr>
                <w:p w14:paraId="131BDB5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227" w:type="pct"/>
                  <w:tcBorders>
                    <w:tl2br w:val="nil"/>
                    <w:tr2bl w:val="nil"/>
                  </w:tcBorders>
                  <w:noWrap w:val="0"/>
                  <w:vAlign w:val="center"/>
                </w:tcPr>
                <w:p w14:paraId="297063B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B9EB6F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09C5414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57.95</w:t>
                  </w:r>
                </w:p>
              </w:tc>
              <w:tc>
                <w:tcPr>
                  <w:tcW w:w="366" w:type="pct"/>
                  <w:tcBorders>
                    <w:tl2br w:val="nil"/>
                    <w:tr2bl w:val="nil"/>
                  </w:tcBorders>
                  <w:noWrap w:val="0"/>
                  <w:vAlign w:val="center"/>
                </w:tcPr>
                <w:p w14:paraId="4E64A7A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4BF941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E131FA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26.93</w:t>
                  </w:r>
                </w:p>
              </w:tc>
              <w:tc>
                <w:tcPr>
                  <w:tcW w:w="251" w:type="pct"/>
                  <w:tcBorders>
                    <w:tl2br w:val="nil"/>
                    <w:tr2bl w:val="nil"/>
                  </w:tcBorders>
                  <w:noWrap w:val="0"/>
                  <w:vAlign w:val="center"/>
                </w:tcPr>
                <w:p w14:paraId="2A300E0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8D3DC6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4686DF7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22</w:t>
                  </w:r>
                </w:p>
              </w:tc>
              <w:tc>
                <w:tcPr>
                  <w:tcW w:w="284" w:type="pct"/>
                  <w:vMerge w:val="continue"/>
                  <w:tcBorders>
                    <w:tl2br w:val="nil"/>
                    <w:tr2bl w:val="nil"/>
                  </w:tcBorders>
                  <w:noWrap w:val="0"/>
                  <w:vAlign w:val="center"/>
                </w:tcPr>
                <w:p w14:paraId="6F8DFC8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3849E328">
                  <w:pPr>
                    <w:pStyle w:val="30"/>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搅拌桶2</w:t>
                  </w:r>
                </w:p>
              </w:tc>
              <w:tc>
                <w:tcPr>
                  <w:tcW w:w="235" w:type="pct"/>
                  <w:tcBorders>
                    <w:tl2br w:val="nil"/>
                    <w:tr2bl w:val="nil"/>
                  </w:tcBorders>
                  <w:noWrap w:val="0"/>
                  <w:vAlign w:val="center"/>
                </w:tcPr>
                <w:p w14:paraId="55B4BA73">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50E9238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254" w:type="pct"/>
                  <w:tcBorders>
                    <w:tl2br w:val="nil"/>
                    <w:tr2bl w:val="nil"/>
                  </w:tcBorders>
                  <w:noWrap w:val="0"/>
                  <w:vAlign w:val="center"/>
                </w:tcPr>
                <w:p w14:paraId="433AB25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65</w:t>
                  </w:r>
                </w:p>
              </w:tc>
              <w:tc>
                <w:tcPr>
                  <w:tcW w:w="942" w:type="pct"/>
                  <w:tcBorders>
                    <w:tl2br w:val="nil"/>
                    <w:tr2bl w:val="nil"/>
                  </w:tcBorders>
                  <w:noWrap w:val="0"/>
                  <w:vAlign w:val="center"/>
                </w:tcPr>
                <w:p w14:paraId="5EA34DF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D1E0EE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-69</w:t>
                  </w:r>
                </w:p>
              </w:tc>
              <w:tc>
                <w:tcPr>
                  <w:tcW w:w="212" w:type="pct"/>
                  <w:tcBorders>
                    <w:tl2br w:val="nil"/>
                    <w:tr2bl w:val="nil"/>
                  </w:tcBorders>
                  <w:noWrap w:val="0"/>
                  <w:vAlign w:val="center"/>
                </w:tcPr>
                <w:p w14:paraId="3025277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227" w:type="pct"/>
                  <w:tcBorders>
                    <w:tl2br w:val="nil"/>
                    <w:tr2bl w:val="nil"/>
                  </w:tcBorders>
                  <w:noWrap w:val="0"/>
                  <w:vAlign w:val="center"/>
                </w:tcPr>
                <w:p w14:paraId="431EA794">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4A1A4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152372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57.95</w:t>
                  </w:r>
                </w:p>
              </w:tc>
              <w:tc>
                <w:tcPr>
                  <w:tcW w:w="366" w:type="pct"/>
                  <w:tcBorders>
                    <w:tl2br w:val="nil"/>
                    <w:tr2bl w:val="nil"/>
                  </w:tcBorders>
                  <w:noWrap w:val="0"/>
                  <w:vAlign w:val="center"/>
                </w:tcPr>
                <w:p w14:paraId="7977122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13DB1BD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38EEC5F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26.93</w:t>
                  </w:r>
                </w:p>
              </w:tc>
              <w:tc>
                <w:tcPr>
                  <w:tcW w:w="251" w:type="pct"/>
                  <w:tcBorders>
                    <w:tl2br w:val="nil"/>
                    <w:tr2bl w:val="nil"/>
                  </w:tcBorders>
                  <w:noWrap w:val="0"/>
                  <w:vAlign w:val="center"/>
                </w:tcPr>
                <w:p w14:paraId="4512F2B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0E64C63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0CFF968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23</w:t>
                  </w:r>
                </w:p>
              </w:tc>
              <w:tc>
                <w:tcPr>
                  <w:tcW w:w="284" w:type="pct"/>
                  <w:vMerge w:val="continue"/>
                  <w:tcBorders>
                    <w:tl2br w:val="nil"/>
                    <w:tr2bl w:val="nil"/>
                  </w:tcBorders>
                  <w:noWrap w:val="0"/>
                  <w:vAlign w:val="center"/>
                </w:tcPr>
                <w:p w14:paraId="47B1F72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36C7236A">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w:t>
                  </w:r>
                </w:p>
              </w:tc>
              <w:tc>
                <w:tcPr>
                  <w:tcW w:w="235" w:type="pct"/>
                  <w:tcBorders>
                    <w:tl2br w:val="nil"/>
                    <w:tr2bl w:val="nil"/>
                  </w:tcBorders>
                  <w:noWrap w:val="0"/>
                  <w:vAlign w:val="center"/>
                </w:tcPr>
                <w:p w14:paraId="7F43E5FA">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B93D72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3E0BDD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0A748EE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26F840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-89</w:t>
                  </w:r>
                </w:p>
              </w:tc>
              <w:tc>
                <w:tcPr>
                  <w:tcW w:w="212" w:type="pct"/>
                  <w:tcBorders>
                    <w:tl2br w:val="nil"/>
                    <w:tr2bl w:val="nil"/>
                  </w:tcBorders>
                  <w:noWrap w:val="0"/>
                  <w:vAlign w:val="center"/>
                </w:tcPr>
                <w:p w14:paraId="4153CAC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w:t>
                  </w:r>
                </w:p>
              </w:tc>
              <w:tc>
                <w:tcPr>
                  <w:tcW w:w="227" w:type="pct"/>
                  <w:tcBorders>
                    <w:tl2br w:val="nil"/>
                    <w:tr2bl w:val="nil"/>
                  </w:tcBorders>
                  <w:noWrap w:val="0"/>
                  <w:vAlign w:val="center"/>
                </w:tcPr>
                <w:p w14:paraId="6E17ADE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28532D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4048788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258B2C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CD570B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2DB48D11">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2644F56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6C3AD27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2989C25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24</w:t>
                  </w:r>
                </w:p>
              </w:tc>
              <w:tc>
                <w:tcPr>
                  <w:tcW w:w="284" w:type="pct"/>
                  <w:vMerge w:val="continue"/>
                  <w:tcBorders>
                    <w:tl2br w:val="nil"/>
                    <w:tr2bl w:val="nil"/>
                  </w:tcBorders>
                  <w:noWrap w:val="0"/>
                  <w:vAlign w:val="center"/>
                </w:tcPr>
                <w:p w14:paraId="20BCA5C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3692840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w:t>
                  </w:r>
                </w:p>
              </w:tc>
              <w:tc>
                <w:tcPr>
                  <w:tcW w:w="235" w:type="pct"/>
                  <w:tcBorders>
                    <w:tl2br w:val="nil"/>
                    <w:tr2bl w:val="nil"/>
                  </w:tcBorders>
                  <w:noWrap w:val="0"/>
                  <w:vAlign w:val="center"/>
                </w:tcPr>
                <w:p w14:paraId="1487140D">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82AB93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4D028E5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0320FFB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725D36C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-86</w:t>
                  </w:r>
                </w:p>
              </w:tc>
              <w:tc>
                <w:tcPr>
                  <w:tcW w:w="212" w:type="pct"/>
                  <w:tcBorders>
                    <w:tl2br w:val="nil"/>
                    <w:tr2bl w:val="nil"/>
                  </w:tcBorders>
                  <w:noWrap w:val="0"/>
                  <w:vAlign w:val="center"/>
                </w:tcPr>
                <w:p w14:paraId="35BF822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-24</w:t>
                  </w:r>
                </w:p>
              </w:tc>
              <w:tc>
                <w:tcPr>
                  <w:tcW w:w="227" w:type="pct"/>
                  <w:tcBorders>
                    <w:tl2br w:val="nil"/>
                    <w:tr2bl w:val="nil"/>
                  </w:tcBorders>
                  <w:noWrap w:val="0"/>
                  <w:vAlign w:val="center"/>
                </w:tcPr>
                <w:p w14:paraId="18D16B8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103B24B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5AC7CA6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450DD5E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12DA8B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333DC77D">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0A5EFA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4CCA7D3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28294E2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25</w:t>
                  </w:r>
                </w:p>
              </w:tc>
              <w:tc>
                <w:tcPr>
                  <w:tcW w:w="284" w:type="pct"/>
                  <w:vMerge w:val="continue"/>
                  <w:tcBorders>
                    <w:tl2br w:val="nil"/>
                    <w:tr2bl w:val="nil"/>
                  </w:tcBorders>
                  <w:noWrap w:val="0"/>
                  <w:vAlign w:val="center"/>
                </w:tcPr>
                <w:p w14:paraId="4BB634D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8626E01">
                  <w:pPr>
                    <w:pStyle w:val="30"/>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浮选机3</w:t>
                  </w:r>
                </w:p>
              </w:tc>
              <w:tc>
                <w:tcPr>
                  <w:tcW w:w="235" w:type="pct"/>
                  <w:tcBorders>
                    <w:tl2br w:val="nil"/>
                    <w:tr2bl w:val="nil"/>
                  </w:tcBorders>
                  <w:noWrap w:val="0"/>
                  <w:vAlign w:val="center"/>
                </w:tcPr>
                <w:p w14:paraId="6112F65B">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5A8DA0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D3545A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4B7C13D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A77D2C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-83</w:t>
                  </w:r>
                </w:p>
              </w:tc>
              <w:tc>
                <w:tcPr>
                  <w:tcW w:w="212" w:type="pct"/>
                  <w:tcBorders>
                    <w:tl2br w:val="nil"/>
                    <w:tr2bl w:val="nil"/>
                  </w:tcBorders>
                  <w:noWrap w:val="0"/>
                  <w:vAlign w:val="center"/>
                </w:tcPr>
                <w:p w14:paraId="316B1E3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-24</w:t>
                  </w:r>
                </w:p>
              </w:tc>
              <w:tc>
                <w:tcPr>
                  <w:tcW w:w="227" w:type="pct"/>
                  <w:tcBorders>
                    <w:tl2br w:val="nil"/>
                    <w:tr2bl w:val="nil"/>
                  </w:tcBorders>
                  <w:noWrap w:val="0"/>
                  <w:vAlign w:val="center"/>
                </w:tcPr>
                <w:p w14:paraId="25D6F38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769CC8A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6EEC5F9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0462C35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A0A7C5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F5A4A75">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748F2B1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2AFAE3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50B8ADF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26</w:t>
                  </w:r>
                </w:p>
              </w:tc>
              <w:tc>
                <w:tcPr>
                  <w:tcW w:w="284" w:type="pct"/>
                  <w:vMerge w:val="continue"/>
                  <w:tcBorders>
                    <w:tl2br w:val="nil"/>
                    <w:tr2bl w:val="nil"/>
                  </w:tcBorders>
                  <w:noWrap w:val="0"/>
                  <w:vAlign w:val="center"/>
                </w:tcPr>
                <w:p w14:paraId="4DD3A4C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21CA88B3">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浮选机4</w:t>
                  </w:r>
                </w:p>
              </w:tc>
              <w:tc>
                <w:tcPr>
                  <w:tcW w:w="235" w:type="pct"/>
                  <w:tcBorders>
                    <w:tl2br w:val="nil"/>
                    <w:tr2bl w:val="nil"/>
                  </w:tcBorders>
                  <w:noWrap w:val="0"/>
                  <w:vAlign w:val="center"/>
                </w:tcPr>
                <w:p w14:paraId="4E81652E">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6C05373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A6F76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66DDDB1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60A155B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-82</w:t>
                  </w:r>
                </w:p>
              </w:tc>
              <w:tc>
                <w:tcPr>
                  <w:tcW w:w="212" w:type="pct"/>
                  <w:tcBorders>
                    <w:tl2br w:val="nil"/>
                    <w:tr2bl w:val="nil"/>
                  </w:tcBorders>
                  <w:noWrap w:val="0"/>
                  <w:vAlign w:val="center"/>
                </w:tcPr>
                <w:p w14:paraId="6DFB745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-23</w:t>
                  </w:r>
                </w:p>
              </w:tc>
              <w:tc>
                <w:tcPr>
                  <w:tcW w:w="227" w:type="pct"/>
                  <w:tcBorders>
                    <w:tl2br w:val="nil"/>
                    <w:tr2bl w:val="nil"/>
                  </w:tcBorders>
                  <w:noWrap w:val="0"/>
                  <w:vAlign w:val="center"/>
                </w:tcPr>
                <w:p w14:paraId="7F910AB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49BED77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738FFF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072002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1DBED6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D3FC1CA">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15A7639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6C14FD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59307A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27</w:t>
                  </w:r>
                </w:p>
              </w:tc>
              <w:tc>
                <w:tcPr>
                  <w:tcW w:w="284" w:type="pct"/>
                  <w:vMerge w:val="continue"/>
                  <w:tcBorders>
                    <w:tl2br w:val="nil"/>
                    <w:tr2bl w:val="nil"/>
                  </w:tcBorders>
                  <w:noWrap w:val="0"/>
                  <w:vAlign w:val="center"/>
                </w:tcPr>
                <w:p w14:paraId="1FDE78B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781AEBA2">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浮选机5</w:t>
                  </w:r>
                </w:p>
              </w:tc>
              <w:tc>
                <w:tcPr>
                  <w:tcW w:w="235" w:type="pct"/>
                  <w:tcBorders>
                    <w:tl2br w:val="nil"/>
                    <w:tr2bl w:val="nil"/>
                  </w:tcBorders>
                  <w:noWrap w:val="0"/>
                  <w:vAlign w:val="center"/>
                </w:tcPr>
                <w:p w14:paraId="73F9746A">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B42EA0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A3867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7E9313B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62A1F5C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-80</w:t>
                  </w:r>
                </w:p>
              </w:tc>
              <w:tc>
                <w:tcPr>
                  <w:tcW w:w="212" w:type="pct"/>
                  <w:tcBorders>
                    <w:tl2br w:val="nil"/>
                    <w:tr2bl w:val="nil"/>
                  </w:tcBorders>
                  <w:noWrap w:val="0"/>
                  <w:vAlign w:val="center"/>
                </w:tcPr>
                <w:p w14:paraId="77A11C5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227" w:type="pct"/>
                  <w:tcBorders>
                    <w:tl2br w:val="nil"/>
                    <w:tr2bl w:val="nil"/>
                  </w:tcBorders>
                  <w:noWrap w:val="0"/>
                  <w:vAlign w:val="center"/>
                </w:tcPr>
                <w:p w14:paraId="40503099">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656AC1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4CD4255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2509231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6F2E01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F1BA25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28D18F8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02E4ACB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0E9BCE7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28</w:t>
                  </w:r>
                </w:p>
              </w:tc>
              <w:tc>
                <w:tcPr>
                  <w:tcW w:w="284" w:type="pct"/>
                  <w:vMerge w:val="continue"/>
                  <w:tcBorders>
                    <w:tl2br w:val="nil"/>
                    <w:tr2bl w:val="nil"/>
                  </w:tcBorders>
                  <w:noWrap w:val="0"/>
                  <w:vAlign w:val="center"/>
                </w:tcPr>
                <w:p w14:paraId="07C57A5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17A5BC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浮选机6</w:t>
                  </w:r>
                </w:p>
              </w:tc>
              <w:tc>
                <w:tcPr>
                  <w:tcW w:w="235" w:type="pct"/>
                  <w:tcBorders>
                    <w:tl2br w:val="nil"/>
                    <w:tr2bl w:val="nil"/>
                  </w:tcBorders>
                  <w:noWrap w:val="0"/>
                  <w:vAlign w:val="center"/>
                </w:tcPr>
                <w:p w14:paraId="54E0B778">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3D66AE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D16C8E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09096E5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6A46BFB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-77</w:t>
                  </w:r>
                </w:p>
              </w:tc>
              <w:tc>
                <w:tcPr>
                  <w:tcW w:w="212" w:type="pct"/>
                  <w:tcBorders>
                    <w:tl2br w:val="nil"/>
                    <w:tr2bl w:val="nil"/>
                  </w:tcBorders>
                  <w:noWrap w:val="0"/>
                  <w:vAlign w:val="center"/>
                </w:tcPr>
                <w:p w14:paraId="6A8AA64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227" w:type="pct"/>
                  <w:tcBorders>
                    <w:tl2br w:val="nil"/>
                    <w:tr2bl w:val="nil"/>
                  </w:tcBorders>
                  <w:noWrap w:val="0"/>
                  <w:vAlign w:val="center"/>
                </w:tcPr>
                <w:p w14:paraId="7EFD900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4B04CE1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F9F7A0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263136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338B789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74C85AA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5C6BA4B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1740B8B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4F47988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29</w:t>
                  </w:r>
                </w:p>
              </w:tc>
              <w:tc>
                <w:tcPr>
                  <w:tcW w:w="284" w:type="pct"/>
                  <w:vMerge w:val="continue"/>
                  <w:tcBorders>
                    <w:tl2br w:val="nil"/>
                    <w:tr2bl w:val="nil"/>
                  </w:tcBorders>
                  <w:noWrap w:val="0"/>
                  <w:vAlign w:val="center"/>
                </w:tcPr>
                <w:p w14:paraId="028564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26A51B6">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浮选机7</w:t>
                  </w:r>
                </w:p>
              </w:tc>
              <w:tc>
                <w:tcPr>
                  <w:tcW w:w="235" w:type="pct"/>
                  <w:tcBorders>
                    <w:tl2br w:val="nil"/>
                    <w:tr2bl w:val="nil"/>
                  </w:tcBorders>
                  <w:noWrap w:val="0"/>
                  <w:vAlign w:val="center"/>
                </w:tcPr>
                <w:p w14:paraId="04BE17FB">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4D4D0E4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A95E5A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0E9D09B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680A2CD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-76</w:t>
                  </w:r>
                </w:p>
              </w:tc>
              <w:tc>
                <w:tcPr>
                  <w:tcW w:w="212" w:type="pct"/>
                  <w:tcBorders>
                    <w:tl2br w:val="nil"/>
                    <w:tr2bl w:val="nil"/>
                  </w:tcBorders>
                  <w:noWrap w:val="0"/>
                  <w:vAlign w:val="center"/>
                </w:tcPr>
                <w:p w14:paraId="3DD2588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227" w:type="pct"/>
                  <w:tcBorders>
                    <w:tl2br w:val="nil"/>
                    <w:tr2bl w:val="nil"/>
                  </w:tcBorders>
                  <w:noWrap w:val="0"/>
                  <w:vAlign w:val="center"/>
                </w:tcPr>
                <w:p w14:paraId="6DE02F71">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5EF345C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5D16DCF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46FE9D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D675FE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3A6C41CF">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76729A8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4BF0316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1A66F8D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30</w:t>
                  </w:r>
                </w:p>
              </w:tc>
              <w:tc>
                <w:tcPr>
                  <w:tcW w:w="284" w:type="pct"/>
                  <w:vMerge w:val="continue"/>
                  <w:tcBorders>
                    <w:tl2br w:val="nil"/>
                    <w:tr2bl w:val="nil"/>
                  </w:tcBorders>
                  <w:noWrap w:val="0"/>
                  <w:vAlign w:val="center"/>
                </w:tcPr>
                <w:p w14:paraId="18477FF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4144BF09">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浮选机8</w:t>
                  </w:r>
                </w:p>
              </w:tc>
              <w:tc>
                <w:tcPr>
                  <w:tcW w:w="235" w:type="pct"/>
                  <w:tcBorders>
                    <w:tl2br w:val="nil"/>
                    <w:tr2bl w:val="nil"/>
                  </w:tcBorders>
                  <w:noWrap w:val="0"/>
                  <w:vAlign w:val="center"/>
                </w:tcPr>
                <w:p w14:paraId="06A8F366">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B2A14A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E38957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3A4BE7B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90BE5D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-74</w:t>
                  </w:r>
                </w:p>
              </w:tc>
              <w:tc>
                <w:tcPr>
                  <w:tcW w:w="212" w:type="pct"/>
                  <w:tcBorders>
                    <w:tl2br w:val="nil"/>
                    <w:tr2bl w:val="nil"/>
                  </w:tcBorders>
                  <w:noWrap w:val="0"/>
                  <w:vAlign w:val="center"/>
                </w:tcPr>
                <w:p w14:paraId="3A7F158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-19</w:t>
                  </w:r>
                </w:p>
              </w:tc>
              <w:tc>
                <w:tcPr>
                  <w:tcW w:w="227" w:type="pct"/>
                  <w:tcBorders>
                    <w:tl2br w:val="nil"/>
                    <w:tr2bl w:val="nil"/>
                  </w:tcBorders>
                  <w:noWrap w:val="0"/>
                  <w:vAlign w:val="center"/>
                </w:tcPr>
                <w:p w14:paraId="1718BC94">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9D6C51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CEA8BE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3A565B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108CA6D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ABD470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78D4419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5C5EE6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530DB17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31</w:t>
                  </w:r>
                </w:p>
              </w:tc>
              <w:tc>
                <w:tcPr>
                  <w:tcW w:w="284" w:type="pct"/>
                  <w:vMerge w:val="continue"/>
                  <w:tcBorders>
                    <w:tl2br w:val="nil"/>
                    <w:tr2bl w:val="nil"/>
                  </w:tcBorders>
                  <w:noWrap w:val="0"/>
                  <w:vAlign w:val="center"/>
                </w:tcPr>
                <w:p w14:paraId="24CED7A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62E6645">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浮选机9</w:t>
                  </w:r>
                </w:p>
              </w:tc>
              <w:tc>
                <w:tcPr>
                  <w:tcW w:w="235" w:type="pct"/>
                  <w:tcBorders>
                    <w:tl2br w:val="nil"/>
                    <w:tr2bl w:val="nil"/>
                  </w:tcBorders>
                  <w:noWrap w:val="0"/>
                  <w:vAlign w:val="center"/>
                </w:tcPr>
                <w:p w14:paraId="29C12AAD">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6A0BE8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4B2709F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7943C8C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010BA2E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-69</w:t>
                  </w:r>
                </w:p>
              </w:tc>
              <w:tc>
                <w:tcPr>
                  <w:tcW w:w="212" w:type="pct"/>
                  <w:tcBorders>
                    <w:tl2br w:val="nil"/>
                    <w:tr2bl w:val="nil"/>
                  </w:tcBorders>
                  <w:noWrap w:val="0"/>
                  <w:vAlign w:val="center"/>
                </w:tcPr>
                <w:p w14:paraId="3A11F6D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w:t>
                  </w:r>
                </w:p>
              </w:tc>
              <w:tc>
                <w:tcPr>
                  <w:tcW w:w="227" w:type="pct"/>
                  <w:tcBorders>
                    <w:tl2br w:val="nil"/>
                    <w:tr2bl w:val="nil"/>
                  </w:tcBorders>
                  <w:noWrap w:val="0"/>
                  <w:vAlign w:val="center"/>
                </w:tcPr>
                <w:p w14:paraId="445FA71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886142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1914BEC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630A7CC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17834FD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378519BD">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5590D11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1990D76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20182DA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32</w:t>
                  </w:r>
                </w:p>
              </w:tc>
              <w:tc>
                <w:tcPr>
                  <w:tcW w:w="284" w:type="pct"/>
                  <w:vMerge w:val="continue"/>
                  <w:tcBorders>
                    <w:tl2br w:val="nil"/>
                    <w:tr2bl w:val="nil"/>
                  </w:tcBorders>
                  <w:noWrap w:val="0"/>
                  <w:vAlign w:val="center"/>
                </w:tcPr>
                <w:p w14:paraId="2A93B4B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ED1D3F5">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浮选机10</w:t>
                  </w:r>
                </w:p>
              </w:tc>
              <w:tc>
                <w:tcPr>
                  <w:tcW w:w="235" w:type="pct"/>
                  <w:tcBorders>
                    <w:tl2br w:val="nil"/>
                    <w:tr2bl w:val="nil"/>
                  </w:tcBorders>
                  <w:noWrap w:val="0"/>
                  <w:vAlign w:val="center"/>
                </w:tcPr>
                <w:p w14:paraId="0FA395EC">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6EF6BB3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35FFEE4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5ED5DB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7E96A02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-62</w:t>
                  </w:r>
                </w:p>
              </w:tc>
              <w:tc>
                <w:tcPr>
                  <w:tcW w:w="212" w:type="pct"/>
                  <w:tcBorders>
                    <w:tl2br w:val="nil"/>
                    <w:tr2bl w:val="nil"/>
                  </w:tcBorders>
                  <w:noWrap w:val="0"/>
                  <w:vAlign w:val="center"/>
                </w:tcPr>
                <w:p w14:paraId="4BB1E40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227" w:type="pct"/>
                  <w:tcBorders>
                    <w:tl2br w:val="nil"/>
                    <w:tr2bl w:val="nil"/>
                  </w:tcBorders>
                  <w:noWrap w:val="0"/>
                  <w:vAlign w:val="center"/>
                </w:tcPr>
                <w:p w14:paraId="71BF589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1B1AFAD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7B397F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556E23D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33C32B2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2317F2E2">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5780BFA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48978AC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26E8ADC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33</w:t>
                  </w:r>
                </w:p>
              </w:tc>
              <w:tc>
                <w:tcPr>
                  <w:tcW w:w="284" w:type="pct"/>
                  <w:vMerge w:val="continue"/>
                  <w:tcBorders>
                    <w:tl2br w:val="nil"/>
                    <w:tr2bl w:val="nil"/>
                  </w:tcBorders>
                  <w:noWrap w:val="0"/>
                  <w:vAlign w:val="center"/>
                </w:tcPr>
                <w:p w14:paraId="625AADE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5632DF6">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浮选机11</w:t>
                  </w:r>
                </w:p>
              </w:tc>
              <w:tc>
                <w:tcPr>
                  <w:tcW w:w="235" w:type="pct"/>
                  <w:tcBorders>
                    <w:tl2br w:val="nil"/>
                    <w:tr2bl w:val="nil"/>
                  </w:tcBorders>
                  <w:noWrap w:val="0"/>
                  <w:vAlign w:val="center"/>
                </w:tcPr>
                <w:p w14:paraId="057E5489">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1772833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A56B2C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0CBB8CA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4F7D9C9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-61</w:t>
                  </w:r>
                </w:p>
              </w:tc>
              <w:tc>
                <w:tcPr>
                  <w:tcW w:w="212" w:type="pct"/>
                  <w:tcBorders>
                    <w:tl2br w:val="nil"/>
                    <w:tr2bl w:val="nil"/>
                  </w:tcBorders>
                  <w:noWrap w:val="0"/>
                  <w:vAlign w:val="center"/>
                </w:tcPr>
                <w:p w14:paraId="2E3899B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227" w:type="pct"/>
                  <w:tcBorders>
                    <w:tl2br w:val="nil"/>
                    <w:tr2bl w:val="nil"/>
                  </w:tcBorders>
                  <w:noWrap w:val="0"/>
                  <w:vAlign w:val="center"/>
                </w:tcPr>
                <w:p w14:paraId="15F497CC">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0C57F70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25515E7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764756B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74B3DD7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3F9CC22C">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104639B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D7BE8D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68C4627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34</w:t>
                  </w:r>
                </w:p>
              </w:tc>
              <w:tc>
                <w:tcPr>
                  <w:tcW w:w="284" w:type="pct"/>
                  <w:vMerge w:val="continue"/>
                  <w:tcBorders>
                    <w:tl2br w:val="nil"/>
                    <w:tr2bl w:val="nil"/>
                  </w:tcBorders>
                  <w:noWrap w:val="0"/>
                  <w:vAlign w:val="center"/>
                </w:tcPr>
                <w:p w14:paraId="747D5CC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EB3F160">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浮选机12</w:t>
                  </w:r>
                </w:p>
              </w:tc>
              <w:tc>
                <w:tcPr>
                  <w:tcW w:w="235" w:type="pct"/>
                  <w:tcBorders>
                    <w:tl2br w:val="nil"/>
                    <w:tr2bl w:val="nil"/>
                  </w:tcBorders>
                  <w:noWrap w:val="0"/>
                  <w:vAlign w:val="center"/>
                </w:tcPr>
                <w:p w14:paraId="2DED6C74">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69A62A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6E3213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5B63DE8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38B32A7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-63</w:t>
                  </w:r>
                </w:p>
              </w:tc>
              <w:tc>
                <w:tcPr>
                  <w:tcW w:w="212" w:type="pct"/>
                  <w:tcBorders>
                    <w:tl2br w:val="nil"/>
                    <w:tr2bl w:val="nil"/>
                  </w:tcBorders>
                  <w:noWrap w:val="0"/>
                  <w:vAlign w:val="center"/>
                </w:tcPr>
                <w:p w14:paraId="561C299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227" w:type="pct"/>
                  <w:tcBorders>
                    <w:tl2br w:val="nil"/>
                    <w:tr2bl w:val="nil"/>
                  </w:tcBorders>
                  <w:noWrap w:val="0"/>
                  <w:vAlign w:val="center"/>
                </w:tcPr>
                <w:p w14:paraId="15C9889D">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5EAAA5F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0DEC638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75059E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333C70E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FD329BF">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2EE7671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1617A0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CFAEAB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35</w:t>
                  </w:r>
                </w:p>
              </w:tc>
              <w:tc>
                <w:tcPr>
                  <w:tcW w:w="284" w:type="pct"/>
                  <w:vMerge w:val="continue"/>
                  <w:tcBorders>
                    <w:tl2br w:val="nil"/>
                    <w:tr2bl w:val="nil"/>
                  </w:tcBorders>
                  <w:noWrap w:val="0"/>
                  <w:vAlign w:val="center"/>
                </w:tcPr>
                <w:p w14:paraId="71EE15A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CF13F6E">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浮选机13</w:t>
                  </w:r>
                </w:p>
              </w:tc>
              <w:tc>
                <w:tcPr>
                  <w:tcW w:w="235" w:type="pct"/>
                  <w:tcBorders>
                    <w:tl2br w:val="nil"/>
                    <w:tr2bl w:val="nil"/>
                  </w:tcBorders>
                  <w:noWrap w:val="0"/>
                  <w:vAlign w:val="center"/>
                </w:tcPr>
                <w:p w14:paraId="5601AC10">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49F9A74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EDBC4C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14E9E8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337F4D1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-65</w:t>
                  </w:r>
                </w:p>
              </w:tc>
              <w:tc>
                <w:tcPr>
                  <w:tcW w:w="212" w:type="pct"/>
                  <w:tcBorders>
                    <w:tl2br w:val="nil"/>
                    <w:tr2bl w:val="nil"/>
                  </w:tcBorders>
                  <w:noWrap w:val="0"/>
                  <w:vAlign w:val="center"/>
                </w:tcPr>
                <w:p w14:paraId="460BBBB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27" w:type="pct"/>
                  <w:tcBorders>
                    <w:tl2br w:val="nil"/>
                    <w:tr2bl w:val="nil"/>
                  </w:tcBorders>
                  <w:noWrap w:val="0"/>
                  <w:vAlign w:val="center"/>
                </w:tcPr>
                <w:p w14:paraId="21A42245">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D90A2F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4E26251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5B57B28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7C03C6C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2831068">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4F5CD8C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62F36E4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123A75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w:t>
                  </w:r>
                </w:p>
              </w:tc>
              <w:tc>
                <w:tcPr>
                  <w:tcW w:w="284" w:type="pct"/>
                  <w:vMerge w:val="continue"/>
                  <w:tcBorders>
                    <w:tl2br w:val="nil"/>
                    <w:tr2bl w:val="nil"/>
                  </w:tcBorders>
                  <w:noWrap w:val="0"/>
                  <w:vAlign w:val="center"/>
                </w:tcPr>
                <w:p w14:paraId="1E02DA4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F7E7716">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浮选机14</w:t>
                  </w:r>
                </w:p>
              </w:tc>
              <w:tc>
                <w:tcPr>
                  <w:tcW w:w="235" w:type="pct"/>
                  <w:tcBorders>
                    <w:tl2br w:val="nil"/>
                    <w:tr2bl w:val="nil"/>
                  </w:tcBorders>
                  <w:noWrap w:val="0"/>
                  <w:vAlign w:val="center"/>
                </w:tcPr>
                <w:p w14:paraId="3B0E284C">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8A3745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78C5283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316D9B4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38AF606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-66</w:t>
                  </w:r>
                </w:p>
              </w:tc>
              <w:tc>
                <w:tcPr>
                  <w:tcW w:w="212" w:type="pct"/>
                  <w:tcBorders>
                    <w:tl2br w:val="nil"/>
                    <w:tr2bl w:val="nil"/>
                  </w:tcBorders>
                  <w:noWrap w:val="0"/>
                  <w:vAlign w:val="center"/>
                </w:tcPr>
                <w:p w14:paraId="78F2B95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27" w:type="pct"/>
                  <w:tcBorders>
                    <w:tl2br w:val="nil"/>
                    <w:tr2bl w:val="nil"/>
                  </w:tcBorders>
                  <w:noWrap w:val="0"/>
                  <w:vAlign w:val="center"/>
                </w:tcPr>
                <w:p w14:paraId="68FB347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56422DF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A6057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5253CA6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1D244D0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61EAEC1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0960C2D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14E7C15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597DBF7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37</w:t>
                  </w:r>
                </w:p>
              </w:tc>
              <w:tc>
                <w:tcPr>
                  <w:tcW w:w="284" w:type="pct"/>
                  <w:vMerge w:val="continue"/>
                  <w:tcBorders>
                    <w:tl2br w:val="nil"/>
                    <w:tr2bl w:val="nil"/>
                  </w:tcBorders>
                  <w:noWrap w:val="0"/>
                  <w:vAlign w:val="center"/>
                </w:tcPr>
                <w:p w14:paraId="28A8838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77B2CB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浮选机15</w:t>
                  </w:r>
                </w:p>
              </w:tc>
              <w:tc>
                <w:tcPr>
                  <w:tcW w:w="235" w:type="pct"/>
                  <w:tcBorders>
                    <w:tl2br w:val="nil"/>
                    <w:tr2bl w:val="nil"/>
                  </w:tcBorders>
                  <w:noWrap w:val="0"/>
                  <w:vAlign w:val="center"/>
                </w:tcPr>
                <w:p w14:paraId="497AAFE2">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B3970B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6B55F9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00736B2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07CA9B4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-66</w:t>
                  </w:r>
                </w:p>
              </w:tc>
              <w:tc>
                <w:tcPr>
                  <w:tcW w:w="212" w:type="pct"/>
                  <w:tcBorders>
                    <w:tl2br w:val="nil"/>
                    <w:tr2bl w:val="nil"/>
                  </w:tcBorders>
                  <w:noWrap w:val="0"/>
                  <w:vAlign w:val="center"/>
                </w:tcPr>
                <w:p w14:paraId="0447C85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451297E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7DD936E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0C1315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5F095AC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FD6751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2A975F8F">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2D2DFEA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089E621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04F087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38</w:t>
                  </w:r>
                </w:p>
              </w:tc>
              <w:tc>
                <w:tcPr>
                  <w:tcW w:w="284" w:type="pct"/>
                  <w:vMerge w:val="continue"/>
                  <w:tcBorders>
                    <w:tl2br w:val="nil"/>
                    <w:tr2bl w:val="nil"/>
                  </w:tcBorders>
                  <w:noWrap w:val="0"/>
                  <w:vAlign w:val="center"/>
                </w:tcPr>
                <w:p w14:paraId="3A23F37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9BB8D99">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浮选机16</w:t>
                  </w:r>
                </w:p>
              </w:tc>
              <w:tc>
                <w:tcPr>
                  <w:tcW w:w="235" w:type="pct"/>
                  <w:tcBorders>
                    <w:tl2br w:val="nil"/>
                    <w:tr2bl w:val="nil"/>
                  </w:tcBorders>
                  <w:noWrap w:val="0"/>
                  <w:vAlign w:val="center"/>
                </w:tcPr>
                <w:p w14:paraId="67768355">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A46618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39C019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77F80F3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BDAA8B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w:t>
                  </w:r>
                </w:p>
              </w:tc>
              <w:tc>
                <w:tcPr>
                  <w:tcW w:w="212" w:type="pct"/>
                  <w:tcBorders>
                    <w:tl2br w:val="nil"/>
                    <w:tr2bl w:val="nil"/>
                  </w:tcBorders>
                  <w:noWrap w:val="0"/>
                  <w:vAlign w:val="center"/>
                </w:tcPr>
                <w:p w14:paraId="013FA98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6EC2D9AA">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1C1ABB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26A7DAC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795E914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504EF2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6BDE584E">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61F9989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23DAAB1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14F5D2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39</w:t>
                  </w:r>
                </w:p>
              </w:tc>
              <w:tc>
                <w:tcPr>
                  <w:tcW w:w="284" w:type="pct"/>
                  <w:vMerge w:val="continue"/>
                  <w:tcBorders>
                    <w:tl2br w:val="nil"/>
                    <w:tr2bl w:val="nil"/>
                  </w:tcBorders>
                  <w:noWrap w:val="0"/>
                  <w:vAlign w:val="center"/>
                </w:tcPr>
                <w:p w14:paraId="41F7E81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72CC8F15">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浮选机17</w:t>
                  </w:r>
                </w:p>
              </w:tc>
              <w:tc>
                <w:tcPr>
                  <w:tcW w:w="235" w:type="pct"/>
                  <w:tcBorders>
                    <w:tl2br w:val="nil"/>
                    <w:tr2bl w:val="nil"/>
                  </w:tcBorders>
                  <w:noWrap w:val="0"/>
                  <w:vAlign w:val="center"/>
                </w:tcPr>
                <w:p w14:paraId="40DA501A">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6851105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5384D5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6DA19C6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A10543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-69</w:t>
                  </w:r>
                </w:p>
              </w:tc>
              <w:tc>
                <w:tcPr>
                  <w:tcW w:w="212" w:type="pct"/>
                  <w:tcBorders>
                    <w:tl2br w:val="nil"/>
                    <w:tr2bl w:val="nil"/>
                  </w:tcBorders>
                  <w:noWrap w:val="0"/>
                  <w:vAlign w:val="center"/>
                </w:tcPr>
                <w:p w14:paraId="7D1BD99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227" w:type="pct"/>
                  <w:tcBorders>
                    <w:tl2br w:val="nil"/>
                    <w:tr2bl w:val="nil"/>
                  </w:tcBorders>
                  <w:noWrap w:val="0"/>
                  <w:vAlign w:val="center"/>
                </w:tcPr>
                <w:p w14:paraId="13ED591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571E2AE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4538FB9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2E1828C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3FF6FFF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B5A7399">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6EA11AF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0D21D2F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A198C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40</w:t>
                  </w:r>
                </w:p>
              </w:tc>
              <w:tc>
                <w:tcPr>
                  <w:tcW w:w="284" w:type="pct"/>
                  <w:vMerge w:val="continue"/>
                  <w:tcBorders>
                    <w:tl2br w:val="nil"/>
                    <w:tr2bl w:val="nil"/>
                  </w:tcBorders>
                  <w:noWrap w:val="0"/>
                  <w:vAlign w:val="center"/>
                </w:tcPr>
                <w:p w14:paraId="1AA7F13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2B299829">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浮选机18</w:t>
                  </w:r>
                </w:p>
              </w:tc>
              <w:tc>
                <w:tcPr>
                  <w:tcW w:w="235" w:type="pct"/>
                  <w:tcBorders>
                    <w:tl2br w:val="nil"/>
                    <w:tr2bl w:val="nil"/>
                  </w:tcBorders>
                  <w:noWrap w:val="0"/>
                  <w:vAlign w:val="center"/>
                </w:tcPr>
                <w:p w14:paraId="6A10366B">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DA72F6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6724C2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468F7EE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47E1D70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-68</w:t>
                  </w:r>
                </w:p>
              </w:tc>
              <w:tc>
                <w:tcPr>
                  <w:tcW w:w="212" w:type="pct"/>
                  <w:tcBorders>
                    <w:tl2br w:val="nil"/>
                    <w:tr2bl w:val="nil"/>
                  </w:tcBorders>
                  <w:noWrap w:val="0"/>
                  <w:vAlign w:val="center"/>
                </w:tcPr>
                <w:p w14:paraId="465086D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227" w:type="pct"/>
                  <w:tcBorders>
                    <w:tl2br w:val="nil"/>
                    <w:tr2bl w:val="nil"/>
                  </w:tcBorders>
                  <w:noWrap w:val="0"/>
                  <w:vAlign w:val="center"/>
                </w:tcPr>
                <w:p w14:paraId="7B86010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4CE2D59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61D2456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305F82B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12BA00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428DDC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74B4FA3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9578BE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59" w:type="dxa"/>
                  <w:tcBorders>
                    <w:tl2br w:val="nil"/>
                    <w:tr2bl w:val="nil"/>
                  </w:tcBorders>
                  <w:noWrap w:val="0"/>
                  <w:vAlign w:val="center"/>
                </w:tcPr>
                <w:p w14:paraId="6FD37F7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41</w:t>
                  </w:r>
                </w:p>
              </w:tc>
              <w:tc>
                <w:tcPr>
                  <w:tcW w:w="284" w:type="pct"/>
                  <w:vMerge w:val="continue"/>
                  <w:tcBorders>
                    <w:tl2br w:val="nil"/>
                    <w:tr2bl w:val="nil"/>
                  </w:tcBorders>
                  <w:noWrap w:val="0"/>
                  <w:vAlign w:val="center"/>
                </w:tcPr>
                <w:p w14:paraId="31B8469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163583D">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浮选机19</w:t>
                  </w:r>
                </w:p>
              </w:tc>
              <w:tc>
                <w:tcPr>
                  <w:tcW w:w="235" w:type="pct"/>
                  <w:tcBorders>
                    <w:tl2br w:val="nil"/>
                    <w:tr2bl w:val="nil"/>
                  </w:tcBorders>
                  <w:noWrap w:val="0"/>
                  <w:vAlign w:val="center"/>
                </w:tcPr>
                <w:p w14:paraId="0ECC04FD">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AA373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E81592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75F76C0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1AB15C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212" w:type="pct"/>
                  <w:tcBorders>
                    <w:tl2br w:val="nil"/>
                    <w:tr2bl w:val="nil"/>
                  </w:tcBorders>
                  <w:noWrap w:val="0"/>
                  <w:vAlign w:val="center"/>
                </w:tcPr>
                <w:p w14:paraId="573A386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227" w:type="pct"/>
                  <w:tcBorders>
                    <w:tl2br w:val="nil"/>
                    <w:tr2bl w:val="nil"/>
                  </w:tcBorders>
                  <w:noWrap w:val="0"/>
                  <w:vAlign w:val="center"/>
                </w:tcPr>
                <w:p w14:paraId="33DC5A92">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42E684D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88689F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76E9BEB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F1286F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392719E">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1A6300E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4B13ECE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B82DF6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42</w:t>
                  </w:r>
                </w:p>
              </w:tc>
              <w:tc>
                <w:tcPr>
                  <w:tcW w:w="284" w:type="pct"/>
                  <w:vMerge w:val="continue"/>
                  <w:tcBorders>
                    <w:tl2br w:val="nil"/>
                    <w:tr2bl w:val="nil"/>
                  </w:tcBorders>
                  <w:noWrap w:val="0"/>
                  <w:vAlign w:val="center"/>
                </w:tcPr>
                <w:p w14:paraId="2534477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ED7F7A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浮选机20</w:t>
                  </w:r>
                </w:p>
              </w:tc>
              <w:tc>
                <w:tcPr>
                  <w:tcW w:w="235" w:type="pct"/>
                  <w:tcBorders>
                    <w:tl2br w:val="nil"/>
                    <w:tr2bl w:val="nil"/>
                  </w:tcBorders>
                  <w:noWrap w:val="0"/>
                  <w:vAlign w:val="center"/>
                </w:tcPr>
                <w:p w14:paraId="3461D516">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564FE1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1616F4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5BCCF5D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7BE5BE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212" w:type="pct"/>
                  <w:tcBorders>
                    <w:tl2br w:val="nil"/>
                    <w:tr2bl w:val="nil"/>
                  </w:tcBorders>
                  <w:noWrap w:val="0"/>
                  <w:vAlign w:val="center"/>
                </w:tcPr>
                <w:p w14:paraId="41473FD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227" w:type="pct"/>
                  <w:tcBorders>
                    <w:tl2br w:val="nil"/>
                    <w:tr2bl w:val="nil"/>
                  </w:tcBorders>
                  <w:noWrap w:val="0"/>
                  <w:vAlign w:val="center"/>
                </w:tcPr>
                <w:p w14:paraId="1B471698">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0D8AEB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9D87D1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1A9CAA2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8F5D90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E62FACE">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67BFC07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51B2DBC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56FC84D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43</w:t>
                  </w:r>
                </w:p>
              </w:tc>
              <w:tc>
                <w:tcPr>
                  <w:tcW w:w="284" w:type="pct"/>
                  <w:vMerge w:val="continue"/>
                  <w:tcBorders>
                    <w:tl2br w:val="nil"/>
                    <w:tr2bl w:val="nil"/>
                  </w:tcBorders>
                  <w:noWrap w:val="0"/>
                  <w:vAlign w:val="center"/>
                </w:tcPr>
                <w:p w14:paraId="299060B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4B3CA930">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浮选机21</w:t>
                  </w:r>
                </w:p>
              </w:tc>
              <w:tc>
                <w:tcPr>
                  <w:tcW w:w="235" w:type="pct"/>
                  <w:tcBorders>
                    <w:tl2br w:val="nil"/>
                    <w:tr2bl w:val="nil"/>
                  </w:tcBorders>
                  <w:noWrap w:val="0"/>
                  <w:vAlign w:val="center"/>
                </w:tcPr>
                <w:p w14:paraId="5FDAECB6">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11F230B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08244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593D7DA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65AC04C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212" w:type="pct"/>
                  <w:tcBorders>
                    <w:tl2br w:val="nil"/>
                    <w:tr2bl w:val="nil"/>
                  </w:tcBorders>
                  <w:noWrap w:val="0"/>
                  <w:vAlign w:val="center"/>
                </w:tcPr>
                <w:p w14:paraId="0F9DC9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227" w:type="pct"/>
                  <w:tcBorders>
                    <w:tl2br w:val="nil"/>
                    <w:tr2bl w:val="nil"/>
                  </w:tcBorders>
                  <w:noWrap w:val="0"/>
                  <w:vAlign w:val="center"/>
                </w:tcPr>
                <w:p w14:paraId="05AB347E">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085CB1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9ABAB6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51F2373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9F040A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1436705">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65B862E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257FB6A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BFDB79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44</w:t>
                  </w:r>
                </w:p>
              </w:tc>
              <w:tc>
                <w:tcPr>
                  <w:tcW w:w="284" w:type="pct"/>
                  <w:vMerge w:val="continue"/>
                  <w:tcBorders>
                    <w:tl2br w:val="nil"/>
                    <w:tr2bl w:val="nil"/>
                  </w:tcBorders>
                  <w:noWrap w:val="0"/>
                  <w:vAlign w:val="center"/>
                </w:tcPr>
                <w:p w14:paraId="3F5801D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2761D34F">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浮选机22</w:t>
                  </w:r>
                </w:p>
              </w:tc>
              <w:tc>
                <w:tcPr>
                  <w:tcW w:w="235" w:type="pct"/>
                  <w:tcBorders>
                    <w:tl2br w:val="nil"/>
                    <w:tr2bl w:val="nil"/>
                  </w:tcBorders>
                  <w:noWrap w:val="0"/>
                  <w:vAlign w:val="center"/>
                </w:tcPr>
                <w:p w14:paraId="1DDF74E1">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85CDBE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4A5A7CE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2120821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01191A3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12" w:type="pct"/>
                  <w:tcBorders>
                    <w:tl2br w:val="nil"/>
                    <w:tr2bl w:val="nil"/>
                  </w:tcBorders>
                  <w:noWrap w:val="0"/>
                  <w:vAlign w:val="center"/>
                </w:tcPr>
                <w:p w14:paraId="3137E14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27" w:type="pct"/>
                  <w:tcBorders>
                    <w:tl2br w:val="nil"/>
                    <w:tr2bl w:val="nil"/>
                  </w:tcBorders>
                  <w:noWrap w:val="0"/>
                  <w:vAlign w:val="center"/>
                </w:tcPr>
                <w:p w14:paraId="1DE38E5C">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70DC743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04E71F8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3E4770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0516D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E5EB1F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1D84255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0CF999B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61B6DC0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45</w:t>
                  </w:r>
                </w:p>
              </w:tc>
              <w:tc>
                <w:tcPr>
                  <w:tcW w:w="284" w:type="pct"/>
                  <w:vMerge w:val="continue"/>
                  <w:tcBorders>
                    <w:tl2br w:val="nil"/>
                    <w:tr2bl w:val="nil"/>
                  </w:tcBorders>
                  <w:noWrap w:val="0"/>
                  <w:vAlign w:val="center"/>
                </w:tcPr>
                <w:p w14:paraId="59950A6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BDF2E37">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浮选机23</w:t>
                  </w:r>
                </w:p>
              </w:tc>
              <w:tc>
                <w:tcPr>
                  <w:tcW w:w="235" w:type="pct"/>
                  <w:tcBorders>
                    <w:tl2br w:val="nil"/>
                    <w:tr2bl w:val="nil"/>
                  </w:tcBorders>
                  <w:noWrap w:val="0"/>
                  <w:vAlign w:val="center"/>
                </w:tcPr>
                <w:p w14:paraId="5EA56140">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4DD8C3B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3D93638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3BA3FA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34A92A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212" w:type="pct"/>
                  <w:tcBorders>
                    <w:tl2br w:val="nil"/>
                    <w:tr2bl w:val="nil"/>
                  </w:tcBorders>
                  <w:noWrap w:val="0"/>
                  <w:vAlign w:val="center"/>
                </w:tcPr>
                <w:p w14:paraId="4640145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27" w:type="pct"/>
                  <w:tcBorders>
                    <w:tl2br w:val="nil"/>
                    <w:tr2bl w:val="nil"/>
                  </w:tcBorders>
                  <w:noWrap w:val="0"/>
                  <w:vAlign w:val="center"/>
                </w:tcPr>
                <w:p w14:paraId="7320BCD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CBF6E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214B71B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534C6DD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2DBC8E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28E1700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5D6A456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25C974F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023F2DD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46</w:t>
                  </w:r>
                </w:p>
              </w:tc>
              <w:tc>
                <w:tcPr>
                  <w:tcW w:w="284" w:type="pct"/>
                  <w:vMerge w:val="continue"/>
                  <w:tcBorders>
                    <w:tl2br w:val="nil"/>
                    <w:tr2bl w:val="nil"/>
                  </w:tcBorders>
                  <w:noWrap w:val="0"/>
                  <w:vAlign w:val="center"/>
                </w:tcPr>
                <w:p w14:paraId="6EB0440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6992B47">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浮选机24</w:t>
                  </w:r>
                </w:p>
              </w:tc>
              <w:tc>
                <w:tcPr>
                  <w:tcW w:w="235" w:type="pct"/>
                  <w:tcBorders>
                    <w:tl2br w:val="nil"/>
                    <w:tr2bl w:val="nil"/>
                  </w:tcBorders>
                  <w:noWrap w:val="0"/>
                  <w:vAlign w:val="center"/>
                </w:tcPr>
                <w:p w14:paraId="69AED7A3">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3A10F1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CF4E18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37E7764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0B185A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212" w:type="pct"/>
                  <w:tcBorders>
                    <w:tl2br w:val="nil"/>
                    <w:tr2bl w:val="nil"/>
                  </w:tcBorders>
                  <w:noWrap w:val="0"/>
                  <w:vAlign w:val="center"/>
                </w:tcPr>
                <w:p w14:paraId="4EEABC7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27" w:type="pct"/>
                  <w:tcBorders>
                    <w:tl2br w:val="nil"/>
                    <w:tr2bl w:val="nil"/>
                  </w:tcBorders>
                  <w:noWrap w:val="0"/>
                  <w:vAlign w:val="center"/>
                </w:tcPr>
                <w:p w14:paraId="3999E4F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4A73AF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0B51FB7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68AEFE1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F00466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0196F26C">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6176B1E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7BD3251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1FE63C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47</w:t>
                  </w:r>
                </w:p>
              </w:tc>
              <w:tc>
                <w:tcPr>
                  <w:tcW w:w="284" w:type="pct"/>
                  <w:vMerge w:val="continue"/>
                  <w:tcBorders>
                    <w:tl2br w:val="nil"/>
                    <w:tr2bl w:val="nil"/>
                  </w:tcBorders>
                  <w:noWrap w:val="0"/>
                  <w:vAlign w:val="center"/>
                </w:tcPr>
                <w:p w14:paraId="78B64A2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4757ED2F">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浮选机25</w:t>
                  </w:r>
                </w:p>
              </w:tc>
              <w:tc>
                <w:tcPr>
                  <w:tcW w:w="235" w:type="pct"/>
                  <w:tcBorders>
                    <w:tl2br w:val="nil"/>
                    <w:tr2bl w:val="nil"/>
                  </w:tcBorders>
                  <w:noWrap w:val="0"/>
                  <w:vAlign w:val="center"/>
                </w:tcPr>
                <w:p w14:paraId="24548155">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5D3EB4C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EF93D5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51A8024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4AE3462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212" w:type="pct"/>
                  <w:tcBorders>
                    <w:tl2br w:val="nil"/>
                    <w:tr2bl w:val="nil"/>
                  </w:tcBorders>
                  <w:noWrap w:val="0"/>
                  <w:vAlign w:val="center"/>
                </w:tcPr>
                <w:p w14:paraId="5B4D74A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03CE1A0F">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5DAABDE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F35A1C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0F9C3CC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1932B17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2353FEB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3771D2E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010FF53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044AEEB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48</w:t>
                  </w:r>
                </w:p>
              </w:tc>
              <w:tc>
                <w:tcPr>
                  <w:tcW w:w="284" w:type="pct"/>
                  <w:vMerge w:val="continue"/>
                  <w:tcBorders>
                    <w:tl2br w:val="nil"/>
                    <w:tr2bl w:val="nil"/>
                  </w:tcBorders>
                  <w:noWrap w:val="0"/>
                  <w:vAlign w:val="center"/>
                </w:tcPr>
                <w:p w14:paraId="188CB30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C1DAF34">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浮选机26</w:t>
                  </w:r>
                </w:p>
              </w:tc>
              <w:tc>
                <w:tcPr>
                  <w:tcW w:w="235" w:type="pct"/>
                  <w:tcBorders>
                    <w:tl2br w:val="nil"/>
                    <w:tr2bl w:val="nil"/>
                  </w:tcBorders>
                  <w:noWrap w:val="0"/>
                  <w:vAlign w:val="center"/>
                </w:tcPr>
                <w:p w14:paraId="49590AB2">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516097D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4464AF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33B5C4F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3AB72AB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212" w:type="pct"/>
                  <w:tcBorders>
                    <w:tl2br w:val="nil"/>
                    <w:tr2bl w:val="nil"/>
                  </w:tcBorders>
                  <w:noWrap w:val="0"/>
                  <w:vAlign w:val="center"/>
                </w:tcPr>
                <w:p w14:paraId="300F309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1BB762D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185631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4C6FA73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3418514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755A16F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1A021EC">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09E2219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14398F8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0A0899A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49</w:t>
                  </w:r>
                </w:p>
              </w:tc>
              <w:tc>
                <w:tcPr>
                  <w:tcW w:w="284" w:type="pct"/>
                  <w:vMerge w:val="continue"/>
                  <w:tcBorders>
                    <w:tl2br w:val="nil"/>
                    <w:tr2bl w:val="nil"/>
                  </w:tcBorders>
                  <w:noWrap w:val="0"/>
                  <w:vAlign w:val="center"/>
                </w:tcPr>
                <w:p w14:paraId="5FAC307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34C75127">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浮选机27</w:t>
                  </w:r>
                </w:p>
              </w:tc>
              <w:tc>
                <w:tcPr>
                  <w:tcW w:w="235" w:type="pct"/>
                  <w:tcBorders>
                    <w:tl2br w:val="nil"/>
                    <w:tr2bl w:val="nil"/>
                  </w:tcBorders>
                  <w:noWrap w:val="0"/>
                  <w:vAlign w:val="center"/>
                </w:tcPr>
                <w:p w14:paraId="591AD2F3">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00CCF59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CB6DF6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401F84E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036D161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w:t>
                  </w:r>
                </w:p>
              </w:tc>
              <w:tc>
                <w:tcPr>
                  <w:tcW w:w="212" w:type="pct"/>
                  <w:tcBorders>
                    <w:tl2br w:val="nil"/>
                    <w:tr2bl w:val="nil"/>
                  </w:tcBorders>
                  <w:noWrap w:val="0"/>
                  <w:vAlign w:val="center"/>
                </w:tcPr>
                <w:p w14:paraId="688F03E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39DC84C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3D687C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0D7A45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64A6DA7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BC02B3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78F77081">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4248713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7AFEF40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1F9A88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50</w:t>
                  </w:r>
                </w:p>
              </w:tc>
              <w:tc>
                <w:tcPr>
                  <w:tcW w:w="284" w:type="pct"/>
                  <w:vMerge w:val="continue"/>
                  <w:tcBorders>
                    <w:tl2br w:val="nil"/>
                    <w:tr2bl w:val="nil"/>
                  </w:tcBorders>
                  <w:noWrap w:val="0"/>
                  <w:vAlign w:val="center"/>
                </w:tcPr>
                <w:p w14:paraId="650504A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A5F7EC3">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浮选机28</w:t>
                  </w:r>
                </w:p>
              </w:tc>
              <w:tc>
                <w:tcPr>
                  <w:tcW w:w="235" w:type="pct"/>
                  <w:tcBorders>
                    <w:tl2br w:val="nil"/>
                    <w:tr2bl w:val="nil"/>
                  </w:tcBorders>
                  <w:noWrap w:val="0"/>
                  <w:vAlign w:val="center"/>
                </w:tcPr>
                <w:p w14:paraId="59F74359">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19DDE76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58166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173F1A6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432DAE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212" w:type="pct"/>
                  <w:tcBorders>
                    <w:tl2br w:val="nil"/>
                    <w:tr2bl w:val="nil"/>
                  </w:tcBorders>
                  <w:noWrap w:val="0"/>
                  <w:vAlign w:val="center"/>
                </w:tcPr>
                <w:p w14:paraId="1590A05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2E0C5E4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2F383A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1890D78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3D10904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063581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6D7E32D4">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58D241B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3E061C6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CD47BA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51</w:t>
                  </w:r>
                </w:p>
              </w:tc>
              <w:tc>
                <w:tcPr>
                  <w:tcW w:w="284" w:type="pct"/>
                  <w:vMerge w:val="continue"/>
                  <w:tcBorders>
                    <w:tl2br w:val="nil"/>
                    <w:tr2bl w:val="nil"/>
                  </w:tcBorders>
                  <w:noWrap w:val="0"/>
                  <w:vAlign w:val="center"/>
                </w:tcPr>
                <w:p w14:paraId="1B6E820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4DA999DA">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浮选机29</w:t>
                  </w:r>
                </w:p>
              </w:tc>
              <w:tc>
                <w:tcPr>
                  <w:tcW w:w="235" w:type="pct"/>
                  <w:tcBorders>
                    <w:tl2br w:val="nil"/>
                    <w:tr2bl w:val="nil"/>
                  </w:tcBorders>
                  <w:noWrap w:val="0"/>
                  <w:vAlign w:val="center"/>
                </w:tcPr>
                <w:p w14:paraId="1FB5817A">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16FD29F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78249E6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26FC52B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B7E7EA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212" w:type="pct"/>
                  <w:tcBorders>
                    <w:tl2br w:val="nil"/>
                    <w:tr2bl w:val="nil"/>
                  </w:tcBorders>
                  <w:noWrap w:val="0"/>
                  <w:vAlign w:val="center"/>
                </w:tcPr>
                <w:p w14:paraId="6399A2B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1E29BA17">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22849EF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17E825A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756E502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1A0DE17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1DC7799">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55D94B7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77D18D5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C42FA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52</w:t>
                  </w:r>
                </w:p>
              </w:tc>
              <w:tc>
                <w:tcPr>
                  <w:tcW w:w="284" w:type="pct"/>
                  <w:vMerge w:val="continue"/>
                  <w:tcBorders>
                    <w:tl2br w:val="nil"/>
                    <w:tr2bl w:val="nil"/>
                  </w:tcBorders>
                  <w:noWrap w:val="0"/>
                  <w:vAlign w:val="center"/>
                </w:tcPr>
                <w:p w14:paraId="037631F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C5CF368">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浮选机30</w:t>
                  </w:r>
                </w:p>
              </w:tc>
              <w:tc>
                <w:tcPr>
                  <w:tcW w:w="235" w:type="pct"/>
                  <w:tcBorders>
                    <w:tl2br w:val="nil"/>
                    <w:tr2bl w:val="nil"/>
                  </w:tcBorders>
                  <w:noWrap w:val="0"/>
                  <w:vAlign w:val="center"/>
                </w:tcPr>
                <w:p w14:paraId="51DDFA12">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36D69C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E93188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699910C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D37D94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w:t>
                  </w:r>
                </w:p>
              </w:tc>
              <w:tc>
                <w:tcPr>
                  <w:tcW w:w="212" w:type="pct"/>
                  <w:tcBorders>
                    <w:tl2br w:val="nil"/>
                    <w:tr2bl w:val="nil"/>
                  </w:tcBorders>
                  <w:noWrap w:val="0"/>
                  <w:vAlign w:val="center"/>
                </w:tcPr>
                <w:p w14:paraId="5D595A1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77BF233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5F6DDBF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4EC85D8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0848C5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B40BF3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14F98A3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2B3B965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1012A67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1CAECCD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53</w:t>
                  </w:r>
                </w:p>
              </w:tc>
              <w:tc>
                <w:tcPr>
                  <w:tcW w:w="284" w:type="pct"/>
                  <w:vMerge w:val="continue"/>
                  <w:tcBorders>
                    <w:tl2br w:val="nil"/>
                    <w:tr2bl w:val="nil"/>
                  </w:tcBorders>
                  <w:noWrap w:val="0"/>
                  <w:vAlign w:val="center"/>
                </w:tcPr>
                <w:p w14:paraId="46BDD9F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44D8BE17">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浮选机31</w:t>
                  </w:r>
                </w:p>
              </w:tc>
              <w:tc>
                <w:tcPr>
                  <w:tcW w:w="235" w:type="pct"/>
                  <w:tcBorders>
                    <w:tl2br w:val="nil"/>
                    <w:tr2bl w:val="nil"/>
                  </w:tcBorders>
                  <w:noWrap w:val="0"/>
                  <w:vAlign w:val="center"/>
                </w:tcPr>
                <w:p w14:paraId="288F3E91">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B68A98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9604CE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47771FE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CB9EB3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212" w:type="pct"/>
                  <w:tcBorders>
                    <w:tl2br w:val="nil"/>
                    <w:tr2bl w:val="nil"/>
                  </w:tcBorders>
                  <w:noWrap w:val="0"/>
                  <w:vAlign w:val="center"/>
                </w:tcPr>
                <w:p w14:paraId="284D17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227" w:type="pct"/>
                  <w:tcBorders>
                    <w:tl2br w:val="nil"/>
                    <w:tr2bl w:val="nil"/>
                  </w:tcBorders>
                  <w:noWrap w:val="0"/>
                  <w:vAlign w:val="center"/>
                </w:tcPr>
                <w:p w14:paraId="7F8B8739">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57F2CAD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5D5EAB8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6A8F286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A52A5D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0621108">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54EF7B4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387FB30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28DB48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54</w:t>
                  </w:r>
                </w:p>
              </w:tc>
              <w:tc>
                <w:tcPr>
                  <w:tcW w:w="284" w:type="pct"/>
                  <w:vMerge w:val="continue"/>
                  <w:tcBorders>
                    <w:tl2br w:val="nil"/>
                    <w:tr2bl w:val="nil"/>
                  </w:tcBorders>
                  <w:noWrap w:val="0"/>
                  <w:vAlign w:val="center"/>
                </w:tcPr>
                <w:p w14:paraId="44DE81D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74BD45F6">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浮选机32</w:t>
                  </w:r>
                </w:p>
              </w:tc>
              <w:tc>
                <w:tcPr>
                  <w:tcW w:w="235" w:type="pct"/>
                  <w:tcBorders>
                    <w:tl2br w:val="nil"/>
                    <w:tr2bl w:val="nil"/>
                  </w:tcBorders>
                  <w:noWrap w:val="0"/>
                  <w:vAlign w:val="center"/>
                </w:tcPr>
                <w:p w14:paraId="4029D611">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372586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56E1D1E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4C1B545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32E521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w:t>
                  </w:r>
                </w:p>
              </w:tc>
              <w:tc>
                <w:tcPr>
                  <w:tcW w:w="212" w:type="pct"/>
                  <w:tcBorders>
                    <w:tl2br w:val="nil"/>
                    <w:tr2bl w:val="nil"/>
                  </w:tcBorders>
                  <w:noWrap w:val="0"/>
                  <w:vAlign w:val="center"/>
                </w:tcPr>
                <w:p w14:paraId="5F748AD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227" w:type="pct"/>
                  <w:tcBorders>
                    <w:tl2br w:val="nil"/>
                    <w:tr2bl w:val="nil"/>
                  </w:tcBorders>
                  <w:noWrap w:val="0"/>
                  <w:vAlign w:val="center"/>
                </w:tcPr>
                <w:p w14:paraId="651309D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064256C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1E1BB81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75AFEE4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88AC74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4869DF08">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7D45D84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19C8906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0E87B87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55</w:t>
                  </w:r>
                </w:p>
              </w:tc>
              <w:tc>
                <w:tcPr>
                  <w:tcW w:w="284" w:type="pct"/>
                  <w:vMerge w:val="continue"/>
                  <w:tcBorders>
                    <w:tl2br w:val="nil"/>
                    <w:tr2bl w:val="nil"/>
                  </w:tcBorders>
                  <w:noWrap w:val="0"/>
                  <w:vAlign w:val="center"/>
                </w:tcPr>
                <w:p w14:paraId="5750F7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4B0E880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浮选机33</w:t>
                  </w:r>
                </w:p>
              </w:tc>
              <w:tc>
                <w:tcPr>
                  <w:tcW w:w="235" w:type="pct"/>
                  <w:tcBorders>
                    <w:tl2br w:val="nil"/>
                    <w:tr2bl w:val="nil"/>
                  </w:tcBorders>
                  <w:noWrap w:val="0"/>
                  <w:vAlign w:val="center"/>
                </w:tcPr>
                <w:p w14:paraId="719D843F">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59DA68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5A47FE1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942" w:type="pct"/>
                  <w:tcBorders>
                    <w:tl2br w:val="nil"/>
                    <w:tr2bl w:val="nil"/>
                  </w:tcBorders>
                  <w:noWrap w:val="0"/>
                  <w:vAlign w:val="center"/>
                </w:tcPr>
                <w:p w14:paraId="23D88D5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0186B91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19</w:t>
                  </w:r>
                </w:p>
              </w:tc>
              <w:tc>
                <w:tcPr>
                  <w:tcW w:w="212" w:type="pct"/>
                  <w:tcBorders>
                    <w:tl2br w:val="nil"/>
                    <w:tr2bl w:val="nil"/>
                  </w:tcBorders>
                  <w:noWrap w:val="0"/>
                  <w:vAlign w:val="center"/>
                </w:tcPr>
                <w:p w14:paraId="7DAC8DB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227" w:type="pct"/>
                  <w:tcBorders>
                    <w:tl2br w:val="nil"/>
                    <w:tr2bl w:val="nil"/>
                  </w:tcBorders>
                  <w:noWrap w:val="0"/>
                  <w:vAlign w:val="center"/>
                </w:tcPr>
                <w:p w14:paraId="0A436F5D">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04807AA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11146C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7260CF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53B1A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A8B8CF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7FFB802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r>
            <w:tr w14:paraId="0A53D8B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02AA9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56</w:t>
                  </w:r>
                </w:p>
              </w:tc>
              <w:tc>
                <w:tcPr>
                  <w:tcW w:w="284" w:type="pct"/>
                  <w:vMerge w:val="continue"/>
                  <w:tcBorders>
                    <w:tl2br w:val="nil"/>
                    <w:tr2bl w:val="nil"/>
                  </w:tcBorders>
                  <w:noWrap w:val="0"/>
                  <w:vAlign w:val="center"/>
                </w:tcPr>
                <w:p w14:paraId="62B1817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724218F9">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磁选机1</w:t>
                  </w:r>
                </w:p>
              </w:tc>
              <w:tc>
                <w:tcPr>
                  <w:tcW w:w="235" w:type="pct"/>
                  <w:tcBorders>
                    <w:tl2br w:val="nil"/>
                    <w:tr2bl w:val="nil"/>
                  </w:tcBorders>
                  <w:noWrap w:val="0"/>
                  <w:vAlign w:val="center"/>
                </w:tcPr>
                <w:p w14:paraId="621C8958">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8CDEF2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502B528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942" w:type="pct"/>
                  <w:tcBorders>
                    <w:tl2br w:val="nil"/>
                    <w:tr2bl w:val="nil"/>
                  </w:tcBorders>
                  <w:noWrap w:val="0"/>
                  <w:vAlign w:val="center"/>
                </w:tcPr>
                <w:p w14:paraId="4C7BAED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78F6D30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-22</w:t>
                  </w:r>
                </w:p>
              </w:tc>
              <w:tc>
                <w:tcPr>
                  <w:tcW w:w="212" w:type="pct"/>
                  <w:tcBorders>
                    <w:tl2br w:val="nil"/>
                    <w:tr2bl w:val="nil"/>
                  </w:tcBorders>
                  <w:noWrap w:val="0"/>
                  <w:vAlign w:val="center"/>
                </w:tcPr>
                <w:p w14:paraId="3702313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w:t>
                  </w:r>
                </w:p>
              </w:tc>
              <w:tc>
                <w:tcPr>
                  <w:tcW w:w="227" w:type="pct"/>
                  <w:tcBorders>
                    <w:tl2br w:val="nil"/>
                    <w:tr2bl w:val="nil"/>
                  </w:tcBorders>
                  <w:noWrap w:val="0"/>
                  <w:vAlign w:val="center"/>
                </w:tcPr>
                <w:p w14:paraId="7F02FDF8">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5B1084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40A325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62.95</w:t>
                  </w:r>
                </w:p>
              </w:tc>
              <w:tc>
                <w:tcPr>
                  <w:tcW w:w="366" w:type="pct"/>
                  <w:tcBorders>
                    <w:tl2br w:val="nil"/>
                    <w:tr2bl w:val="nil"/>
                  </w:tcBorders>
                  <w:noWrap w:val="0"/>
                  <w:vAlign w:val="center"/>
                </w:tcPr>
                <w:p w14:paraId="7776882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B6629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5AA51392">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31.93</w:t>
                  </w:r>
                </w:p>
              </w:tc>
              <w:tc>
                <w:tcPr>
                  <w:tcW w:w="251" w:type="pct"/>
                  <w:tcBorders>
                    <w:tl2br w:val="nil"/>
                    <w:tr2bl w:val="nil"/>
                  </w:tcBorders>
                  <w:noWrap w:val="0"/>
                  <w:vAlign w:val="center"/>
                </w:tcPr>
                <w:p w14:paraId="3ADEA26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A418DF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2EBF046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57</w:t>
                  </w:r>
                </w:p>
              </w:tc>
              <w:tc>
                <w:tcPr>
                  <w:tcW w:w="284" w:type="pct"/>
                  <w:vMerge w:val="continue"/>
                  <w:tcBorders>
                    <w:tl2br w:val="nil"/>
                    <w:tr2bl w:val="nil"/>
                  </w:tcBorders>
                  <w:noWrap w:val="0"/>
                  <w:vAlign w:val="center"/>
                </w:tcPr>
                <w:p w14:paraId="6340FF2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F35E177">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离心鼓风机</w:t>
                  </w:r>
                </w:p>
              </w:tc>
              <w:tc>
                <w:tcPr>
                  <w:tcW w:w="235" w:type="pct"/>
                  <w:tcBorders>
                    <w:tl2br w:val="nil"/>
                    <w:tr2bl w:val="nil"/>
                  </w:tcBorders>
                  <w:noWrap w:val="0"/>
                  <w:vAlign w:val="center"/>
                </w:tcPr>
                <w:p w14:paraId="4CDE3C89">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D646F6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2AFC641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942" w:type="pct"/>
                  <w:tcBorders>
                    <w:tl2br w:val="nil"/>
                    <w:tr2bl w:val="nil"/>
                  </w:tcBorders>
                  <w:noWrap w:val="0"/>
                  <w:vAlign w:val="center"/>
                </w:tcPr>
                <w:p w14:paraId="334A2AC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0CDD4D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-88</w:t>
                  </w:r>
                </w:p>
              </w:tc>
              <w:tc>
                <w:tcPr>
                  <w:tcW w:w="212" w:type="pct"/>
                  <w:tcBorders>
                    <w:tl2br w:val="nil"/>
                    <w:tr2bl w:val="nil"/>
                  </w:tcBorders>
                  <w:noWrap w:val="0"/>
                  <w:vAlign w:val="center"/>
                </w:tcPr>
                <w:p w14:paraId="5D23680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227" w:type="pct"/>
                  <w:tcBorders>
                    <w:tl2br w:val="nil"/>
                    <w:tr2bl w:val="nil"/>
                  </w:tcBorders>
                  <w:noWrap w:val="0"/>
                  <w:vAlign w:val="center"/>
                </w:tcPr>
                <w:p w14:paraId="2B05A272">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792AFB7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5D158FF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749D71B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38EA4C3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440FDAA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24EF5EC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107408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022B312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58</w:t>
                  </w:r>
                </w:p>
              </w:tc>
              <w:tc>
                <w:tcPr>
                  <w:tcW w:w="284" w:type="pct"/>
                  <w:vMerge w:val="continue"/>
                  <w:tcBorders>
                    <w:tl2br w:val="nil"/>
                    <w:tr2bl w:val="nil"/>
                  </w:tcBorders>
                  <w:noWrap w:val="0"/>
                  <w:vAlign w:val="center"/>
                </w:tcPr>
                <w:p w14:paraId="7DF2A80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7268A02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三段分级旋流器</w:t>
                  </w:r>
                </w:p>
              </w:tc>
              <w:tc>
                <w:tcPr>
                  <w:tcW w:w="235" w:type="pct"/>
                  <w:tcBorders>
                    <w:tl2br w:val="nil"/>
                    <w:tr2bl w:val="nil"/>
                  </w:tcBorders>
                  <w:noWrap w:val="0"/>
                  <w:vAlign w:val="center"/>
                </w:tcPr>
                <w:p w14:paraId="58EED229">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C19112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EC2473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942" w:type="pct"/>
                  <w:tcBorders>
                    <w:tl2br w:val="nil"/>
                    <w:tr2bl w:val="nil"/>
                  </w:tcBorders>
                  <w:noWrap w:val="0"/>
                  <w:vAlign w:val="center"/>
                </w:tcPr>
                <w:p w14:paraId="2D113AB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269242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-49</w:t>
                  </w:r>
                </w:p>
              </w:tc>
              <w:tc>
                <w:tcPr>
                  <w:tcW w:w="212" w:type="pct"/>
                  <w:tcBorders>
                    <w:tl2br w:val="nil"/>
                    <w:tr2bl w:val="nil"/>
                  </w:tcBorders>
                  <w:noWrap w:val="0"/>
                  <w:vAlign w:val="center"/>
                </w:tcPr>
                <w:p w14:paraId="6C16AA0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227" w:type="pct"/>
                  <w:tcBorders>
                    <w:tl2br w:val="nil"/>
                    <w:tr2bl w:val="nil"/>
                  </w:tcBorders>
                  <w:noWrap w:val="0"/>
                  <w:vAlign w:val="center"/>
                </w:tcPr>
                <w:p w14:paraId="1C64A55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3E2A7BF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68A158F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62.95</w:t>
                  </w:r>
                </w:p>
              </w:tc>
              <w:tc>
                <w:tcPr>
                  <w:tcW w:w="366" w:type="pct"/>
                  <w:tcBorders>
                    <w:tl2br w:val="nil"/>
                    <w:tr2bl w:val="nil"/>
                  </w:tcBorders>
                  <w:noWrap w:val="0"/>
                  <w:vAlign w:val="center"/>
                </w:tcPr>
                <w:p w14:paraId="47BE2DF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235BE43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30220F3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31.93</w:t>
                  </w:r>
                </w:p>
              </w:tc>
              <w:tc>
                <w:tcPr>
                  <w:tcW w:w="251" w:type="pct"/>
                  <w:tcBorders>
                    <w:tl2br w:val="nil"/>
                    <w:tr2bl w:val="nil"/>
                  </w:tcBorders>
                  <w:noWrap w:val="0"/>
                  <w:vAlign w:val="center"/>
                </w:tcPr>
                <w:p w14:paraId="19D1E3F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62C5E7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16DAF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59</w:t>
                  </w:r>
                </w:p>
              </w:tc>
              <w:tc>
                <w:tcPr>
                  <w:tcW w:w="284" w:type="pct"/>
                  <w:vMerge w:val="continue"/>
                  <w:tcBorders>
                    <w:tl2br w:val="nil"/>
                    <w:tr2bl w:val="nil"/>
                  </w:tcBorders>
                  <w:noWrap w:val="0"/>
                  <w:vAlign w:val="center"/>
                </w:tcPr>
                <w:p w14:paraId="43B07CD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BB138AC">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搅拌桶3</w:t>
                  </w:r>
                </w:p>
              </w:tc>
              <w:tc>
                <w:tcPr>
                  <w:tcW w:w="235" w:type="pct"/>
                  <w:tcBorders>
                    <w:tl2br w:val="nil"/>
                    <w:tr2bl w:val="nil"/>
                  </w:tcBorders>
                  <w:noWrap w:val="0"/>
                  <w:vAlign w:val="center"/>
                </w:tcPr>
                <w:p w14:paraId="4EE03416">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37686E0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71FB0A7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942" w:type="pct"/>
                  <w:tcBorders>
                    <w:tl2br w:val="nil"/>
                    <w:tr2bl w:val="nil"/>
                  </w:tcBorders>
                  <w:noWrap w:val="0"/>
                  <w:vAlign w:val="center"/>
                </w:tcPr>
                <w:p w14:paraId="0C5C91B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66E3ED7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-69</w:t>
                  </w:r>
                </w:p>
              </w:tc>
              <w:tc>
                <w:tcPr>
                  <w:tcW w:w="212" w:type="pct"/>
                  <w:tcBorders>
                    <w:tl2br w:val="nil"/>
                    <w:tr2bl w:val="nil"/>
                  </w:tcBorders>
                  <w:noWrap w:val="0"/>
                  <w:vAlign w:val="center"/>
                </w:tcPr>
                <w:p w14:paraId="1C67A57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227" w:type="pct"/>
                  <w:tcBorders>
                    <w:tl2br w:val="nil"/>
                    <w:tr2bl w:val="nil"/>
                  </w:tcBorders>
                  <w:noWrap w:val="0"/>
                  <w:vAlign w:val="center"/>
                </w:tcPr>
                <w:p w14:paraId="197D437D">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665325B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2DA168E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57.95</w:t>
                  </w:r>
                </w:p>
              </w:tc>
              <w:tc>
                <w:tcPr>
                  <w:tcW w:w="366" w:type="pct"/>
                  <w:tcBorders>
                    <w:tl2br w:val="nil"/>
                    <w:tr2bl w:val="nil"/>
                  </w:tcBorders>
                  <w:noWrap w:val="0"/>
                  <w:vAlign w:val="center"/>
                </w:tcPr>
                <w:p w14:paraId="79EC25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B0919A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6C6E375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26.93</w:t>
                  </w:r>
                </w:p>
              </w:tc>
              <w:tc>
                <w:tcPr>
                  <w:tcW w:w="251" w:type="pct"/>
                  <w:tcBorders>
                    <w:tl2br w:val="nil"/>
                    <w:tr2bl w:val="nil"/>
                  </w:tcBorders>
                  <w:noWrap w:val="0"/>
                  <w:vAlign w:val="center"/>
                </w:tcPr>
                <w:p w14:paraId="3BD6E57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1D83147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540322D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60</w:t>
                  </w:r>
                </w:p>
              </w:tc>
              <w:tc>
                <w:tcPr>
                  <w:tcW w:w="284" w:type="pct"/>
                  <w:vMerge w:val="continue"/>
                  <w:tcBorders>
                    <w:tl2br w:val="nil"/>
                    <w:tr2bl w:val="nil"/>
                  </w:tcBorders>
                  <w:noWrap w:val="0"/>
                  <w:vAlign w:val="center"/>
                </w:tcPr>
                <w:p w14:paraId="61A2E47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CDBA12E">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磁选机2</w:t>
                  </w:r>
                </w:p>
              </w:tc>
              <w:tc>
                <w:tcPr>
                  <w:tcW w:w="235" w:type="pct"/>
                  <w:tcBorders>
                    <w:tl2br w:val="nil"/>
                    <w:tr2bl w:val="nil"/>
                  </w:tcBorders>
                  <w:noWrap w:val="0"/>
                  <w:vAlign w:val="center"/>
                </w:tcPr>
                <w:p w14:paraId="404E8F50">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07A6752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6F599D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942" w:type="pct"/>
                  <w:tcBorders>
                    <w:tl2br w:val="nil"/>
                    <w:tr2bl w:val="nil"/>
                  </w:tcBorders>
                  <w:noWrap w:val="0"/>
                  <w:vAlign w:val="center"/>
                </w:tcPr>
                <w:p w14:paraId="5A926AC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EE7CFF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12" w:type="pct"/>
                  <w:tcBorders>
                    <w:tl2br w:val="nil"/>
                    <w:tr2bl w:val="nil"/>
                  </w:tcBorders>
                  <w:noWrap w:val="0"/>
                  <w:vAlign w:val="center"/>
                </w:tcPr>
                <w:p w14:paraId="5FDFA0E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27" w:type="pct"/>
                  <w:tcBorders>
                    <w:tl2br w:val="nil"/>
                    <w:tr2bl w:val="nil"/>
                  </w:tcBorders>
                  <w:noWrap w:val="0"/>
                  <w:vAlign w:val="center"/>
                </w:tcPr>
                <w:p w14:paraId="12B00A69">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621" w:type="dxa"/>
                  <w:tcBorders>
                    <w:tl2br w:val="nil"/>
                    <w:tr2bl w:val="nil"/>
                  </w:tcBorders>
                  <w:noWrap w:val="0"/>
                  <w:vAlign w:val="center"/>
                </w:tcPr>
                <w:p w14:paraId="07DD3F8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4BED1EF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62.95</w:t>
                  </w:r>
                </w:p>
              </w:tc>
              <w:tc>
                <w:tcPr>
                  <w:tcW w:w="366" w:type="pct"/>
                  <w:tcBorders>
                    <w:tl2br w:val="nil"/>
                    <w:tr2bl w:val="nil"/>
                  </w:tcBorders>
                  <w:noWrap w:val="0"/>
                  <w:vAlign w:val="center"/>
                </w:tcPr>
                <w:p w14:paraId="31E491E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259639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61725A3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31.93</w:t>
                  </w:r>
                </w:p>
              </w:tc>
              <w:tc>
                <w:tcPr>
                  <w:tcW w:w="251" w:type="pct"/>
                  <w:tcBorders>
                    <w:tl2br w:val="nil"/>
                    <w:tr2bl w:val="nil"/>
                  </w:tcBorders>
                  <w:noWrap w:val="0"/>
                  <w:vAlign w:val="center"/>
                </w:tcPr>
                <w:p w14:paraId="55074C5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5555FB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66CBFD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61</w:t>
                  </w:r>
                </w:p>
              </w:tc>
              <w:tc>
                <w:tcPr>
                  <w:tcW w:w="284" w:type="pct"/>
                  <w:vMerge w:val="restart"/>
                  <w:tcBorders>
                    <w:tl2br w:val="nil"/>
                    <w:tr2bl w:val="nil"/>
                  </w:tcBorders>
                  <w:noWrap w:val="0"/>
                  <w:vAlign w:val="center"/>
                </w:tcPr>
                <w:p w14:paraId="6D69FA3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过滤车间</w:t>
                  </w:r>
                </w:p>
              </w:tc>
              <w:tc>
                <w:tcPr>
                  <w:tcW w:w="394" w:type="pct"/>
                  <w:tcBorders>
                    <w:tl2br w:val="nil"/>
                    <w:tr2bl w:val="nil"/>
                  </w:tcBorders>
                  <w:noWrap w:val="0"/>
                  <w:vAlign w:val="center"/>
                </w:tcPr>
                <w:p w14:paraId="0BB19D7A">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高效浓缩机1</w:t>
                  </w:r>
                </w:p>
              </w:tc>
              <w:tc>
                <w:tcPr>
                  <w:tcW w:w="235" w:type="pct"/>
                  <w:tcBorders>
                    <w:tl2br w:val="nil"/>
                    <w:tr2bl w:val="nil"/>
                  </w:tcBorders>
                  <w:noWrap w:val="0"/>
                  <w:vAlign w:val="center"/>
                </w:tcPr>
                <w:p w14:paraId="31271B4C">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4E121FA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01E9BE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942" w:type="pct"/>
                  <w:tcBorders>
                    <w:tl2br w:val="nil"/>
                    <w:tr2bl w:val="nil"/>
                  </w:tcBorders>
                  <w:noWrap w:val="0"/>
                  <w:vAlign w:val="center"/>
                </w:tcPr>
                <w:p w14:paraId="504FC96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49BBB37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212" w:type="pct"/>
                  <w:tcBorders>
                    <w:tl2br w:val="nil"/>
                    <w:tr2bl w:val="nil"/>
                  </w:tcBorders>
                  <w:noWrap w:val="0"/>
                  <w:vAlign w:val="center"/>
                </w:tcPr>
                <w:p w14:paraId="77BBF47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227" w:type="pct"/>
                  <w:tcBorders>
                    <w:tl2br w:val="nil"/>
                    <w:tr2bl w:val="nil"/>
                  </w:tcBorders>
                  <w:noWrap w:val="0"/>
                  <w:vAlign w:val="center"/>
                </w:tcPr>
                <w:p w14:paraId="665E39B6">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231" w:type="pct"/>
                  <w:tcBorders>
                    <w:tl2br w:val="nil"/>
                    <w:tr2bl w:val="nil"/>
                  </w:tcBorders>
                  <w:noWrap w:val="0"/>
                  <w:vAlign w:val="center"/>
                </w:tcPr>
                <w:p w14:paraId="23DCB3F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BF5FEA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62.95</w:t>
                  </w:r>
                </w:p>
              </w:tc>
              <w:tc>
                <w:tcPr>
                  <w:tcW w:w="366" w:type="pct"/>
                  <w:tcBorders>
                    <w:tl2br w:val="nil"/>
                    <w:tr2bl w:val="nil"/>
                  </w:tcBorders>
                  <w:noWrap w:val="0"/>
                  <w:vAlign w:val="center"/>
                </w:tcPr>
                <w:p w14:paraId="6483D91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C132CD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54A3187A">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31.93</w:t>
                  </w:r>
                </w:p>
              </w:tc>
              <w:tc>
                <w:tcPr>
                  <w:tcW w:w="251" w:type="pct"/>
                  <w:tcBorders>
                    <w:tl2br w:val="nil"/>
                    <w:tr2bl w:val="nil"/>
                  </w:tcBorders>
                  <w:noWrap w:val="0"/>
                  <w:vAlign w:val="center"/>
                </w:tcPr>
                <w:p w14:paraId="699D52E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764534C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143BD0D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62</w:t>
                  </w:r>
                </w:p>
              </w:tc>
              <w:tc>
                <w:tcPr>
                  <w:tcW w:w="284" w:type="pct"/>
                  <w:vMerge w:val="continue"/>
                  <w:tcBorders>
                    <w:tl2br w:val="nil"/>
                    <w:tr2bl w:val="nil"/>
                  </w:tcBorders>
                  <w:noWrap w:val="0"/>
                  <w:vAlign w:val="center"/>
                </w:tcPr>
                <w:p w14:paraId="16EC8D2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4885564A">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高效浓缩机2</w:t>
                  </w:r>
                </w:p>
              </w:tc>
              <w:tc>
                <w:tcPr>
                  <w:tcW w:w="235" w:type="pct"/>
                  <w:tcBorders>
                    <w:tl2br w:val="nil"/>
                    <w:tr2bl w:val="nil"/>
                  </w:tcBorders>
                  <w:noWrap w:val="0"/>
                  <w:vAlign w:val="center"/>
                </w:tcPr>
                <w:p w14:paraId="72565E45">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65612CC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5273679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942" w:type="pct"/>
                  <w:tcBorders>
                    <w:tl2br w:val="nil"/>
                    <w:tr2bl w:val="nil"/>
                  </w:tcBorders>
                  <w:noWrap w:val="0"/>
                  <w:vAlign w:val="center"/>
                </w:tcPr>
                <w:p w14:paraId="4B9F689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45B6CE75">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-18</w:t>
                  </w:r>
                </w:p>
              </w:tc>
              <w:tc>
                <w:tcPr>
                  <w:tcW w:w="212" w:type="pct"/>
                  <w:tcBorders>
                    <w:tl2br w:val="nil"/>
                    <w:tr2bl w:val="nil"/>
                  </w:tcBorders>
                  <w:noWrap w:val="0"/>
                  <w:vAlign w:val="center"/>
                </w:tcPr>
                <w:p w14:paraId="602164B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w:t>
                  </w:r>
                </w:p>
              </w:tc>
              <w:tc>
                <w:tcPr>
                  <w:tcW w:w="227" w:type="pct"/>
                  <w:tcBorders>
                    <w:tl2br w:val="nil"/>
                    <w:tr2bl w:val="nil"/>
                  </w:tcBorders>
                  <w:noWrap w:val="0"/>
                  <w:vAlign w:val="center"/>
                </w:tcPr>
                <w:p w14:paraId="4F3D18B2">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231" w:type="pct"/>
                  <w:tcBorders>
                    <w:tl2br w:val="nil"/>
                    <w:tr2bl w:val="nil"/>
                  </w:tcBorders>
                  <w:noWrap w:val="0"/>
                  <w:vAlign w:val="center"/>
                </w:tcPr>
                <w:p w14:paraId="58F2D0B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EC6D5F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62.95</w:t>
                  </w:r>
                </w:p>
              </w:tc>
              <w:tc>
                <w:tcPr>
                  <w:tcW w:w="366" w:type="pct"/>
                  <w:tcBorders>
                    <w:tl2br w:val="nil"/>
                    <w:tr2bl w:val="nil"/>
                  </w:tcBorders>
                  <w:noWrap w:val="0"/>
                  <w:vAlign w:val="center"/>
                </w:tcPr>
                <w:p w14:paraId="199677B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49D723C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653EA1AF">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31.93</w:t>
                  </w:r>
                </w:p>
              </w:tc>
              <w:tc>
                <w:tcPr>
                  <w:tcW w:w="251" w:type="pct"/>
                  <w:tcBorders>
                    <w:tl2br w:val="nil"/>
                    <w:tr2bl w:val="nil"/>
                  </w:tcBorders>
                  <w:noWrap w:val="0"/>
                  <w:vAlign w:val="center"/>
                </w:tcPr>
                <w:p w14:paraId="49C310F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40FB5A3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E549CB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63</w:t>
                  </w:r>
                </w:p>
              </w:tc>
              <w:tc>
                <w:tcPr>
                  <w:tcW w:w="284" w:type="pct"/>
                  <w:vMerge w:val="continue"/>
                  <w:tcBorders>
                    <w:tl2br w:val="nil"/>
                    <w:tr2bl w:val="nil"/>
                  </w:tcBorders>
                  <w:noWrap w:val="0"/>
                  <w:vAlign w:val="center"/>
                </w:tcPr>
                <w:p w14:paraId="249CDA4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556A05D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尾矿陶瓷过滤机</w:t>
                  </w:r>
                </w:p>
              </w:tc>
              <w:tc>
                <w:tcPr>
                  <w:tcW w:w="235" w:type="pct"/>
                  <w:tcBorders>
                    <w:tl2br w:val="nil"/>
                    <w:tr2bl w:val="nil"/>
                  </w:tcBorders>
                  <w:noWrap w:val="0"/>
                  <w:vAlign w:val="center"/>
                </w:tcPr>
                <w:p w14:paraId="7FDCF5EF">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7CF42B2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496D46E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942" w:type="pct"/>
                  <w:tcBorders>
                    <w:tl2br w:val="nil"/>
                    <w:tr2bl w:val="nil"/>
                  </w:tcBorders>
                  <w:noWrap w:val="0"/>
                  <w:vAlign w:val="center"/>
                </w:tcPr>
                <w:p w14:paraId="34C9D6C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540A4D4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w:t>
                  </w:r>
                </w:p>
              </w:tc>
              <w:tc>
                <w:tcPr>
                  <w:tcW w:w="212" w:type="pct"/>
                  <w:tcBorders>
                    <w:tl2br w:val="nil"/>
                    <w:tr2bl w:val="nil"/>
                  </w:tcBorders>
                  <w:noWrap w:val="0"/>
                  <w:vAlign w:val="center"/>
                </w:tcPr>
                <w:p w14:paraId="3B0A3D9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-70</w:t>
                  </w:r>
                </w:p>
              </w:tc>
              <w:tc>
                <w:tcPr>
                  <w:tcW w:w="227" w:type="pct"/>
                  <w:tcBorders>
                    <w:tl2br w:val="nil"/>
                    <w:tr2bl w:val="nil"/>
                  </w:tcBorders>
                  <w:noWrap w:val="0"/>
                  <w:vAlign w:val="center"/>
                </w:tcPr>
                <w:p w14:paraId="2D62769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1B46781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21.06</w:t>
                  </w:r>
                </w:p>
              </w:tc>
              <w:tc>
                <w:tcPr>
                  <w:tcW w:w="724" w:type="dxa"/>
                  <w:tcBorders>
                    <w:tl2br w:val="nil"/>
                    <w:tr2bl w:val="nil"/>
                  </w:tcBorders>
                  <w:noWrap w:val="0"/>
                  <w:vAlign w:val="center"/>
                </w:tcPr>
                <w:p w14:paraId="46496C1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62.95</w:t>
                  </w:r>
                </w:p>
              </w:tc>
              <w:tc>
                <w:tcPr>
                  <w:tcW w:w="366" w:type="pct"/>
                  <w:tcBorders>
                    <w:tl2br w:val="nil"/>
                    <w:tr2bl w:val="nil"/>
                  </w:tcBorders>
                  <w:noWrap w:val="0"/>
                  <w:vAlign w:val="center"/>
                </w:tcPr>
                <w:p w14:paraId="6087DC0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0EF7DF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71D9A90">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31.93</w:t>
                  </w:r>
                </w:p>
              </w:tc>
              <w:tc>
                <w:tcPr>
                  <w:tcW w:w="251" w:type="pct"/>
                  <w:tcBorders>
                    <w:tl2br w:val="nil"/>
                    <w:tr2bl w:val="nil"/>
                  </w:tcBorders>
                  <w:noWrap w:val="0"/>
                  <w:vAlign w:val="center"/>
                </w:tcPr>
                <w:p w14:paraId="6DF83C1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6FF61CC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7D22F3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64</w:t>
                  </w:r>
                </w:p>
              </w:tc>
              <w:tc>
                <w:tcPr>
                  <w:tcW w:w="284" w:type="pct"/>
                  <w:vMerge w:val="continue"/>
                  <w:tcBorders>
                    <w:tl2br w:val="nil"/>
                    <w:tr2bl w:val="nil"/>
                  </w:tcBorders>
                  <w:noWrap w:val="0"/>
                  <w:vAlign w:val="center"/>
                </w:tcPr>
                <w:p w14:paraId="0BA7D30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2A8F8B12">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铜精矿陶瓷过滤机</w:t>
                  </w:r>
                </w:p>
              </w:tc>
              <w:tc>
                <w:tcPr>
                  <w:tcW w:w="235" w:type="pct"/>
                  <w:tcBorders>
                    <w:tl2br w:val="nil"/>
                    <w:tr2bl w:val="nil"/>
                  </w:tcBorders>
                  <w:noWrap w:val="0"/>
                  <w:vAlign w:val="center"/>
                </w:tcPr>
                <w:p w14:paraId="08D505AF">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08365C1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42755B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942" w:type="pct"/>
                  <w:tcBorders>
                    <w:tl2br w:val="nil"/>
                    <w:tr2bl w:val="nil"/>
                  </w:tcBorders>
                  <w:noWrap w:val="0"/>
                  <w:vAlign w:val="center"/>
                </w:tcPr>
                <w:p w14:paraId="7938EA0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23EC909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w:t>
                  </w:r>
                </w:p>
              </w:tc>
              <w:tc>
                <w:tcPr>
                  <w:tcW w:w="212" w:type="pct"/>
                  <w:tcBorders>
                    <w:tl2br w:val="nil"/>
                    <w:tr2bl w:val="nil"/>
                  </w:tcBorders>
                  <w:noWrap w:val="0"/>
                  <w:vAlign w:val="center"/>
                </w:tcPr>
                <w:p w14:paraId="45913EE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w:t>
                  </w:r>
                </w:p>
              </w:tc>
              <w:tc>
                <w:tcPr>
                  <w:tcW w:w="227" w:type="pct"/>
                  <w:tcBorders>
                    <w:tl2br w:val="nil"/>
                    <w:tr2bl w:val="nil"/>
                  </w:tcBorders>
                  <w:noWrap w:val="0"/>
                  <w:vAlign w:val="center"/>
                </w:tcPr>
                <w:p w14:paraId="6DEC85B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5B8E025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21.06</w:t>
                  </w:r>
                </w:p>
              </w:tc>
              <w:tc>
                <w:tcPr>
                  <w:tcW w:w="724" w:type="dxa"/>
                  <w:tcBorders>
                    <w:tl2br w:val="nil"/>
                    <w:tr2bl w:val="nil"/>
                  </w:tcBorders>
                  <w:noWrap w:val="0"/>
                  <w:vAlign w:val="center"/>
                </w:tcPr>
                <w:p w14:paraId="322E0D1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62.95</w:t>
                  </w:r>
                </w:p>
              </w:tc>
              <w:tc>
                <w:tcPr>
                  <w:tcW w:w="366" w:type="pct"/>
                  <w:tcBorders>
                    <w:tl2br w:val="nil"/>
                    <w:tr2bl w:val="nil"/>
                  </w:tcBorders>
                  <w:noWrap w:val="0"/>
                  <w:vAlign w:val="center"/>
                </w:tcPr>
                <w:p w14:paraId="33EF153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9B031A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646" w:type="dxa"/>
                  <w:tcBorders>
                    <w:tl2br w:val="nil"/>
                    <w:tr2bl w:val="nil"/>
                  </w:tcBorders>
                  <w:noWrap w:val="0"/>
                  <w:vAlign w:val="center"/>
                </w:tcPr>
                <w:p w14:paraId="539429F1">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31.93</w:t>
                  </w:r>
                </w:p>
              </w:tc>
              <w:tc>
                <w:tcPr>
                  <w:tcW w:w="251" w:type="pct"/>
                  <w:tcBorders>
                    <w:tl2br w:val="nil"/>
                    <w:tr2bl w:val="nil"/>
                  </w:tcBorders>
                  <w:noWrap w:val="0"/>
                  <w:vAlign w:val="center"/>
                </w:tcPr>
                <w:p w14:paraId="1232A28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151E823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CD1C3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w:t>
                  </w:r>
                </w:p>
              </w:tc>
              <w:tc>
                <w:tcPr>
                  <w:tcW w:w="284" w:type="pct"/>
                  <w:vMerge w:val="continue"/>
                  <w:tcBorders>
                    <w:tl2br w:val="nil"/>
                    <w:tr2bl w:val="nil"/>
                  </w:tcBorders>
                  <w:noWrap w:val="0"/>
                  <w:vAlign w:val="center"/>
                </w:tcPr>
                <w:p w14:paraId="16BF77B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01778327">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渣浆泵1</w:t>
                  </w:r>
                </w:p>
              </w:tc>
              <w:tc>
                <w:tcPr>
                  <w:tcW w:w="235" w:type="pct"/>
                  <w:tcBorders>
                    <w:tl2br w:val="nil"/>
                    <w:tr2bl w:val="nil"/>
                  </w:tcBorders>
                  <w:noWrap w:val="0"/>
                  <w:vAlign w:val="center"/>
                </w:tcPr>
                <w:p w14:paraId="78DEBA69">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69ACBD7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11B9C1C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40AD01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631" w:type="dxa"/>
                  <w:tcBorders>
                    <w:tl2br w:val="nil"/>
                    <w:tr2bl w:val="nil"/>
                  </w:tcBorders>
                  <w:noWrap w:val="0"/>
                  <w:vAlign w:val="center"/>
                </w:tcPr>
                <w:p w14:paraId="28335B8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569" w:type="dxa"/>
                  <w:tcBorders>
                    <w:tl2br w:val="nil"/>
                    <w:tr2bl w:val="nil"/>
                  </w:tcBorders>
                  <w:noWrap w:val="0"/>
                  <w:vAlign w:val="center"/>
                </w:tcPr>
                <w:p w14:paraId="7768EDF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27" w:type="pct"/>
                  <w:tcBorders>
                    <w:tl2br w:val="nil"/>
                    <w:tr2bl w:val="nil"/>
                  </w:tcBorders>
                  <w:noWrap w:val="0"/>
                  <w:vAlign w:val="center"/>
                </w:tcPr>
                <w:p w14:paraId="10EC8F9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14C00BF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04F6CD2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23343A3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73699F0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72C89BD7">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00E5B96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1EB5060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6600996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66</w:t>
                  </w:r>
                </w:p>
              </w:tc>
              <w:tc>
                <w:tcPr>
                  <w:tcW w:w="284" w:type="pct"/>
                  <w:vMerge w:val="continue"/>
                  <w:tcBorders>
                    <w:tl2br w:val="nil"/>
                    <w:tr2bl w:val="nil"/>
                  </w:tcBorders>
                  <w:noWrap w:val="0"/>
                  <w:vAlign w:val="center"/>
                </w:tcPr>
                <w:p w14:paraId="0A8FB86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7CD8975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渣浆泵2</w:t>
                  </w:r>
                </w:p>
              </w:tc>
              <w:tc>
                <w:tcPr>
                  <w:tcW w:w="235" w:type="pct"/>
                  <w:tcBorders>
                    <w:tl2br w:val="nil"/>
                    <w:tr2bl w:val="nil"/>
                  </w:tcBorders>
                  <w:noWrap w:val="0"/>
                  <w:vAlign w:val="center"/>
                </w:tcPr>
                <w:p w14:paraId="5BD75E7E">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44F2FEE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72D5562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4563380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631" w:type="dxa"/>
                  <w:tcBorders>
                    <w:tl2br w:val="nil"/>
                    <w:tr2bl w:val="nil"/>
                  </w:tcBorders>
                  <w:noWrap w:val="0"/>
                  <w:vAlign w:val="center"/>
                </w:tcPr>
                <w:p w14:paraId="510642D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569" w:type="dxa"/>
                  <w:tcBorders>
                    <w:tl2br w:val="nil"/>
                    <w:tr2bl w:val="nil"/>
                  </w:tcBorders>
                  <w:noWrap w:val="0"/>
                  <w:vAlign w:val="center"/>
                </w:tcPr>
                <w:p w14:paraId="2BAB36D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27" w:type="pct"/>
                  <w:tcBorders>
                    <w:tl2br w:val="nil"/>
                    <w:tr2bl w:val="nil"/>
                  </w:tcBorders>
                  <w:noWrap w:val="0"/>
                  <w:vAlign w:val="center"/>
                </w:tcPr>
                <w:p w14:paraId="65B2FF1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5BE9D1D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5411A29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216700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77BD5B4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4415A82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3E5904B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5EF0EC7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14D577C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67</w:t>
                  </w:r>
                </w:p>
              </w:tc>
              <w:tc>
                <w:tcPr>
                  <w:tcW w:w="284" w:type="pct"/>
                  <w:vMerge w:val="continue"/>
                  <w:tcBorders>
                    <w:tl2br w:val="nil"/>
                    <w:tr2bl w:val="nil"/>
                  </w:tcBorders>
                  <w:noWrap w:val="0"/>
                  <w:vAlign w:val="center"/>
                </w:tcPr>
                <w:p w14:paraId="6B72232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2FB28C6B">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渣浆泵3</w:t>
                  </w:r>
                </w:p>
              </w:tc>
              <w:tc>
                <w:tcPr>
                  <w:tcW w:w="235" w:type="pct"/>
                  <w:tcBorders>
                    <w:tl2br w:val="nil"/>
                    <w:tr2bl w:val="nil"/>
                  </w:tcBorders>
                  <w:noWrap w:val="0"/>
                  <w:vAlign w:val="center"/>
                </w:tcPr>
                <w:p w14:paraId="23FF14F7">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103CCF0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4EED83D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4CD3835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631" w:type="dxa"/>
                  <w:tcBorders>
                    <w:tl2br w:val="nil"/>
                    <w:tr2bl w:val="nil"/>
                  </w:tcBorders>
                  <w:noWrap w:val="0"/>
                  <w:vAlign w:val="center"/>
                </w:tcPr>
                <w:p w14:paraId="3473D84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569" w:type="dxa"/>
                  <w:tcBorders>
                    <w:tl2br w:val="nil"/>
                    <w:tr2bl w:val="nil"/>
                  </w:tcBorders>
                  <w:noWrap w:val="0"/>
                  <w:vAlign w:val="center"/>
                </w:tcPr>
                <w:p w14:paraId="129BA14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227" w:type="pct"/>
                  <w:tcBorders>
                    <w:tl2br w:val="nil"/>
                    <w:tr2bl w:val="nil"/>
                  </w:tcBorders>
                  <w:noWrap w:val="0"/>
                  <w:vAlign w:val="center"/>
                </w:tcPr>
                <w:p w14:paraId="23A96D1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05214CF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524BE4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0CE0234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B7C87E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6907BE42">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5939990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0A3E25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3727B2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68</w:t>
                  </w:r>
                </w:p>
              </w:tc>
              <w:tc>
                <w:tcPr>
                  <w:tcW w:w="284" w:type="pct"/>
                  <w:vMerge w:val="continue"/>
                  <w:tcBorders>
                    <w:tl2br w:val="nil"/>
                    <w:tr2bl w:val="nil"/>
                  </w:tcBorders>
                  <w:noWrap w:val="0"/>
                  <w:vAlign w:val="center"/>
                </w:tcPr>
                <w:p w14:paraId="2253BBB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03B9275">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渣浆泵4</w:t>
                  </w:r>
                </w:p>
              </w:tc>
              <w:tc>
                <w:tcPr>
                  <w:tcW w:w="235" w:type="pct"/>
                  <w:tcBorders>
                    <w:tl2br w:val="nil"/>
                    <w:tr2bl w:val="nil"/>
                  </w:tcBorders>
                  <w:noWrap w:val="0"/>
                  <w:vAlign w:val="center"/>
                </w:tcPr>
                <w:p w14:paraId="3E9E8E87">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4EC168B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643C9B7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31FBF95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631" w:type="dxa"/>
                  <w:tcBorders>
                    <w:tl2br w:val="nil"/>
                    <w:tr2bl w:val="nil"/>
                  </w:tcBorders>
                  <w:noWrap w:val="0"/>
                  <w:vAlign w:val="center"/>
                </w:tcPr>
                <w:p w14:paraId="0D7C8B1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569" w:type="dxa"/>
                  <w:tcBorders>
                    <w:tl2br w:val="nil"/>
                    <w:tr2bl w:val="nil"/>
                  </w:tcBorders>
                  <w:noWrap w:val="0"/>
                  <w:vAlign w:val="center"/>
                </w:tcPr>
                <w:p w14:paraId="30B9443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227" w:type="pct"/>
                  <w:tcBorders>
                    <w:tl2br w:val="nil"/>
                    <w:tr2bl w:val="nil"/>
                  </w:tcBorders>
                  <w:noWrap w:val="0"/>
                  <w:vAlign w:val="center"/>
                </w:tcPr>
                <w:p w14:paraId="11423BA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0837611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9E7426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3F6C0D2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0D378A4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73283D1D">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3FFCA73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2D58E20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084BF2C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69</w:t>
                  </w:r>
                </w:p>
              </w:tc>
              <w:tc>
                <w:tcPr>
                  <w:tcW w:w="284" w:type="pct"/>
                  <w:vMerge w:val="continue"/>
                  <w:tcBorders>
                    <w:tl2br w:val="nil"/>
                    <w:tr2bl w:val="nil"/>
                  </w:tcBorders>
                  <w:noWrap w:val="0"/>
                  <w:vAlign w:val="center"/>
                </w:tcPr>
                <w:p w14:paraId="0D24645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6CCACFD2">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渣浆泵5</w:t>
                  </w:r>
                </w:p>
              </w:tc>
              <w:tc>
                <w:tcPr>
                  <w:tcW w:w="235" w:type="pct"/>
                  <w:tcBorders>
                    <w:tl2br w:val="nil"/>
                    <w:tr2bl w:val="nil"/>
                  </w:tcBorders>
                  <w:noWrap w:val="0"/>
                  <w:vAlign w:val="center"/>
                </w:tcPr>
                <w:p w14:paraId="2A3DC4D3">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24D1C42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7AF39AC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0D46639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75D2661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212" w:type="pct"/>
                  <w:tcBorders>
                    <w:tl2br w:val="nil"/>
                    <w:tr2bl w:val="nil"/>
                  </w:tcBorders>
                  <w:noWrap w:val="0"/>
                  <w:vAlign w:val="center"/>
                </w:tcPr>
                <w:p w14:paraId="1DF25A0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227" w:type="pct"/>
                  <w:tcBorders>
                    <w:tl2br w:val="nil"/>
                    <w:tr2bl w:val="nil"/>
                  </w:tcBorders>
                  <w:noWrap w:val="0"/>
                  <w:vAlign w:val="center"/>
                </w:tcPr>
                <w:p w14:paraId="1281CBE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5E45B69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D4F41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6B3713F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30AA902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496208C2">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789FFC6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00E6269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619A254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70</w:t>
                  </w:r>
                </w:p>
              </w:tc>
              <w:tc>
                <w:tcPr>
                  <w:tcW w:w="284" w:type="pct"/>
                  <w:vMerge w:val="continue"/>
                  <w:tcBorders>
                    <w:tl2br w:val="nil"/>
                    <w:tr2bl w:val="nil"/>
                  </w:tcBorders>
                  <w:noWrap w:val="0"/>
                  <w:vAlign w:val="center"/>
                </w:tcPr>
                <w:p w14:paraId="0B0705F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bidi="ar"/>
                    </w:rPr>
                  </w:pPr>
                </w:p>
              </w:tc>
              <w:tc>
                <w:tcPr>
                  <w:tcW w:w="394" w:type="pct"/>
                  <w:tcBorders>
                    <w:tl2br w:val="nil"/>
                    <w:tr2bl w:val="nil"/>
                  </w:tcBorders>
                  <w:noWrap w:val="0"/>
                  <w:vAlign w:val="center"/>
                </w:tcPr>
                <w:p w14:paraId="156D3B4E">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渣浆泵6</w:t>
                  </w:r>
                </w:p>
              </w:tc>
              <w:tc>
                <w:tcPr>
                  <w:tcW w:w="235" w:type="pct"/>
                  <w:tcBorders>
                    <w:tl2br w:val="nil"/>
                    <w:tr2bl w:val="nil"/>
                  </w:tcBorders>
                  <w:noWrap w:val="0"/>
                  <w:vAlign w:val="center"/>
                </w:tcPr>
                <w:p w14:paraId="36820D90">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点源</w:t>
                  </w:r>
                </w:p>
              </w:tc>
              <w:tc>
                <w:tcPr>
                  <w:tcW w:w="386" w:type="pct"/>
                  <w:tcBorders>
                    <w:tl2br w:val="nil"/>
                    <w:tr2bl w:val="nil"/>
                  </w:tcBorders>
                  <w:noWrap w:val="0"/>
                  <w:vAlign w:val="center"/>
                </w:tcPr>
                <w:p w14:paraId="6A437E9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849165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49A9A97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09AD05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212" w:type="pct"/>
                  <w:tcBorders>
                    <w:tl2br w:val="nil"/>
                    <w:tr2bl w:val="nil"/>
                  </w:tcBorders>
                  <w:noWrap w:val="0"/>
                  <w:vAlign w:val="center"/>
                </w:tcPr>
                <w:p w14:paraId="46DFFE1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227" w:type="pct"/>
                  <w:tcBorders>
                    <w:tl2br w:val="nil"/>
                    <w:tr2bl w:val="nil"/>
                  </w:tcBorders>
                  <w:noWrap w:val="0"/>
                  <w:vAlign w:val="center"/>
                </w:tcPr>
                <w:p w14:paraId="0EB75F1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41071A8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1C22976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6E80CA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580D307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6058B80B">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4A75D18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7B3DB3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459" w:type="dxa"/>
                  <w:tcBorders>
                    <w:tl2br w:val="nil"/>
                    <w:tr2bl w:val="nil"/>
                  </w:tcBorders>
                  <w:noWrap w:val="0"/>
                  <w:vAlign w:val="center"/>
                </w:tcPr>
                <w:p w14:paraId="2781EA4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71</w:t>
                  </w:r>
                </w:p>
              </w:tc>
              <w:tc>
                <w:tcPr>
                  <w:tcW w:w="284" w:type="pct"/>
                  <w:vMerge w:val="restart"/>
                  <w:tcBorders>
                    <w:tl2br w:val="nil"/>
                    <w:tr2bl w:val="nil"/>
                  </w:tcBorders>
                  <w:noWrap w:val="0"/>
                  <w:vAlign w:val="center"/>
                </w:tcPr>
                <w:p w14:paraId="03A3BD3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r>
                    <w:rPr>
                      <w:rFonts w:hint="default" w:ascii="Times New Roman" w:hAnsi="Times New Roman" w:eastAsia="宋体" w:cs="Times New Roman"/>
                      <w:bCs/>
                      <w:color w:val="auto"/>
                      <w:sz w:val="18"/>
                      <w:szCs w:val="18"/>
                      <w:lang w:val="en-US" w:eastAsia="zh-CN" w:bidi="ar"/>
                    </w:rPr>
                    <w:t>泵房</w:t>
                  </w:r>
                </w:p>
              </w:tc>
              <w:tc>
                <w:tcPr>
                  <w:tcW w:w="394" w:type="pct"/>
                  <w:tcBorders>
                    <w:tl2br w:val="nil"/>
                    <w:tr2bl w:val="nil"/>
                  </w:tcBorders>
                  <w:noWrap w:val="0"/>
                  <w:vAlign w:val="center"/>
                </w:tcPr>
                <w:p w14:paraId="6435F4E1">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水泵1</w:t>
                  </w:r>
                </w:p>
              </w:tc>
              <w:tc>
                <w:tcPr>
                  <w:tcW w:w="235" w:type="pct"/>
                  <w:tcBorders>
                    <w:tl2br w:val="nil"/>
                    <w:tr2bl w:val="nil"/>
                  </w:tcBorders>
                  <w:noWrap w:val="0"/>
                  <w:vAlign w:val="center"/>
                </w:tcPr>
                <w:p w14:paraId="6A43863E">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电源</w:t>
                  </w:r>
                </w:p>
              </w:tc>
              <w:tc>
                <w:tcPr>
                  <w:tcW w:w="386" w:type="pct"/>
                  <w:tcBorders>
                    <w:tl2br w:val="nil"/>
                    <w:tr2bl w:val="nil"/>
                  </w:tcBorders>
                  <w:noWrap w:val="0"/>
                  <w:vAlign w:val="center"/>
                </w:tcPr>
                <w:p w14:paraId="3BFC425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0404FEF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5E7CBC9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33D495A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-66</w:t>
                  </w:r>
                </w:p>
              </w:tc>
              <w:tc>
                <w:tcPr>
                  <w:tcW w:w="212" w:type="pct"/>
                  <w:tcBorders>
                    <w:tl2br w:val="nil"/>
                    <w:tr2bl w:val="nil"/>
                  </w:tcBorders>
                  <w:noWrap w:val="0"/>
                  <w:vAlign w:val="center"/>
                </w:tcPr>
                <w:p w14:paraId="331AA8B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227" w:type="pct"/>
                  <w:tcBorders>
                    <w:tl2br w:val="nil"/>
                    <w:tr2bl w:val="nil"/>
                  </w:tcBorders>
                  <w:noWrap w:val="0"/>
                  <w:vAlign w:val="center"/>
                </w:tcPr>
                <w:p w14:paraId="76D979C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2753F3C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3A93B0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50BEBC1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60204AF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16A68BC3">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37840B6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r w14:paraId="3A1829B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71" w:type="pct"/>
                  <w:tcBorders>
                    <w:tl2br w:val="nil"/>
                    <w:tr2bl w:val="nil"/>
                  </w:tcBorders>
                  <w:noWrap w:val="0"/>
                  <w:vAlign w:val="center"/>
                </w:tcPr>
                <w:p w14:paraId="2722B2A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72</w:t>
                  </w:r>
                </w:p>
              </w:tc>
              <w:tc>
                <w:tcPr>
                  <w:tcW w:w="284" w:type="pct"/>
                  <w:vMerge w:val="continue"/>
                  <w:tcBorders>
                    <w:tl2br w:val="nil"/>
                    <w:tr2bl w:val="nil"/>
                  </w:tcBorders>
                  <w:noWrap w:val="0"/>
                  <w:vAlign w:val="center"/>
                </w:tcPr>
                <w:p w14:paraId="6C7D3E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bidi="ar"/>
                    </w:rPr>
                  </w:pPr>
                </w:p>
              </w:tc>
              <w:tc>
                <w:tcPr>
                  <w:tcW w:w="394" w:type="pct"/>
                  <w:tcBorders>
                    <w:tl2br w:val="nil"/>
                    <w:tr2bl w:val="nil"/>
                  </w:tcBorders>
                  <w:noWrap w:val="0"/>
                  <w:vAlign w:val="center"/>
                </w:tcPr>
                <w:p w14:paraId="1E8D007B">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水泵2</w:t>
                  </w:r>
                </w:p>
              </w:tc>
              <w:tc>
                <w:tcPr>
                  <w:tcW w:w="235" w:type="pct"/>
                  <w:tcBorders>
                    <w:tl2br w:val="nil"/>
                    <w:tr2bl w:val="nil"/>
                  </w:tcBorders>
                  <w:noWrap w:val="0"/>
                  <w:vAlign w:val="center"/>
                </w:tcPr>
                <w:p w14:paraId="467D20B2">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电源</w:t>
                  </w:r>
                </w:p>
              </w:tc>
              <w:tc>
                <w:tcPr>
                  <w:tcW w:w="386" w:type="pct"/>
                  <w:tcBorders>
                    <w:tl2br w:val="nil"/>
                    <w:tr2bl w:val="nil"/>
                  </w:tcBorders>
                  <w:noWrap w:val="0"/>
                  <w:vAlign w:val="center"/>
                </w:tcPr>
                <w:p w14:paraId="227A5D7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254" w:type="pct"/>
                  <w:tcBorders>
                    <w:tl2br w:val="nil"/>
                    <w:tr2bl w:val="nil"/>
                  </w:tcBorders>
                  <w:noWrap w:val="0"/>
                  <w:vAlign w:val="center"/>
                </w:tcPr>
                <w:p w14:paraId="5855FE0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942" w:type="pct"/>
                  <w:tcBorders>
                    <w:tl2br w:val="nil"/>
                    <w:tr2bl w:val="nil"/>
                  </w:tcBorders>
                  <w:noWrap w:val="0"/>
                  <w:vAlign w:val="center"/>
                </w:tcPr>
                <w:p w14:paraId="683463E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减振+厂房隔声+厂界隔声墙</w:t>
                  </w:r>
                </w:p>
              </w:tc>
              <w:tc>
                <w:tcPr>
                  <w:tcW w:w="235" w:type="pct"/>
                  <w:tcBorders>
                    <w:tl2br w:val="nil"/>
                    <w:tr2bl w:val="nil"/>
                  </w:tcBorders>
                  <w:noWrap w:val="0"/>
                  <w:vAlign w:val="center"/>
                </w:tcPr>
                <w:p w14:paraId="1F5DBD1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73</w:t>
                  </w:r>
                </w:p>
              </w:tc>
              <w:tc>
                <w:tcPr>
                  <w:tcW w:w="212" w:type="pct"/>
                  <w:tcBorders>
                    <w:tl2br w:val="nil"/>
                    <w:tr2bl w:val="nil"/>
                  </w:tcBorders>
                  <w:noWrap w:val="0"/>
                  <w:vAlign w:val="center"/>
                </w:tcPr>
                <w:p w14:paraId="61C6F5A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54</w:t>
                  </w:r>
                </w:p>
              </w:tc>
              <w:tc>
                <w:tcPr>
                  <w:tcW w:w="227" w:type="pct"/>
                  <w:tcBorders>
                    <w:tl2br w:val="nil"/>
                    <w:tr2bl w:val="nil"/>
                  </w:tcBorders>
                  <w:noWrap w:val="0"/>
                  <w:vAlign w:val="center"/>
                </w:tcPr>
                <w:p w14:paraId="7C9037F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21" w:type="dxa"/>
                  <w:tcBorders>
                    <w:tl2br w:val="nil"/>
                    <w:tr2bl w:val="nil"/>
                  </w:tcBorders>
                  <w:noWrap w:val="0"/>
                  <w:vAlign w:val="center"/>
                </w:tcPr>
                <w:p w14:paraId="693854D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29.38</w:t>
                  </w:r>
                </w:p>
              </w:tc>
              <w:tc>
                <w:tcPr>
                  <w:tcW w:w="724" w:type="dxa"/>
                  <w:tcBorders>
                    <w:tl2br w:val="nil"/>
                    <w:tr2bl w:val="nil"/>
                  </w:tcBorders>
                  <w:noWrap w:val="0"/>
                  <w:vAlign w:val="center"/>
                </w:tcPr>
                <w:p w14:paraId="72D167D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67.95</w:t>
                  </w:r>
                </w:p>
              </w:tc>
              <w:tc>
                <w:tcPr>
                  <w:tcW w:w="366" w:type="pct"/>
                  <w:tcBorders>
                    <w:tl2br w:val="nil"/>
                    <w:tr2bl w:val="nil"/>
                  </w:tcBorders>
                  <w:noWrap w:val="0"/>
                  <w:vAlign w:val="center"/>
                </w:tcPr>
                <w:p w14:paraId="48F07B8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稳定声源</w:t>
                  </w:r>
                </w:p>
              </w:tc>
              <w:tc>
                <w:tcPr>
                  <w:tcW w:w="293" w:type="pct"/>
                  <w:tcBorders>
                    <w:tl2br w:val="nil"/>
                    <w:tr2bl w:val="nil"/>
                  </w:tcBorders>
                  <w:noWrap w:val="0"/>
                  <w:vAlign w:val="center"/>
                </w:tcPr>
                <w:p w14:paraId="7381DC8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25</w:t>
                  </w:r>
                </w:p>
              </w:tc>
              <w:tc>
                <w:tcPr>
                  <w:tcW w:w="241" w:type="pct"/>
                  <w:tcBorders>
                    <w:tl2br w:val="nil"/>
                    <w:tr2bl w:val="nil"/>
                  </w:tcBorders>
                  <w:noWrap w:val="0"/>
                  <w:vAlign w:val="center"/>
                </w:tcPr>
                <w:p w14:paraId="561069F9">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36.93</w:t>
                  </w:r>
                </w:p>
              </w:tc>
              <w:tc>
                <w:tcPr>
                  <w:tcW w:w="251" w:type="pct"/>
                  <w:tcBorders>
                    <w:tl2br w:val="nil"/>
                    <w:tr2bl w:val="nil"/>
                  </w:tcBorders>
                  <w:noWrap w:val="0"/>
                  <w:vAlign w:val="center"/>
                </w:tcPr>
                <w:p w14:paraId="6314EC8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w:t>
                  </w:r>
                </w:p>
              </w:tc>
            </w:tr>
          </w:tbl>
          <w:p w14:paraId="742CBB81">
            <w:pPr>
              <w:bidi w:val="0"/>
              <w:rPr>
                <w:rFonts w:hint="default"/>
                <w:vertAlign w:val="baseline"/>
                <w:lang w:val="en-US" w:eastAsia="zh-CN"/>
              </w:rPr>
            </w:pPr>
          </w:p>
        </w:tc>
      </w:tr>
    </w:tbl>
    <w:p w14:paraId="20FD0FC9">
      <w:pPr>
        <w:bidi w:val="0"/>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067"/>
      </w:tblGrid>
      <w:tr w14:paraId="59F6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9" w:type="dxa"/>
            <w:vAlign w:val="center"/>
          </w:tcPr>
          <w:p w14:paraId="036C8798">
            <w:pPr>
              <w:bidi w:val="0"/>
              <w:ind w:left="0" w:leftChars="0" w:right="0" w:rightChars="0" w:firstLine="0" w:firstLineChars="0"/>
              <w:jc w:val="center"/>
              <w:rPr>
                <w:rFonts w:hint="default"/>
                <w:b/>
                <w:bCs/>
                <w:sz w:val="24"/>
                <w:szCs w:val="24"/>
                <w:vertAlign w:val="baseline"/>
                <w:lang w:val="en-US" w:eastAsia="zh-CN"/>
              </w:rPr>
            </w:pPr>
            <w:r>
              <w:rPr>
                <w:rFonts w:hint="eastAsia"/>
                <w:b/>
                <w:bCs/>
                <w:sz w:val="24"/>
                <w:szCs w:val="24"/>
                <w:vertAlign w:val="baseline"/>
                <w:lang w:val="en-US" w:eastAsia="zh-CN"/>
              </w:rPr>
              <w:t>运营期环境影响和保护措施</w:t>
            </w:r>
          </w:p>
        </w:tc>
        <w:tc>
          <w:tcPr>
            <w:tcW w:w="8063" w:type="dxa"/>
          </w:tcPr>
          <w:p w14:paraId="36E95E45">
            <w:pPr>
              <w:pStyle w:val="46"/>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3.2噪声预测评价</w:t>
            </w:r>
          </w:p>
          <w:p w14:paraId="1987726A">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szCs w:val="24"/>
                <w:lang w:val="en-US" w:eastAsia="zh-CN"/>
              </w:rPr>
              <w:t>（1）</w:t>
            </w:r>
            <w:r>
              <w:rPr>
                <w:rFonts w:hint="default" w:ascii="Times New Roman" w:hAnsi="Times New Roman" w:cs="Times New Roman"/>
                <w:color w:val="auto"/>
                <w:sz w:val="24"/>
                <w:highlight w:val="none"/>
              </w:rPr>
              <w:t>室外声源预测模式</w:t>
            </w:r>
          </w:p>
          <w:p w14:paraId="32BC827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声环境》（HJ 2.4-2021），无指向性点声源几何发散衰减的基本公式：</w:t>
            </w:r>
          </w:p>
          <w:p w14:paraId="12810DBE">
            <w:pPr>
              <w:spacing w:line="360" w:lineRule="auto"/>
              <w:ind w:firstLine="2880" w:firstLineChars="1200"/>
              <w:rPr>
                <w:rFonts w:hint="eastAsia" w:ascii="Times New Roman" w:hAnsi="Times New Roman" w:eastAsia="宋体" w:cs="Times New Roman"/>
                <w:color w:val="auto"/>
                <w:sz w:val="24"/>
                <w:highlight w:val="none"/>
                <w:lang w:val="pt-BR" w:eastAsia="zh-CN"/>
              </w:rPr>
            </w:pPr>
            <w:r>
              <w:rPr>
                <w:rFonts w:hint="default" w:ascii="Times New Roman" w:hAnsi="Times New Roman" w:cs="Times New Roman"/>
                <w:color w:val="auto"/>
                <w:sz w:val="24"/>
                <w:highlight w:val="none"/>
                <w:lang w:val="pt-BR"/>
              </w:rPr>
              <w:t>L</w:t>
            </w:r>
            <w:r>
              <w:rPr>
                <w:rFonts w:hint="default" w:ascii="Times New Roman" w:hAnsi="Times New Roman" w:cs="Times New Roman"/>
                <w:color w:val="auto"/>
                <w:sz w:val="24"/>
                <w:highlight w:val="none"/>
              </w:rPr>
              <w:t>p</w:t>
            </w:r>
            <w:r>
              <w:rPr>
                <w:rFonts w:hint="eastAsia" w:ascii="Times New Roman" w:hAnsi="Times New Roman" w:cs="Times New Roman"/>
                <w:color w:val="auto"/>
                <w:sz w:val="24"/>
                <w:highlight w:val="none"/>
                <w:lang w:val="pt-BR" w:eastAsia="zh-CN"/>
              </w:rPr>
              <w:t>（</w:t>
            </w:r>
            <w:r>
              <w:rPr>
                <w:rFonts w:hint="eastAsia" w:ascii="Times New Roman" w:hAnsi="Times New Roman" w:cs="Times New Roman"/>
                <w:color w:val="auto"/>
                <w:sz w:val="24"/>
                <w:highlight w:val="none"/>
                <w:lang w:val="en-US" w:eastAsia="zh-CN"/>
              </w:rPr>
              <w:t>r</w:t>
            </w:r>
            <w:r>
              <w:rPr>
                <w:rFonts w:hint="eastAsia" w:ascii="Times New Roman" w:hAnsi="Times New Roman" w:cs="Times New Roman"/>
                <w:color w:val="auto"/>
                <w:sz w:val="24"/>
                <w:highlight w:val="none"/>
                <w:lang w:val="pt-BR" w:eastAsia="zh-CN"/>
              </w:rPr>
              <w:t>）</w:t>
            </w:r>
            <w:r>
              <w:rPr>
                <w:rFonts w:hint="default" w:ascii="Times New Roman" w:hAnsi="Times New Roman" w:cs="Times New Roman"/>
                <w:color w:val="auto"/>
                <w:sz w:val="24"/>
                <w:highlight w:val="none"/>
                <w:lang w:val="pt-BR"/>
              </w:rPr>
              <w:t>=Lr0-20lg</w:t>
            </w:r>
            <w:r>
              <w:rPr>
                <w:rFonts w:hint="eastAsia" w:ascii="Times New Roman" w:hAnsi="Times New Roman" w:cs="Times New Roman"/>
                <w:color w:val="auto"/>
                <w:sz w:val="24"/>
                <w:highlight w:val="none"/>
                <w:lang w:val="pt-BR" w:eastAsia="zh-CN"/>
              </w:rPr>
              <w:t>（</w:t>
            </w:r>
            <w:r>
              <w:rPr>
                <w:rFonts w:hint="default" w:ascii="Times New Roman" w:hAnsi="Times New Roman" w:cs="Times New Roman"/>
                <w:color w:val="auto"/>
                <w:sz w:val="24"/>
                <w:highlight w:val="none"/>
                <w:lang w:val="pt-BR"/>
              </w:rPr>
              <w:t>r/r0</w:t>
            </w:r>
            <w:r>
              <w:rPr>
                <w:rFonts w:hint="eastAsia" w:ascii="Times New Roman" w:hAnsi="Times New Roman" w:cs="Times New Roman"/>
                <w:color w:val="auto"/>
                <w:sz w:val="24"/>
                <w:highlight w:val="none"/>
                <w:lang w:val="pt-BR" w:eastAsia="zh-CN"/>
              </w:rPr>
              <w:t>）</w:t>
            </w:r>
          </w:p>
          <w:p w14:paraId="5BC7490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color w:val="auto"/>
                <w:sz w:val="24"/>
                <w:highlight w:val="none"/>
                <w:lang w:val="pt-BR"/>
              </w:rPr>
              <w:t>L</w:t>
            </w:r>
            <w:r>
              <w:rPr>
                <w:rFonts w:hint="default" w:ascii="Times New Roman" w:hAnsi="Times New Roman" w:cs="Times New Roman"/>
                <w:color w:val="auto"/>
                <w:sz w:val="24"/>
                <w:highlight w:val="none"/>
              </w:rPr>
              <w:t>p</w:t>
            </w:r>
            <w:r>
              <w:rPr>
                <w:rFonts w:hint="eastAsia" w:ascii="Times New Roman" w:hAnsi="Times New Roman" w:cs="Times New Roman"/>
                <w:color w:val="auto"/>
                <w:sz w:val="24"/>
                <w:highlight w:val="none"/>
                <w:lang w:val="pt-BR" w:eastAsia="zh-CN"/>
              </w:rPr>
              <w:t>（</w:t>
            </w:r>
            <w:r>
              <w:rPr>
                <w:rFonts w:hint="eastAsia" w:ascii="Times New Roman" w:hAnsi="Times New Roman" w:cs="Times New Roman"/>
                <w:color w:val="auto"/>
                <w:sz w:val="24"/>
                <w:highlight w:val="none"/>
                <w:lang w:val="en-US" w:eastAsia="zh-CN"/>
              </w:rPr>
              <w:t>r</w:t>
            </w:r>
            <w:r>
              <w:rPr>
                <w:rFonts w:hint="eastAsia" w:ascii="Times New Roman" w:hAnsi="Times New Roman" w:cs="Times New Roman"/>
                <w:color w:val="auto"/>
                <w:sz w:val="24"/>
                <w:highlight w:val="none"/>
                <w:lang w:val="pt-BR" w:eastAsia="zh-CN"/>
              </w:rPr>
              <w:t>）</w:t>
            </w:r>
            <w:r>
              <w:rPr>
                <w:rFonts w:hint="default" w:ascii="Times New Roman" w:hAnsi="Times New Roman" w:cs="Times New Roman"/>
                <w:color w:val="auto"/>
                <w:sz w:val="24"/>
                <w:highlight w:val="none"/>
              </w:rPr>
              <w:t>—预测点处声压级，dB；</w:t>
            </w:r>
          </w:p>
          <w:p w14:paraId="63BE8B3E">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pt-BR"/>
              </w:rPr>
              <w:t>Lr0</w:t>
            </w:r>
            <w:r>
              <w:rPr>
                <w:rFonts w:hint="default" w:ascii="Times New Roman" w:hAnsi="Times New Roman" w:cs="Times New Roman"/>
                <w:color w:val="auto"/>
                <w:sz w:val="24"/>
                <w:highlight w:val="none"/>
              </w:rPr>
              <w:t>—参考位置r0处的声压级，dB；</w:t>
            </w:r>
          </w:p>
          <w:p w14:paraId="5C6E967A">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r—预测点距声源的距离；</w:t>
            </w:r>
          </w:p>
          <w:p w14:paraId="7EA339A7">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r0—参考位置距声源的距离；</w:t>
            </w:r>
          </w:p>
          <w:p w14:paraId="37B2BF8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建设项目在各受声点的声源叠加按下列公式计算：</w:t>
            </w:r>
          </w:p>
          <w:p w14:paraId="6D416202">
            <w:pPr>
              <w:spacing w:line="360" w:lineRule="auto"/>
              <w:ind w:firstLine="2640" w:firstLineChars="1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Lp=10lg［</w:t>
            </w:r>
            <w:r>
              <w:rPr>
                <w:rFonts w:hint="default" w:ascii="Times New Roman" w:hAnsi="Times New Roman" w:cs="Times New Roman"/>
                <w:color w:val="auto"/>
                <w:sz w:val="24"/>
                <w:highlight w:val="none"/>
              </w:rPr>
              <w:object>
                <v:shape id="_x0000_i1033" o:spt="75" type="#_x0000_t75" style="height:33.75pt;width:29.25pt;" o:ole="t" filled="f" o:preferrelative="t" stroked="f" coordsize="21600,21600">
                  <v:path/>
                  <v:fill on="f" focussize="0,0"/>
                  <v:stroke on="f"/>
                  <v:imagedata r:id="rId23" o:title=""/>
                  <o:lock v:ext="edit" aspectratio="t"/>
                  <w10:wrap type="none"/>
                  <w10:anchorlock/>
                </v:shape>
                <o:OLEObject Type="Embed" ProgID="Equation.3" ShapeID="_x0000_i1033" DrawAspect="Content" ObjectID="_1468075733" r:id="rId22">
                  <o:LockedField>false</o:LockedField>
                </o:OLEObject>
              </w:object>
            </w:r>
            <w:r>
              <w:rPr>
                <w:rFonts w:hint="default" w:ascii="Times New Roman" w:hAnsi="Times New Roman" w:cs="Times New Roman"/>
                <w:color w:val="auto"/>
                <w:sz w:val="24"/>
                <w:highlight w:val="none"/>
              </w:rPr>
              <w:t>0.1Li］</w:t>
            </w:r>
          </w:p>
          <w:p w14:paraId="4E9016B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式中：Li—第i个声源声值；</w:t>
            </w:r>
          </w:p>
          <w:p w14:paraId="588454C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Lp—某点噪声总叠加值；</w:t>
            </w:r>
          </w:p>
          <w:p w14:paraId="76557C16">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highlight w:val="none"/>
              </w:rPr>
              <w:t xml:space="preserve">      n—声源个数。</w:t>
            </w:r>
          </w:p>
          <w:p w14:paraId="0770EAB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室内声源预测模式</w:t>
            </w:r>
          </w:p>
          <w:p w14:paraId="29CC6EFE">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声环境》（HJ2.4-2021），先计算某室内声源靠近围护结构处产生的倍频带声压级或A声级，计算公式如下：</w:t>
            </w:r>
          </w:p>
          <w:p w14:paraId="48F2B957">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3028950" cy="66675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4"/>
                          <a:stretch>
                            <a:fillRect/>
                          </a:stretch>
                        </pic:blipFill>
                        <pic:spPr>
                          <a:xfrm>
                            <a:off x="0" y="0"/>
                            <a:ext cx="3028950" cy="666750"/>
                          </a:xfrm>
                          <a:prstGeom prst="rect">
                            <a:avLst/>
                          </a:prstGeom>
                          <a:noFill/>
                          <a:ln>
                            <a:noFill/>
                          </a:ln>
                        </pic:spPr>
                      </pic:pic>
                    </a:graphicData>
                  </a:graphic>
                </wp:inline>
              </w:drawing>
            </w:r>
          </w:p>
          <w:p w14:paraId="3497856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式中：L</w:t>
            </w:r>
            <w:r>
              <w:rPr>
                <w:rFonts w:hint="default" w:ascii="Times New Roman" w:hAnsi="Times New Roman" w:eastAsia="宋体" w:cs="Times New Roman"/>
                <w:color w:val="auto"/>
                <w:sz w:val="24"/>
                <w:szCs w:val="24"/>
                <w:vertAlign w:val="subscript"/>
                <w:lang w:bidi="ar"/>
              </w:rPr>
              <w:t>p1</w:t>
            </w:r>
            <w:r>
              <w:rPr>
                <w:rFonts w:hint="default" w:ascii="Times New Roman" w:hAnsi="Times New Roman" w:eastAsia="宋体" w:cs="Times New Roman"/>
                <w:color w:val="auto"/>
                <w:sz w:val="24"/>
                <w:szCs w:val="24"/>
                <w:lang w:bidi="ar"/>
              </w:rPr>
              <w:t>—靠近开口处</w:t>
            </w:r>
            <w:r>
              <w:rPr>
                <w:rFonts w:hint="eastAsia" w:cs="Times New Roman"/>
                <w:color w:val="auto"/>
                <w:sz w:val="24"/>
                <w:szCs w:val="24"/>
                <w:lang w:eastAsia="zh-CN" w:bidi="ar"/>
              </w:rPr>
              <w:t>（</w:t>
            </w:r>
            <w:r>
              <w:rPr>
                <w:rFonts w:hint="default" w:ascii="Times New Roman" w:hAnsi="Times New Roman" w:eastAsia="宋体" w:cs="Times New Roman"/>
                <w:color w:val="auto"/>
                <w:sz w:val="24"/>
                <w:szCs w:val="24"/>
                <w:lang w:bidi="ar"/>
              </w:rPr>
              <w:t>或窗户</w:t>
            </w:r>
            <w:r>
              <w:rPr>
                <w:rFonts w:hint="eastAsia" w:cs="Times New Roman"/>
                <w:color w:val="auto"/>
                <w:sz w:val="24"/>
                <w:szCs w:val="24"/>
                <w:lang w:eastAsia="zh-CN" w:bidi="ar"/>
              </w:rPr>
              <w:t>）</w:t>
            </w:r>
            <w:r>
              <w:rPr>
                <w:rFonts w:hint="default" w:ascii="Times New Roman" w:hAnsi="Times New Roman" w:eastAsia="宋体" w:cs="Times New Roman"/>
                <w:color w:val="auto"/>
                <w:sz w:val="24"/>
                <w:szCs w:val="24"/>
                <w:lang w:bidi="ar"/>
              </w:rPr>
              <w:t>室内某倍频带的声压级或A声级，dB</w:t>
            </w:r>
            <w:r>
              <w:rPr>
                <w:rFonts w:hint="eastAsia" w:cs="Times New Roman"/>
                <w:color w:val="auto"/>
                <w:sz w:val="24"/>
                <w:szCs w:val="24"/>
                <w:lang w:eastAsia="zh-CN" w:bidi="ar"/>
              </w:rPr>
              <w:t>；</w:t>
            </w:r>
          </w:p>
          <w:p w14:paraId="6B2EB49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Lw—点声源声功率级</w:t>
            </w:r>
            <w:r>
              <w:rPr>
                <w:rFonts w:hint="eastAsia" w:cs="Times New Roman"/>
                <w:color w:val="auto"/>
                <w:sz w:val="24"/>
                <w:szCs w:val="24"/>
                <w:lang w:eastAsia="zh-CN" w:bidi="ar"/>
              </w:rPr>
              <w:t>（</w:t>
            </w:r>
            <w:r>
              <w:rPr>
                <w:rFonts w:hint="default" w:ascii="Times New Roman" w:hAnsi="Times New Roman" w:eastAsia="宋体" w:cs="Times New Roman"/>
                <w:color w:val="auto"/>
                <w:sz w:val="24"/>
                <w:szCs w:val="24"/>
                <w:lang w:bidi="ar"/>
              </w:rPr>
              <w:t>A计权或倍频带</w:t>
            </w:r>
            <w:r>
              <w:rPr>
                <w:rFonts w:hint="eastAsia" w:cs="Times New Roman"/>
                <w:color w:val="auto"/>
                <w:sz w:val="24"/>
                <w:szCs w:val="24"/>
                <w:lang w:eastAsia="zh-CN" w:bidi="ar"/>
              </w:rPr>
              <w:t>）</w:t>
            </w:r>
            <w:r>
              <w:rPr>
                <w:rFonts w:hint="default" w:ascii="Times New Roman" w:hAnsi="Times New Roman" w:eastAsia="宋体" w:cs="Times New Roman"/>
                <w:color w:val="auto"/>
                <w:sz w:val="24"/>
                <w:szCs w:val="24"/>
                <w:lang w:bidi="ar"/>
              </w:rPr>
              <w:t>，dB；</w:t>
            </w:r>
          </w:p>
          <w:p w14:paraId="0CBF63D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Q—指向性因数；通常对无指向性声源，当声源放在房间中心时，Q=1；当放在一面墙的中心时，Q=2；当放在两面墙夹角处时，Q=4；当放在三面墙夹角处时，Q=8；</w:t>
            </w:r>
          </w:p>
          <w:p w14:paraId="2E4547E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R—房间常数；R=Sa/</w:t>
            </w:r>
            <w:r>
              <w:rPr>
                <w:rFonts w:hint="eastAsia" w:cs="Times New Roman"/>
                <w:color w:val="auto"/>
                <w:sz w:val="24"/>
                <w:szCs w:val="24"/>
                <w:lang w:eastAsia="zh-CN" w:bidi="ar"/>
              </w:rPr>
              <w:t>（</w:t>
            </w:r>
            <w:r>
              <w:rPr>
                <w:rFonts w:hint="default" w:ascii="Times New Roman" w:hAnsi="Times New Roman" w:eastAsia="宋体" w:cs="Times New Roman"/>
                <w:color w:val="auto"/>
                <w:sz w:val="24"/>
                <w:szCs w:val="24"/>
                <w:lang w:bidi="ar"/>
              </w:rPr>
              <w:t>1-a</w:t>
            </w:r>
            <w:r>
              <w:rPr>
                <w:rFonts w:hint="eastAsia" w:cs="Times New Roman"/>
                <w:color w:val="auto"/>
                <w:sz w:val="24"/>
                <w:szCs w:val="24"/>
                <w:lang w:eastAsia="zh-CN" w:bidi="ar"/>
              </w:rPr>
              <w:t>）</w:t>
            </w:r>
            <w:r>
              <w:rPr>
                <w:rFonts w:hint="default" w:ascii="Times New Roman" w:hAnsi="Times New Roman" w:eastAsia="宋体" w:cs="Times New Roman"/>
                <w:color w:val="auto"/>
                <w:sz w:val="24"/>
                <w:szCs w:val="24"/>
                <w:lang w:bidi="ar"/>
              </w:rPr>
              <w:t>，S为房间内表面面积，m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；a为平均吸声系数；</w:t>
            </w:r>
          </w:p>
          <w:p w14:paraId="0FB1032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r—声源到靠近围护结构某点处的距离，m。</w:t>
            </w:r>
          </w:p>
          <w:p w14:paraId="736114C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然后按如下式计算出所有室内声源在围护结构处产生的i倍频带叠加声压级</w:t>
            </w:r>
            <w:r>
              <w:rPr>
                <w:rFonts w:hint="eastAsia" w:cs="Times New Roman"/>
                <w:color w:val="auto"/>
                <w:sz w:val="24"/>
                <w:szCs w:val="24"/>
                <w:lang w:eastAsia="zh-CN" w:bidi="ar"/>
              </w:rPr>
              <w:t>：</w:t>
            </w:r>
          </w:p>
          <w:p w14:paraId="2FEBDCBC">
            <w:pPr>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762250" cy="714375"/>
                  <wp:effectExtent l="0" t="0" r="0" b="952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5"/>
                          <a:stretch>
                            <a:fillRect/>
                          </a:stretch>
                        </pic:blipFill>
                        <pic:spPr>
                          <a:xfrm>
                            <a:off x="0" y="0"/>
                            <a:ext cx="2762250" cy="714375"/>
                          </a:xfrm>
                          <a:prstGeom prst="rect">
                            <a:avLst/>
                          </a:prstGeom>
                          <a:noFill/>
                          <a:ln>
                            <a:noFill/>
                          </a:ln>
                        </pic:spPr>
                      </pic:pic>
                    </a:graphicData>
                  </a:graphic>
                </wp:inline>
              </w:drawing>
            </w:r>
          </w:p>
          <w:p w14:paraId="3FE4003A">
            <w:pPr>
              <w:keepNext w:val="0"/>
              <w:keepLines w:val="0"/>
              <w:pageBreakBefore w:val="0"/>
              <w:widowControl/>
              <w:kinsoku/>
              <w:wordWrap/>
              <w:overflowPunct/>
              <w:topLinePunct w:val="0"/>
              <w:autoSpaceDE w:val="0"/>
              <w:autoSpaceDN w:val="0"/>
              <w:bidi w:val="0"/>
              <w:spacing w:line="360" w:lineRule="auto"/>
              <w:ind w:firstLine="480"/>
              <w:jc w:val="both"/>
              <w:textAlignment w:val="auto"/>
              <w:rPr>
                <w:rFonts w:hint="eastAsia"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式中：L</w:t>
            </w:r>
            <w:r>
              <w:rPr>
                <w:rFonts w:hint="default" w:ascii="Times New Roman" w:hAnsi="Times New Roman" w:eastAsia="宋体" w:cs="Times New Roman"/>
                <w:color w:val="auto"/>
                <w:sz w:val="24"/>
                <w:szCs w:val="24"/>
                <w:vertAlign w:val="subscript"/>
                <w:lang w:bidi="ar"/>
              </w:rPr>
              <w:t>pli</w:t>
            </w:r>
            <w:r>
              <w:rPr>
                <w:rFonts w:hint="eastAsia" w:cs="Times New Roman"/>
                <w:color w:val="auto"/>
                <w:sz w:val="24"/>
                <w:szCs w:val="24"/>
                <w:lang w:eastAsia="zh-CN" w:bidi="ar"/>
              </w:rPr>
              <w:t>（</w:t>
            </w:r>
            <w:r>
              <w:rPr>
                <w:rFonts w:hint="default" w:ascii="Times New Roman" w:hAnsi="Times New Roman" w:eastAsia="宋体" w:cs="Times New Roman"/>
                <w:color w:val="auto"/>
                <w:sz w:val="24"/>
                <w:szCs w:val="24"/>
                <w:lang w:bidi="ar"/>
              </w:rPr>
              <w:t>T</w:t>
            </w:r>
            <w:r>
              <w:rPr>
                <w:rFonts w:hint="eastAsia" w:cs="Times New Roman"/>
                <w:color w:val="auto"/>
                <w:sz w:val="24"/>
                <w:szCs w:val="24"/>
                <w:lang w:eastAsia="zh-CN" w:bidi="ar"/>
              </w:rPr>
              <w:t>）</w:t>
            </w:r>
            <w:r>
              <w:rPr>
                <w:rFonts w:hint="default" w:ascii="Times New Roman" w:hAnsi="Times New Roman" w:eastAsia="宋体" w:cs="Times New Roman"/>
                <w:color w:val="auto"/>
                <w:sz w:val="24"/>
                <w:szCs w:val="24"/>
                <w:lang w:bidi="ar"/>
              </w:rPr>
              <w:t>—靠近围护结构处室内N个声源i倍频带的叠加声压级，dB</w:t>
            </w:r>
            <w:r>
              <w:rPr>
                <w:rFonts w:hint="eastAsia" w:ascii="Times New Roman" w:hAnsi="Times New Roman" w:cs="Times New Roman"/>
                <w:color w:val="auto"/>
                <w:sz w:val="24"/>
                <w:szCs w:val="24"/>
                <w:lang w:eastAsia="zh-CN" w:bidi="ar"/>
              </w:rPr>
              <w:t>；</w:t>
            </w:r>
          </w:p>
          <w:p w14:paraId="5A824782">
            <w:pPr>
              <w:keepNext w:val="0"/>
              <w:keepLines w:val="0"/>
              <w:pageBreakBefore w:val="0"/>
              <w:widowControl/>
              <w:kinsoku/>
              <w:wordWrap/>
              <w:overflowPunct/>
              <w:topLinePunct w:val="0"/>
              <w:autoSpaceDE w:val="0"/>
              <w:autoSpaceDN w:val="0"/>
              <w:bidi w:val="0"/>
              <w:spacing w:line="360" w:lineRule="auto"/>
              <w:ind w:firstLine="1200" w:firstLineChars="5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Lpi—室内j声源i倍频带的声压级，dB；</w:t>
            </w:r>
          </w:p>
          <w:p w14:paraId="0D9D91E3">
            <w:pPr>
              <w:keepNext w:val="0"/>
              <w:keepLines w:val="0"/>
              <w:pageBreakBefore w:val="0"/>
              <w:widowControl/>
              <w:kinsoku/>
              <w:wordWrap/>
              <w:overflowPunct/>
              <w:topLinePunct w:val="0"/>
              <w:autoSpaceDE w:val="0"/>
              <w:autoSpaceDN w:val="0"/>
              <w:bidi w:val="0"/>
              <w:spacing w:line="360" w:lineRule="auto"/>
              <w:ind w:firstLine="1200" w:firstLineChars="5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N—室内声源总数。</w:t>
            </w:r>
          </w:p>
          <w:p w14:paraId="26AAD125">
            <w:pPr>
              <w:keepNext w:val="0"/>
              <w:keepLines w:val="0"/>
              <w:pageBreakBefore w:val="0"/>
              <w:widowControl/>
              <w:kinsoku/>
              <w:wordWrap/>
              <w:overflowPunct/>
              <w:topLinePunct w:val="0"/>
              <w:autoSpaceDE w:val="0"/>
              <w:autoSpaceDN w:val="0"/>
              <w:bidi w:val="0"/>
              <w:spacing w:line="360" w:lineRule="auto"/>
              <w:ind w:firstLine="48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在室内近似为扩散声场时，按下式计算出靠近室外围护结构处的声压级：</w:t>
            </w:r>
          </w:p>
          <w:p w14:paraId="6ECF4C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rPr>
              <w:t>p2i</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rPr>
              <w:t>pli</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TL</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lang w:eastAsia="zh-CN"/>
              </w:rPr>
              <w:t>）</w:t>
            </w:r>
          </w:p>
          <w:p w14:paraId="7F5913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sz w:val="24"/>
                <w:szCs w:val="24"/>
                <w:lang w:bidi="ar"/>
              </w:rPr>
              <w:t>L</w:t>
            </w:r>
            <w:r>
              <w:rPr>
                <w:rFonts w:hint="default" w:ascii="Times New Roman" w:hAnsi="Times New Roman" w:eastAsia="宋体" w:cs="Times New Roman"/>
                <w:color w:val="auto"/>
                <w:sz w:val="24"/>
                <w:szCs w:val="24"/>
                <w:vertAlign w:val="subscript"/>
                <w:lang w:bidi="ar"/>
              </w:rPr>
              <w:t>2pi</w:t>
            </w:r>
            <w:r>
              <w:rPr>
                <w:rFonts w:hint="default" w:ascii="Times New Roman" w:hAnsi="Times New Roman" w:eastAsia="宋体" w:cs="Times New Roman"/>
                <w:color w:val="auto"/>
                <w:sz w:val="24"/>
                <w:szCs w:val="24"/>
                <w:lang w:bidi="ar"/>
              </w:rPr>
              <w:t>（T）—靠近围护结构处室外N个声源i倍频带的叠加声压级，dB；</w:t>
            </w:r>
          </w:p>
          <w:p w14:paraId="333D0BC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L</w:t>
            </w:r>
            <w:r>
              <w:rPr>
                <w:rFonts w:hint="default" w:ascii="Times New Roman" w:hAnsi="Times New Roman" w:eastAsia="宋体" w:cs="Times New Roman"/>
                <w:color w:val="auto"/>
                <w:sz w:val="24"/>
                <w:szCs w:val="24"/>
                <w:vertAlign w:val="subscript"/>
                <w:lang w:bidi="ar"/>
              </w:rPr>
              <w:t>1pi</w:t>
            </w:r>
            <w:r>
              <w:rPr>
                <w:rFonts w:hint="default" w:ascii="Times New Roman" w:hAnsi="Times New Roman" w:eastAsia="宋体" w:cs="Times New Roman"/>
                <w:color w:val="auto"/>
                <w:sz w:val="24"/>
                <w:szCs w:val="24"/>
                <w:lang w:bidi="ar"/>
              </w:rPr>
              <w:t>（T）—靠近围护结构处室内N个声源i倍频带的叠加声压级，dB；</w:t>
            </w:r>
          </w:p>
          <w:p w14:paraId="556A8FBB">
            <w:pPr>
              <w:keepNext w:val="0"/>
              <w:keepLines w:val="0"/>
              <w:pageBreakBefore w:val="0"/>
              <w:widowControl/>
              <w:kinsoku/>
              <w:wordWrap/>
              <w:overflowPunct/>
              <w:topLinePunct w:val="0"/>
              <w:autoSpaceDE w:val="0"/>
              <w:autoSpaceDN w:val="0"/>
              <w:bidi w:val="0"/>
              <w:spacing w:line="360" w:lineRule="auto"/>
              <w:ind w:firstLine="1200" w:firstLineChars="5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TL—围护结构i倍频带的隔声量，dB。</w:t>
            </w:r>
          </w:p>
          <w:p w14:paraId="036A72A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然后按下式将室外声源的声压级和透过面积换算成等效的室外声源，计算出中心位置位于透声面积（S）处的等效声源的倍频带声功率级。</w:t>
            </w:r>
          </w:p>
          <w:p w14:paraId="21DF1D6C">
            <w:pPr>
              <w:spacing w:line="360" w:lineRule="auto"/>
              <w:ind w:firstLine="2640" w:firstLineChars="1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Lw=LP2</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+10lgS</w:t>
            </w:r>
          </w:p>
          <w:p w14:paraId="175BB76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式中：Lw—中心位置位于透声面积（S）处的等效声源的倍频带声功率级，dB；</w:t>
            </w:r>
          </w:p>
          <w:p w14:paraId="51082E2B">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Lp2</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—靠近围护结构处室外声源的声压级，dB；</w:t>
            </w:r>
          </w:p>
          <w:p w14:paraId="7FCD0EA3">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S—透声面积，m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14:paraId="20D250E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然后按室外声源预测方法计算预测点处的A声级。</w:t>
            </w:r>
          </w:p>
          <w:p w14:paraId="3A70B19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本次环境噪声影响预测采用《环境影响评价技术导则  声环境》（HJ2.4-2021）中推荐的噪声预测模式。</w:t>
            </w:r>
          </w:p>
          <w:p w14:paraId="0C1A2AB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预测软件为由北京尚云开发制作并拥有全部版权的EIAProN2021。EIAProN2021以新版噪声导则——《环境影响评价技术导则 声环境》（HJ2.4-2021）的要求为编制依据，功能全面深入、符合新导则要求。</w:t>
            </w:r>
          </w:p>
          <w:p w14:paraId="0490E03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bidi="ar"/>
              </w:rPr>
            </w:pPr>
            <w:r>
              <w:rPr>
                <w:rFonts w:hint="default" w:ascii="Times New Roman" w:hAnsi="Times New Roman" w:cs="Times New Roman"/>
                <w:color w:val="auto"/>
                <w:sz w:val="24"/>
                <w:highlight w:val="none"/>
              </w:rPr>
              <w:t>预测软件版本号：2.5.205。</w:t>
            </w:r>
          </w:p>
          <w:p w14:paraId="38D5D4AA">
            <w:pPr>
              <w:keepNext w:val="0"/>
              <w:keepLines w:val="0"/>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color w:val="auto"/>
                <w:sz w:val="24"/>
                <w:szCs w:val="24"/>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预测结果</w:t>
            </w:r>
          </w:p>
          <w:p w14:paraId="34F2DF4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为改建项目，</w:t>
            </w:r>
            <w:r>
              <w:rPr>
                <w:rFonts w:hint="default" w:ascii="Times New Roman" w:hAnsi="Times New Roman" w:eastAsia="宋体" w:cs="Times New Roman"/>
                <w:color w:val="auto"/>
                <w:sz w:val="24"/>
                <w:highlight w:val="none"/>
              </w:rPr>
              <w:t>位于</w:t>
            </w:r>
            <w:r>
              <w:rPr>
                <w:rFonts w:hint="eastAsia" w:ascii="Times New Roman" w:hAnsi="Times New Roman" w:eastAsia="宋体" w:cs="Times New Roman"/>
                <w:color w:val="auto"/>
                <w:sz w:val="24"/>
                <w:highlight w:val="none"/>
                <w:lang w:val="en-US" w:eastAsia="zh-CN"/>
              </w:rPr>
              <w:t>易门铜业有限公司既有厂区内</w:t>
            </w:r>
            <w:r>
              <w:rPr>
                <w:rFonts w:hint="default" w:ascii="Times New Roman" w:hAnsi="Times New Roman" w:eastAsia="宋体" w:cs="Times New Roman"/>
                <w:color w:val="auto"/>
                <w:sz w:val="24"/>
                <w:highlight w:val="none"/>
              </w:rPr>
              <w:t>，本</w:t>
            </w:r>
            <w:r>
              <w:rPr>
                <w:rFonts w:hint="eastAsia" w:ascii="Times New Roman" w:hAnsi="Times New Roman" w:eastAsia="宋体" w:cs="Times New Roman"/>
                <w:color w:val="auto"/>
                <w:sz w:val="24"/>
                <w:highlight w:val="none"/>
                <w:lang w:val="en-US" w:eastAsia="zh-CN"/>
              </w:rPr>
              <w:t>次</w:t>
            </w:r>
            <w:r>
              <w:rPr>
                <w:rFonts w:hint="default" w:ascii="Times New Roman" w:hAnsi="Times New Roman" w:eastAsia="宋体" w:cs="Times New Roman"/>
                <w:color w:val="auto"/>
                <w:sz w:val="24"/>
                <w:highlight w:val="none"/>
              </w:rPr>
              <w:t>评价噪声预测</w:t>
            </w:r>
            <w:r>
              <w:rPr>
                <w:rFonts w:hint="eastAsia" w:ascii="Times New Roman" w:hAnsi="Times New Roman" w:eastAsia="宋体" w:cs="Times New Roman"/>
                <w:color w:val="auto"/>
                <w:sz w:val="24"/>
                <w:highlight w:val="none"/>
                <w:lang w:val="en-US" w:eastAsia="zh-CN"/>
              </w:rPr>
              <w:t>应</w:t>
            </w:r>
            <w:r>
              <w:rPr>
                <w:rFonts w:hint="default" w:ascii="Times New Roman" w:hAnsi="Times New Roman" w:eastAsia="宋体" w:cs="Times New Roman"/>
                <w:color w:val="auto"/>
                <w:sz w:val="24"/>
                <w:highlight w:val="none"/>
              </w:rPr>
              <w:t>考虑原有噪声源及本项目</w:t>
            </w:r>
            <w:r>
              <w:rPr>
                <w:rFonts w:hint="default" w:ascii="Times New Roman" w:hAnsi="Times New Roman" w:eastAsia="宋体" w:cs="Times New Roman"/>
                <w:color w:val="auto"/>
                <w:sz w:val="24"/>
                <w:highlight w:val="none"/>
                <w:lang w:val="en-US" w:eastAsia="zh-CN"/>
              </w:rPr>
              <w:t>新增</w:t>
            </w:r>
            <w:r>
              <w:rPr>
                <w:rFonts w:hint="default" w:ascii="Times New Roman" w:hAnsi="Times New Roman" w:eastAsia="宋体" w:cs="Times New Roman"/>
                <w:color w:val="auto"/>
                <w:sz w:val="24"/>
                <w:highlight w:val="none"/>
              </w:rPr>
              <w:t>噪声源进行</w:t>
            </w:r>
            <w:r>
              <w:rPr>
                <w:rFonts w:hint="default" w:ascii="Times New Roman" w:hAnsi="Times New Roman" w:eastAsia="宋体" w:cs="Times New Roman"/>
                <w:color w:val="auto"/>
                <w:sz w:val="24"/>
                <w:highlight w:val="none"/>
                <w:lang w:val="en-US" w:eastAsia="zh-CN"/>
              </w:rPr>
              <w:t>叠加</w:t>
            </w:r>
            <w:r>
              <w:rPr>
                <w:rFonts w:hint="default" w:ascii="Times New Roman" w:hAnsi="Times New Roman" w:eastAsia="宋体" w:cs="Times New Roman"/>
                <w:color w:val="auto"/>
                <w:sz w:val="24"/>
                <w:highlight w:val="none"/>
              </w:rPr>
              <w:t>预测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原有噪声源选取</w:t>
            </w:r>
            <w:r>
              <w:rPr>
                <w:rFonts w:hint="eastAsia" w:ascii="Times New Roman" w:hAnsi="Times New Roman" w:eastAsia="宋体" w:cs="Times New Roman"/>
                <w:color w:val="auto"/>
                <w:sz w:val="24"/>
                <w:highlight w:val="none"/>
                <w:lang w:val="en-US" w:eastAsia="zh-CN"/>
              </w:rPr>
              <w:t>易门铜业有限公司2026年第一季度自行</w:t>
            </w:r>
            <w:r>
              <w:rPr>
                <w:rFonts w:hint="default" w:ascii="Times New Roman" w:hAnsi="Times New Roman" w:eastAsia="宋体" w:cs="Times New Roman"/>
                <w:color w:val="auto"/>
                <w:sz w:val="24"/>
                <w:highlight w:val="none"/>
                <w:lang w:val="en-US" w:eastAsia="zh-CN"/>
              </w:rPr>
              <w:t>监测值</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采用上述预测</w:t>
            </w:r>
            <w:r>
              <w:rPr>
                <w:rFonts w:hint="eastAsia" w:ascii="Times New Roman" w:hAnsi="Times New Roman" w:eastAsia="宋体" w:cs="Times New Roman"/>
                <w:color w:val="auto"/>
                <w:sz w:val="24"/>
                <w:highlight w:val="none"/>
                <w:lang w:val="en-US" w:eastAsia="zh-CN"/>
              </w:rPr>
              <w:t>模式</w:t>
            </w:r>
            <w:r>
              <w:rPr>
                <w:rFonts w:hint="default" w:ascii="Times New Roman" w:hAnsi="Times New Roman" w:eastAsia="宋体" w:cs="Times New Roman"/>
                <w:color w:val="auto"/>
                <w:sz w:val="24"/>
                <w:highlight w:val="none"/>
                <w:lang w:val="en-US" w:eastAsia="zh-CN"/>
              </w:rPr>
              <w:t>，于</w:t>
            </w:r>
            <w:r>
              <w:rPr>
                <w:rFonts w:hint="eastAsia" w:ascii="Times New Roman" w:hAnsi="Times New Roman" w:eastAsia="宋体" w:cs="Times New Roman"/>
                <w:color w:val="auto"/>
                <w:sz w:val="24"/>
                <w:highlight w:val="none"/>
                <w:lang w:val="en-US" w:eastAsia="zh-CN"/>
              </w:rPr>
              <w:t>易门铜业有限公司总</w:t>
            </w:r>
            <w:r>
              <w:rPr>
                <w:rFonts w:hint="default" w:ascii="Times New Roman" w:hAnsi="Times New Roman" w:eastAsia="宋体" w:cs="Times New Roman"/>
                <w:color w:val="auto"/>
                <w:sz w:val="24"/>
                <w:highlight w:val="none"/>
                <w:lang w:val="en-US" w:eastAsia="zh-CN"/>
              </w:rPr>
              <w:t>厂界</w:t>
            </w:r>
            <w:r>
              <w:rPr>
                <w:rFonts w:hint="eastAsia" w:ascii="Times New Roman" w:hAnsi="Times New Roman" w:eastAsia="宋体" w:cs="Times New Roman"/>
                <w:color w:val="auto"/>
                <w:sz w:val="24"/>
                <w:highlight w:val="none"/>
                <w:lang w:val="en-US" w:eastAsia="zh-CN"/>
              </w:rPr>
              <w:t>东南西北四个方位</w:t>
            </w:r>
            <w:r>
              <w:rPr>
                <w:rFonts w:hint="default" w:ascii="Times New Roman" w:hAnsi="Times New Roman" w:eastAsia="宋体" w:cs="Times New Roman"/>
                <w:color w:val="auto"/>
                <w:sz w:val="24"/>
                <w:highlight w:val="none"/>
                <w:lang w:val="en-US" w:eastAsia="zh-CN"/>
              </w:rPr>
              <w:t>设置</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个预测点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预测结果见下表</w:t>
            </w:r>
            <w:r>
              <w:rPr>
                <w:rFonts w:hint="eastAsia" w:ascii="Times New Roman" w:hAnsi="Times New Roman" w:eastAsia="宋体" w:cs="Times New Roman"/>
                <w:color w:val="auto"/>
                <w:sz w:val="24"/>
                <w:highlight w:val="none"/>
                <w:lang w:eastAsia="zh-CN"/>
              </w:rPr>
              <w:t>：</w:t>
            </w:r>
          </w:p>
          <w:p w14:paraId="1C5A34B1">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ascii="黑体" w:hAnsi="黑体" w:eastAsia="黑体" w:cs="黑体"/>
                <w:b w:val="0"/>
                <w:bCs w:val="0"/>
                <w:color w:val="auto"/>
                <w:lang w:val="en-US" w:eastAsia="zh-CN"/>
              </w:rPr>
              <w:t>表4-</w:t>
            </w:r>
            <w:r>
              <w:rPr>
                <w:rFonts w:hint="eastAsia" w:ascii="黑体" w:hAnsi="黑体" w:cs="黑体"/>
                <w:b w:val="0"/>
                <w:bCs w:val="0"/>
                <w:color w:val="auto"/>
                <w:lang w:val="en-US" w:eastAsia="zh-CN"/>
              </w:rPr>
              <w:t>12</w:t>
            </w:r>
            <w:r>
              <w:rPr>
                <w:rFonts w:hint="eastAsia" w:ascii="黑体" w:hAnsi="黑体" w:eastAsia="黑体" w:cs="黑体"/>
                <w:b w:val="0"/>
                <w:bCs w:val="0"/>
                <w:color w:val="auto"/>
                <w:lang w:val="en-US" w:eastAsia="zh-CN"/>
              </w:rPr>
              <w:t>厂界噪声预测结果 单位：dB（A）</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000"/>
              <w:gridCol w:w="1410"/>
              <w:gridCol w:w="1439"/>
              <w:gridCol w:w="1240"/>
              <w:gridCol w:w="1119"/>
              <w:gridCol w:w="819"/>
            </w:tblGrid>
            <w:tr w14:paraId="3DD915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tcBorders>
                    <w:tl2br w:val="nil"/>
                    <w:tr2bl w:val="nil"/>
                  </w:tcBorders>
                  <w:vAlign w:val="center"/>
                </w:tcPr>
                <w:p w14:paraId="1C8673E6">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预测点</w:t>
                  </w:r>
                </w:p>
              </w:tc>
              <w:tc>
                <w:tcPr>
                  <w:tcW w:w="637" w:type="pct"/>
                  <w:tcBorders>
                    <w:tl2br w:val="nil"/>
                    <w:tr2bl w:val="nil"/>
                  </w:tcBorders>
                  <w:vAlign w:val="center"/>
                </w:tcPr>
                <w:p w14:paraId="1C59A469">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噪声时段</w:t>
                  </w:r>
                </w:p>
              </w:tc>
              <w:tc>
                <w:tcPr>
                  <w:tcW w:w="898" w:type="pct"/>
                  <w:tcBorders>
                    <w:tl2br w:val="nil"/>
                    <w:tr2bl w:val="nil"/>
                  </w:tcBorders>
                  <w:vAlign w:val="center"/>
                </w:tcPr>
                <w:p w14:paraId="6C219967">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贡献值/dB（A）</w:t>
                  </w:r>
                </w:p>
              </w:tc>
              <w:tc>
                <w:tcPr>
                  <w:tcW w:w="917" w:type="pct"/>
                  <w:tcBorders>
                    <w:tl2br w:val="nil"/>
                    <w:tr2bl w:val="nil"/>
                  </w:tcBorders>
                  <w:vAlign w:val="center"/>
                </w:tcPr>
                <w:p w14:paraId="58F6B9DE">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背景值/dB（A）</w:t>
                  </w:r>
                </w:p>
              </w:tc>
              <w:tc>
                <w:tcPr>
                  <w:tcW w:w="790" w:type="pct"/>
                  <w:tcBorders>
                    <w:tl2br w:val="nil"/>
                    <w:tr2bl w:val="nil"/>
                  </w:tcBorders>
                  <w:vAlign w:val="center"/>
                </w:tcPr>
                <w:p w14:paraId="3835B6BD">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预测值/dB（A）</w:t>
                  </w:r>
                </w:p>
              </w:tc>
              <w:tc>
                <w:tcPr>
                  <w:tcW w:w="713" w:type="pct"/>
                  <w:tcBorders>
                    <w:tl2br w:val="nil"/>
                    <w:tr2bl w:val="nil"/>
                  </w:tcBorders>
                  <w:vAlign w:val="center"/>
                </w:tcPr>
                <w:p w14:paraId="46E94C93">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标准值/dB（A）</w:t>
                  </w:r>
                </w:p>
              </w:tc>
              <w:tc>
                <w:tcPr>
                  <w:tcW w:w="520" w:type="pct"/>
                  <w:tcBorders>
                    <w:tl2br w:val="nil"/>
                    <w:tr2bl w:val="nil"/>
                  </w:tcBorders>
                  <w:vAlign w:val="center"/>
                </w:tcPr>
                <w:p w14:paraId="2AFF18CD">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标准值</w:t>
                  </w:r>
                </w:p>
              </w:tc>
            </w:tr>
            <w:tr w14:paraId="65B721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restart"/>
                  <w:tcBorders>
                    <w:tl2br w:val="nil"/>
                    <w:tr2bl w:val="nil"/>
                  </w:tcBorders>
                  <w:vAlign w:val="center"/>
                </w:tcPr>
                <w:p w14:paraId="569C40E4">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厂界北</w:t>
                  </w:r>
                </w:p>
              </w:tc>
              <w:tc>
                <w:tcPr>
                  <w:tcW w:w="637" w:type="pct"/>
                  <w:tcBorders>
                    <w:tl2br w:val="nil"/>
                    <w:tr2bl w:val="nil"/>
                  </w:tcBorders>
                  <w:vAlign w:val="center"/>
                </w:tcPr>
                <w:p w14:paraId="2CB84556">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昼间</w:t>
                  </w:r>
                </w:p>
              </w:tc>
              <w:tc>
                <w:tcPr>
                  <w:tcW w:w="898" w:type="pct"/>
                  <w:tcBorders>
                    <w:tl2br w:val="nil"/>
                    <w:tr2bl w:val="nil"/>
                  </w:tcBorders>
                  <w:vAlign w:val="center"/>
                </w:tcPr>
                <w:p w14:paraId="66B892AF">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48.07</w:t>
                  </w:r>
                </w:p>
              </w:tc>
              <w:tc>
                <w:tcPr>
                  <w:tcW w:w="917" w:type="pct"/>
                  <w:tcBorders>
                    <w:tl2br w:val="nil"/>
                    <w:tr2bl w:val="nil"/>
                  </w:tcBorders>
                  <w:vAlign w:val="center"/>
                </w:tcPr>
                <w:p w14:paraId="6FF59153">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54</w:t>
                  </w:r>
                </w:p>
              </w:tc>
              <w:tc>
                <w:tcPr>
                  <w:tcW w:w="790" w:type="pct"/>
                  <w:tcBorders>
                    <w:tl2br w:val="nil"/>
                    <w:tr2bl w:val="nil"/>
                  </w:tcBorders>
                  <w:vAlign w:val="center"/>
                </w:tcPr>
                <w:p w14:paraId="4F2EC360">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54.99</w:t>
                  </w:r>
                </w:p>
              </w:tc>
              <w:tc>
                <w:tcPr>
                  <w:tcW w:w="713" w:type="pct"/>
                  <w:tcBorders>
                    <w:tl2br w:val="nil"/>
                    <w:tr2bl w:val="nil"/>
                  </w:tcBorders>
                  <w:vAlign w:val="center"/>
                </w:tcPr>
                <w:p w14:paraId="5EE4F2E7">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65</w:t>
                  </w:r>
                </w:p>
              </w:tc>
              <w:tc>
                <w:tcPr>
                  <w:tcW w:w="520" w:type="pct"/>
                  <w:tcBorders>
                    <w:tl2br w:val="nil"/>
                    <w:tr2bl w:val="nil"/>
                  </w:tcBorders>
                  <w:vAlign w:val="center"/>
                </w:tcPr>
                <w:p w14:paraId="73C8C4EB">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w:t>
                  </w:r>
                </w:p>
              </w:tc>
            </w:tr>
            <w:tr w14:paraId="7ADEEA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tcBorders>
                    <w:tl2br w:val="nil"/>
                    <w:tr2bl w:val="nil"/>
                  </w:tcBorders>
                  <w:vAlign w:val="center"/>
                </w:tcPr>
                <w:p w14:paraId="74483253">
                  <w:pPr>
                    <w:pStyle w:val="45"/>
                    <w:bidi w:val="0"/>
                    <w:rPr>
                      <w:rFonts w:hint="default" w:ascii="Times New Roman" w:hAnsi="Times New Roman" w:eastAsia="宋体" w:cs="Times New Roman"/>
                      <w:color w:val="auto"/>
                      <w:sz w:val="18"/>
                      <w:szCs w:val="18"/>
                      <w:lang w:val="en-US" w:eastAsia="zh-CN"/>
                    </w:rPr>
                  </w:pPr>
                </w:p>
              </w:tc>
              <w:tc>
                <w:tcPr>
                  <w:tcW w:w="637" w:type="pct"/>
                  <w:tcBorders>
                    <w:tl2br w:val="nil"/>
                    <w:tr2bl w:val="nil"/>
                  </w:tcBorders>
                  <w:vAlign w:val="center"/>
                </w:tcPr>
                <w:p w14:paraId="632A56E6">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夜间</w:t>
                  </w:r>
                </w:p>
              </w:tc>
              <w:tc>
                <w:tcPr>
                  <w:tcW w:w="898" w:type="pct"/>
                  <w:tcBorders>
                    <w:tl2br w:val="nil"/>
                    <w:tr2bl w:val="nil"/>
                  </w:tcBorders>
                  <w:vAlign w:val="center"/>
                </w:tcPr>
                <w:p w14:paraId="33B4D7A7">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48.07</w:t>
                  </w:r>
                </w:p>
              </w:tc>
              <w:tc>
                <w:tcPr>
                  <w:tcW w:w="917" w:type="pct"/>
                  <w:tcBorders>
                    <w:tl2br w:val="nil"/>
                    <w:tr2bl w:val="nil"/>
                  </w:tcBorders>
                  <w:vAlign w:val="center"/>
                </w:tcPr>
                <w:p w14:paraId="3AD6E8E2">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49</w:t>
                  </w:r>
                </w:p>
              </w:tc>
              <w:tc>
                <w:tcPr>
                  <w:tcW w:w="790" w:type="pct"/>
                  <w:tcBorders>
                    <w:tl2br w:val="nil"/>
                    <w:tr2bl w:val="nil"/>
                  </w:tcBorders>
                  <w:vAlign w:val="center"/>
                </w:tcPr>
                <w:p w14:paraId="3B246E85">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51.57</w:t>
                  </w:r>
                </w:p>
              </w:tc>
              <w:tc>
                <w:tcPr>
                  <w:tcW w:w="713" w:type="pct"/>
                  <w:tcBorders>
                    <w:tl2br w:val="nil"/>
                    <w:tr2bl w:val="nil"/>
                  </w:tcBorders>
                  <w:vAlign w:val="center"/>
                </w:tcPr>
                <w:p w14:paraId="57DA8EE5">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55</w:t>
                  </w:r>
                </w:p>
              </w:tc>
              <w:tc>
                <w:tcPr>
                  <w:tcW w:w="520" w:type="pct"/>
                  <w:tcBorders>
                    <w:tl2br w:val="nil"/>
                    <w:tr2bl w:val="nil"/>
                  </w:tcBorders>
                  <w:vAlign w:val="center"/>
                </w:tcPr>
                <w:p w14:paraId="26A58853">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55</w:t>
                  </w:r>
                </w:p>
              </w:tc>
            </w:tr>
            <w:tr w14:paraId="5B2896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restart"/>
                  <w:tcBorders>
                    <w:tl2br w:val="nil"/>
                    <w:tr2bl w:val="nil"/>
                  </w:tcBorders>
                  <w:vAlign w:val="center"/>
                </w:tcPr>
                <w:p w14:paraId="44ADDE65">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厂界东</w:t>
                  </w:r>
                </w:p>
              </w:tc>
              <w:tc>
                <w:tcPr>
                  <w:tcW w:w="637" w:type="pct"/>
                  <w:tcBorders>
                    <w:tl2br w:val="nil"/>
                    <w:tr2bl w:val="nil"/>
                  </w:tcBorders>
                  <w:vAlign w:val="center"/>
                </w:tcPr>
                <w:p w14:paraId="79E2C422">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昼间</w:t>
                  </w:r>
                </w:p>
              </w:tc>
              <w:tc>
                <w:tcPr>
                  <w:tcW w:w="898" w:type="pct"/>
                  <w:tcBorders>
                    <w:tl2br w:val="nil"/>
                    <w:tr2bl w:val="nil"/>
                  </w:tcBorders>
                  <w:vAlign w:val="center"/>
                </w:tcPr>
                <w:p w14:paraId="1A24112C">
                  <w:pPr>
                    <w:pStyle w:val="45"/>
                    <w:bidi w:val="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45.83</w:t>
                  </w:r>
                </w:p>
              </w:tc>
              <w:tc>
                <w:tcPr>
                  <w:tcW w:w="917" w:type="pct"/>
                  <w:tcBorders>
                    <w:tl2br w:val="nil"/>
                    <w:tr2bl w:val="nil"/>
                  </w:tcBorders>
                  <w:vAlign w:val="center"/>
                </w:tcPr>
                <w:p w14:paraId="66406A4B">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57</w:t>
                  </w:r>
                </w:p>
              </w:tc>
              <w:tc>
                <w:tcPr>
                  <w:tcW w:w="790" w:type="pct"/>
                  <w:tcBorders>
                    <w:tl2br w:val="nil"/>
                    <w:tr2bl w:val="nil"/>
                  </w:tcBorders>
                  <w:vAlign w:val="center"/>
                </w:tcPr>
                <w:p w14:paraId="7CB7D77F">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57.32</w:t>
                  </w:r>
                </w:p>
              </w:tc>
              <w:tc>
                <w:tcPr>
                  <w:tcW w:w="713" w:type="pct"/>
                  <w:tcBorders>
                    <w:tl2br w:val="nil"/>
                    <w:tr2bl w:val="nil"/>
                  </w:tcBorders>
                  <w:vAlign w:val="center"/>
                </w:tcPr>
                <w:p w14:paraId="07B89F22">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65</w:t>
                  </w:r>
                </w:p>
              </w:tc>
              <w:tc>
                <w:tcPr>
                  <w:tcW w:w="520" w:type="pct"/>
                  <w:tcBorders>
                    <w:tl2br w:val="nil"/>
                    <w:tr2bl w:val="nil"/>
                  </w:tcBorders>
                  <w:vAlign w:val="center"/>
                </w:tcPr>
                <w:p w14:paraId="3A73E916">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w:t>
                  </w:r>
                </w:p>
              </w:tc>
            </w:tr>
            <w:tr w14:paraId="0063DE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tcBorders>
                    <w:tl2br w:val="nil"/>
                    <w:tr2bl w:val="nil"/>
                  </w:tcBorders>
                  <w:vAlign w:val="center"/>
                </w:tcPr>
                <w:p w14:paraId="7CCDC497">
                  <w:pPr>
                    <w:pStyle w:val="45"/>
                    <w:bidi w:val="0"/>
                    <w:rPr>
                      <w:rFonts w:hint="default" w:ascii="Times New Roman" w:hAnsi="Times New Roman" w:eastAsia="宋体" w:cs="Times New Roman"/>
                      <w:color w:val="auto"/>
                      <w:sz w:val="18"/>
                      <w:szCs w:val="18"/>
                      <w:lang w:val="en-US" w:eastAsia="zh-CN"/>
                    </w:rPr>
                  </w:pPr>
                </w:p>
              </w:tc>
              <w:tc>
                <w:tcPr>
                  <w:tcW w:w="637" w:type="pct"/>
                  <w:tcBorders>
                    <w:tl2br w:val="nil"/>
                    <w:tr2bl w:val="nil"/>
                  </w:tcBorders>
                  <w:vAlign w:val="center"/>
                </w:tcPr>
                <w:p w14:paraId="1279A140">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夜间</w:t>
                  </w:r>
                </w:p>
              </w:tc>
              <w:tc>
                <w:tcPr>
                  <w:tcW w:w="898" w:type="pct"/>
                  <w:tcBorders>
                    <w:tl2br w:val="nil"/>
                    <w:tr2bl w:val="nil"/>
                  </w:tcBorders>
                  <w:vAlign w:val="center"/>
                </w:tcPr>
                <w:p w14:paraId="39E1FA08">
                  <w:pPr>
                    <w:pStyle w:val="45"/>
                    <w:bidi w:val="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45.83</w:t>
                  </w:r>
                </w:p>
              </w:tc>
              <w:tc>
                <w:tcPr>
                  <w:tcW w:w="917" w:type="pct"/>
                  <w:tcBorders>
                    <w:tl2br w:val="nil"/>
                    <w:tr2bl w:val="nil"/>
                  </w:tcBorders>
                  <w:vAlign w:val="center"/>
                </w:tcPr>
                <w:p w14:paraId="5A2070E1">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49</w:t>
                  </w:r>
                </w:p>
              </w:tc>
              <w:tc>
                <w:tcPr>
                  <w:tcW w:w="790" w:type="pct"/>
                  <w:tcBorders>
                    <w:tl2br w:val="nil"/>
                    <w:tr2bl w:val="nil"/>
                  </w:tcBorders>
                  <w:vAlign w:val="center"/>
                </w:tcPr>
                <w:p w14:paraId="10919B1B">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50.71</w:t>
                  </w:r>
                </w:p>
              </w:tc>
              <w:tc>
                <w:tcPr>
                  <w:tcW w:w="713" w:type="pct"/>
                  <w:tcBorders>
                    <w:tl2br w:val="nil"/>
                    <w:tr2bl w:val="nil"/>
                  </w:tcBorders>
                  <w:vAlign w:val="center"/>
                </w:tcPr>
                <w:p w14:paraId="61522446">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55</w:t>
                  </w:r>
                </w:p>
              </w:tc>
              <w:tc>
                <w:tcPr>
                  <w:tcW w:w="520" w:type="pct"/>
                  <w:tcBorders>
                    <w:tl2br w:val="nil"/>
                    <w:tr2bl w:val="nil"/>
                  </w:tcBorders>
                  <w:vAlign w:val="center"/>
                </w:tcPr>
                <w:p w14:paraId="6656C285">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55</w:t>
                  </w:r>
                </w:p>
              </w:tc>
            </w:tr>
            <w:tr w14:paraId="20E455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restart"/>
                  <w:tcBorders>
                    <w:tl2br w:val="nil"/>
                    <w:tr2bl w:val="nil"/>
                  </w:tcBorders>
                  <w:vAlign w:val="center"/>
                </w:tcPr>
                <w:p w14:paraId="76428CE5">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厂界南</w:t>
                  </w:r>
                </w:p>
              </w:tc>
              <w:tc>
                <w:tcPr>
                  <w:tcW w:w="637" w:type="pct"/>
                  <w:tcBorders>
                    <w:tl2br w:val="nil"/>
                    <w:tr2bl w:val="nil"/>
                  </w:tcBorders>
                  <w:vAlign w:val="center"/>
                </w:tcPr>
                <w:p w14:paraId="0FB042A7">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昼间</w:t>
                  </w:r>
                </w:p>
              </w:tc>
              <w:tc>
                <w:tcPr>
                  <w:tcW w:w="898" w:type="pct"/>
                  <w:tcBorders>
                    <w:tl2br w:val="nil"/>
                    <w:tr2bl w:val="nil"/>
                  </w:tcBorders>
                  <w:vAlign w:val="center"/>
                </w:tcPr>
                <w:p w14:paraId="165C1AA3">
                  <w:pPr>
                    <w:pStyle w:val="45"/>
                    <w:bidi w:val="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48.22</w:t>
                  </w:r>
                </w:p>
              </w:tc>
              <w:tc>
                <w:tcPr>
                  <w:tcW w:w="917" w:type="pct"/>
                  <w:tcBorders>
                    <w:tl2br w:val="nil"/>
                    <w:tr2bl w:val="nil"/>
                  </w:tcBorders>
                  <w:vAlign w:val="center"/>
                </w:tcPr>
                <w:p w14:paraId="55D793F8">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56</w:t>
                  </w:r>
                </w:p>
              </w:tc>
              <w:tc>
                <w:tcPr>
                  <w:tcW w:w="790" w:type="pct"/>
                  <w:tcBorders>
                    <w:tl2br w:val="nil"/>
                    <w:tr2bl w:val="nil"/>
                  </w:tcBorders>
                  <w:vAlign w:val="center"/>
                </w:tcPr>
                <w:p w14:paraId="4C1C8072">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56.67</w:t>
                  </w:r>
                </w:p>
              </w:tc>
              <w:tc>
                <w:tcPr>
                  <w:tcW w:w="713" w:type="pct"/>
                  <w:tcBorders>
                    <w:tl2br w:val="nil"/>
                    <w:tr2bl w:val="nil"/>
                  </w:tcBorders>
                  <w:vAlign w:val="center"/>
                </w:tcPr>
                <w:p w14:paraId="3AF6814C">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65</w:t>
                  </w:r>
                </w:p>
              </w:tc>
              <w:tc>
                <w:tcPr>
                  <w:tcW w:w="520" w:type="pct"/>
                  <w:tcBorders>
                    <w:tl2br w:val="nil"/>
                    <w:tr2bl w:val="nil"/>
                  </w:tcBorders>
                  <w:vAlign w:val="center"/>
                </w:tcPr>
                <w:p w14:paraId="19DAB4DB">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w:t>
                  </w:r>
                </w:p>
              </w:tc>
            </w:tr>
            <w:tr w14:paraId="0DF199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tcBorders>
                    <w:tl2br w:val="nil"/>
                    <w:tr2bl w:val="nil"/>
                  </w:tcBorders>
                  <w:vAlign w:val="center"/>
                </w:tcPr>
                <w:p w14:paraId="198F49B0">
                  <w:pPr>
                    <w:pStyle w:val="45"/>
                    <w:bidi w:val="0"/>
                    <w:rPr>
                      <w:rFonts w:hint="default" w:ascii="Times New Roman" w:hAnsi="Times New Roman" w:eastAsia="宋体" w:cs="Times New Roman"/>
                      <w:color w:val="auto"/>
                      <w:sz w:val="18"/>
                      <w:szCs w:val="18"/>
                      <w:lang w:val="en-US" w:eastAsia="zh-CN"/>
                    </w:rPr>
                  </w:pPr>
                </w:p>
              </w:tc>
              <w:tc>
                <w:tcPr>
                  <w:tcW w:w="637" w:type="pct"/>
                  <w:tcBorders>
                    <w:tl2br w:val="nil"/>
                    <w:tr2bl w:val="nil"/>
                  </w:tcBorders>
                  <w:vAlign w:val="center"/>
                </w:tcPr>
                <w:p w14:paraId="4BF16B2B">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夜间</w:t>
                  </w:r>
                </w:p>
              </w:tc>
              <w:tc>
                <w:tcPr>
                  <w:tcW w:w="898" w:type="pct"/>
                  <w:tcBorders>
                    <w:tl2br w:val="nil"/>
                    <w:tr2bl w:val="nil"/>
                  </w:tcBorders>
                  <w:vAlign w:val="center"/>
                </w:tcPr>
                <w:p w14:paraId="054A9960">
                  <w:pPr>
                    <w:pStyle w:val="45"/>
                    <w:bidi w:val="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48.22</w:t>
                  </w:r>
                </w:p>
              </w:tc>
              <w:tc>
                <w:tcPr>
                  <w:tcW w:w="917" w:type="pct"/>
                  <w:tcBorders>
                    <w:tl2br w:val="nil"/>
                    <w:tr2bl w:val="nil"/>
                  </w:tcBorders>
                  <w:vAlign w:val="center"/>
                </w:tcPr>
                <w:p w14:paraId="60AC0A7E">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790" w:type="pct"/>
                  <w:tcBorders>
                    <w:tl2br w:val="nil"/>
                    <w:tr2bl w:val="nil"/>
                  </w:tcBorders>
                  <w:vAlign w:val="center"/>
                </w:tcPr>
                <w:p w14:paraId="4F262547">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52.21</w:t>
                  </w:r>
                </w:p>
              </w:tc>
              <w:tc>
                <w:tcPr>
                  <w:tcW w:w="713" w:type="pct"/>
                  <w:tcBorders>
                    <w:tl2br w:val="nil"/>
                    <w:tr2bl w:val="nil"/>
                  </w:tcBorders>
                  <w:vAlign w:val="center"/>
                </w:tcPr>
                <w:p w14:paraId="3D0C6E12">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55</w:t>
                  </w:r>
                </w:p>
              </w:tc>
              <w:tc>
                <w:tcPr>
                  <w:tcW w:w="520" w:type="pct"/>
                  <w:tcBorders>
                    <w:tl2br w:val="nil"/>
                    <w:tr2bl w:val="nil"/>
                  </w:tcBorders>
                  <w:vAlign w:val="center"/>
                </w:tcPr>
                <w:p w14:paraId="6E754D94">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55</w:t>
                  </w:r>
                </w:p>
              </w:tc>
            </w:tr>
            <w:tr w14:paraId="158E23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restart"/>
                  <w:tcBorders>
                    <w:tl2br w:val="nil"/>
                    <w:tr2bl w:val="nil"/>
                  </w:tcBorders>
                  <w:vAlign w:val="center"/>
                </w:tcPr>
                <w:p w14:paraId="5FD70A58">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厂界西</w:t>
                  </w:r>
                </w:p>
              </w:tc>
              <w:tc>
                <w:tcPr>
                  <w:tcW w:w="637" w:type="pct"/>
                  <w:tcBorders>
                    <w:tl2br w:val="nil"/>
                    <w:tr2bl w:val="nil"/>
                  </w:tcBorders>
                  <w:vAlign w:val="center"/>
                </w:tcPr>
                <w:p w14:paraId="5DA4ED4B">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昼间</w:t>
                  </w:r>
                </w:p>
              </w:tc>
              <w:tc>
                <w:tcPr>
                  <w:tcW w:w="898" w:type="pct"/>
                  <w:tcBorders>
                    <w:tl2br w:val="nil"/>
                    <w:tr2bl w:val="nil"/>
                  </w:tcBorders>
                  <w:vAlign w:val="center"/>
                </w:tcPr>
                <w:p w14:paraId="57ECCA59">
                  <w:pPr>
                    <w:pStyle w:val="45"/>
                    <w:bidi w:val="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50.86</w:t>
                  </w:r>
                </w:p>
              </w:tc>
              <w:tc>
                <w:tcPr>
                  <w:tcW w:w="917" w:type="pct"/>
                  <w:tcBorders>
                    <w:tl2br w:val="nil"/>
                    <w:tr2bl w:val="nil"/>
                  </w:tcBorders>
                  <w:vAlign w:val="center"/>
                </w:tcPr>
                <w:p w14:paraId="779CCE9F">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58</w:t>
                  </w:r>
                </w:p>
              </w:tc>
              <w:tc>
                <w:tcPr>
                  <w:tcW w:w="790" w:type="pct"/>
                  <w:tcBorders>
                    <w:tl2br w:val="nil"/>
                    <w:tr2bl w:val="nil"/>
                  </w:tcBorders>
                  <w:vAlign w:val="center"/>
                </w:tcPr>
                <w:p w14:paraId="71D824EF">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58.77</w:t>
                  </w:r>
                </w:p>
              </w:tc>
              <w:tc>
                <w:tcPr>
                  <w:tcW w:w="713" w:type="pct"/>
                  <w:tcBorders>
                    <w:tl2br w:val="nil"/>
                    <w:tr2bl w:val="nil"/>
                  </w:tcBorders>
                  <w:vAlign w:val="center"/>
                </w:tcPr>
                <w:p w14:paraId="468A89C4">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65</w:t>
                  </w:r>
                </w:p>
              </w:tc>
              <w:tc>
                <w:tcPr>
                  <w:tcW w:w="520" w:type="pct"/>
                  <w:tcBorders>
                    <w:tl2br w:val="nil"/>
                    <w:tr2bl w:val="nil"/>
                  </w:tcBorders>
                  <w:vAlign w:val="center"/>
                </w:tcPr>
                <w:p w14:paraId="0189E69D">
                  <w:pPr>
                    <w:pStyle w:val="45"/>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w:t>
                  </w:r>
                </w:p>
              </w:tc>
            </w:tr>
            <w:tr w14:paraId="27749F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tcBorders>
                    <w:tl2br w:val="nil"/>
                    <w:tr2bl w:val="nil"/>
                  </w:tcBorders>
                  <w:vAlign w:val="center"/>
                </w:tcPr>
                <w:p w14:paraId="11EC3DCE">
                  <w:pPr>
                    <w:pStyle w:val="45"/>
                    <w:bidi w:val="0"/>
                    <w:rPr>
                      <w:rFonts w:hint="default" w:ascii="Times New Roman" w:hAnsi="Times New Roman" w:eastAsia="宋体" w:cs="Times New Roman"/>
                      <w:color w:val="auto"/>
                      <w:sz w:val="18"/>
                      <w:szCs w:val="18"/>
                      <w:lang w:val="en-US" w:eastAsia="zh-CN"/>
                    </w:rPr>
                  </w:pPr>
                </w:p>
              </w:tc>
              <w:tc>
                <w:tcPr>
                  <w:tcW w:w="637" w:type="pct"/>
                  <w:tcBorders>
                    <w:tl2br w:val="nil"/>
                    <w:tr2bl w:val="nil"/>
                  </w:tcBorders>
                  <w:vAlign w:val="center"/>
                </w:tcPr>
                <w:p w14:paraId="1382F79C">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夜间</w:t>
                  </w:r>
                </w:p>
              </w:tc>
              <w:tc>
                <w:tcPr>
                  <w:tcW w:w="898" w:type="pct"/>
                  <w:tcBorders>
                    <w:tl2br w:val="nil"/>
                    <w:tr2bl w:val="nil"/>
                  </w:tcBorders>
                  <w:vAlign w:val="center"/>
                </w:tcPr>
                <w:p w14:paraId="7D7130FE">
                  <w:pPr>
                    <w:pStyle w:val="45"/>
                    <w:bidi w:val="0"/>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50.86</w:t>
                  </w:r>
                </w:p>
              </w:tc>
              <w:tc>
                <w:tcPr>
                  <w:tcW w:w="917" w:type="pct"/>
                  <w:tcBorders>
                    <w:tl2br w:val="nil"/>
                    <w:tr2bl w:val="nil"/>
                  </w:tcBorders>
                  <w:vAlign w:val="center"/>
                </w:tcPr>
                <w:p w14:paraId="5439339D">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49</w:t>
                  </w:r>
                </w:p>
              </w:tc>
              <w:tc>
                <w:tcPr>
                  <w:tcW w:w="790" w:type="pct"/>
                  <w:tcBorders>
                    <w:tl2br w:val="nil"/>
                    <w:tr2bl w:val="nil"/>
                  </w:tcBorders>
                  <w:vAlign w:val="center"/>
                </w:tcPr>
                <w:p w14:paraId="02A1150F">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53.04</w:t>
                  </w:r>
                </w:p>
              </w:tc>
              <w:tc>
                <w:tcPr>
                  <w:tcW w:w="713" w:type="pct"/>
                  <w:tcBorders>
                    <w:tl2br w:val="nil"/>
                    <w:tr2bl w:val="nil"/>
                  </w:tcBorders>
                  <w:vAlign w:val="center"/>
                </w:tcPr>
                <w:p w14:paraId="5401DEA8">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55</w:t>
                  </w:r>
                </w:p>
              </w:tc>
              <w:tc>
                <w:tcPr>
                  <w:tcW w:w="520" w:type="pct"/>
                  <w:tcBorders>
                    <w:tl2br w:val="nil"/>
                    <w:tr2bl w:val="nil"/>
                  </w:tcBorders>
                  <w:vAlign w:val="center"/>
                </w:tcPr>
                <w:p w14:paraId="5D1B1A5F">
                  <w:pPr>
                    <w:pStyle w:val="45"/>
                    <w:bidi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55</w:t>
                  </w:r>
                </w:p>
              </w:tc>
            </w:tr>
            <w:tr w14:paraId="18A23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tcBorders>
                    <w:tl2br w:val="nil"/>
                    <w:tr2bl w:val="nil"/>
                  </w:tcBorders>
                  <w:vAlign w:val="center"/>
                </w:tcPr>
                <w:p w14:paraId="335AD5C9">
                  <w:pPr>
                    <w:pStyle w:val="53"/>
                    <w:bidi w:val="0"/>
                    <w:jc w:val="left"/>
                    <w:rPr>
                      <w:rFonts w:hint="eastAsia"/>
                      <w:color w:val="auto"/>
                      <w:highlight w:val="none"/>
                      <w:lang w:val="en-US" w:eastAsia="zh-CN"/>
                    </w:rPr>
                  </w:pPr>
                  <w:r>
                    <w:rPr>
                      <w:rFonts w:hint="eastAsia"/>
                      <w:color w:val="auto"/>
                      <w:highlight w:val="none"/>
                      <w:lang w:val="en-US" w:eastAsia="zh-CN"/>
                    </w:rPr>
                    <w:t>注：（1）以上厂界为易门铜业有限公司总厂界。</w:t>
                  </w:r>
                </w:p>
                <w:p w14:paraId="46C5626A">
                  <w:pPr>
                    <w:pStyle w:val="45"/>
                    <w:bidi w:val="0"/>
                    <w:jc w:val="both"/>
                    <w:rPr>
                      <w:rFonts w:hint="eastAsia" w:ascii="Times New Roman" w:hAnsi="Times New Roman" w:eastAsia="宋体" w:cs="Times New Roman"/>
                      <w:color w:val="auto"/>
                      <w:sz w:val="18"/>
                      <w:szCs w:val="18"/>
                      <w:lang w:val="en-US" w:eastAsia="zh-CN"/>
                    </w:rPr>
                  </w:pPr>
                  <w:r>
                    <w:rPr>
                      <w:rFonts w:hint="eastAsia"/>
                      <w:color w:val="auto"/>
                      <w:highlight w:val="none"/>
                      <w:lang w:val="en-US" w:eastAsia="zh-CN"/>
                    </w:rPr>
                    <w:t>（2）噪声背景值数据选取易门铜业有限公司2025年第四季度及2026年第一季度自行监测报告中的最大值。</w:t>
                  </w:r>
                </w:p>
              </w:tc>
            </w:tr>
          </w:tbl>
          <w:p w14:paraId="6B9741DB">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）预测评价</w:t>
            </w:r>
          </w:p>
          <w:p w14:paraId="7680659B">
            <w:pPr>
              <w:pStyle w:val="46"/>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由预测</w:t>
            </w:r>
            <w:r>
              <w:rPr>
                <w:rFonts w:hint="eastAsia" w:ascii="Times New Roman" w:hAnsi="Times New Roman" w:cs="Times New Roman"/>
                <w:color w:val="auto"/>
                <w:sz w:val="24"/>
                <w:szCs w:val="24"/>
                <w:lang w:val="en-US" w:eastAsia="zh-CN"/>
              </w:rPr>
              <w:t>结果</w:t>
            </w:r>
            <w:r>
              <w:rPr>
                <w:rFonts w:hint="default" w:ascii="Times New Roman" w:hAnsi="Times New Roman" w:eastAsia="宋体" w:cs="Times New Roman"/>
                <w:color w:val="auto"/>
                <w:sz w:val="24"/>
                <w:szCs w:val="24"/>
              </w:rPr>
              <w:t>可以看出，</w:t>
            </w:r>
            <w:r>
              <w:rPr>
                <w:rFonts w:hint="eastAsia" w:cs="Times New Roman"/>
                <w:color w:val="auto"/>
                <w:sz w:val="24"/>
                <w:szCs w:val="24"/>
                <w:highlight w:val="none"/>
                <w:lang w:val="en-US" w:eastAsia="zh-CN"/>
              </w:rPr>
              <w:t>噪声预测最大值为厂界西侧昼间58.77dB（A），夜间53.04dB（A）</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项目昼间</w:t>
            </w:r>
            <w:r>
              <w:rPr>
                <w:rFonts w:hint="eastAsia" w:ascii="Times New Roman" w:hAnsi="Times New Roman" w:cs="Times New Roman"/>
                <w:color w:val="auto"/>
                <w:sz w:val="24"/>
                <w:szCs w:val="24"/>
                <w:lang w:val="en-US" w:eastAsia="zh-CN"/>
              </w:rPr>
              <w:t>和夜间</w:t>
            </w: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预测噪声能达到《工业企业厂界环境噪声排放标准》（GB12348-2008）3类标准限值要求。</w:t>
            </w:r>
          </w:p>
          <w:p w14:paraId="1D472F62">
            <w:pPr>
              <w:pStyle w:val="46"/>
              <w:keepNext w:val="0"/>
              <w:keepLines w:val="0"/>
              <w:pageBreakBefore w:val="0"/>
              <w:kinsoku/>
              <w:wordWrap/>
              <w:overflowPunct/>
              <w:topLinePunct w:val="0"/>
              <w:autoSpaceDE/>
              <w:autoSpaceDN/>
              <w:bidi w:val="0"/>
              <w:snapToGrid/>
              <w:spacing w:line="360" w:lineRule="auto"/>
              <w:ind w:firstLine="482" w:firstLineChars="200"/>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sz w:val="24"/>
                <w:shd w:val="clear" w:color="auto" w:fill="FFFFFF"/>
                <w:lang w:val="en-US" w:eastAsia="zh-CN"/>
              </w:rPr>
              <w:t>2、环境保护措施</w:t>
            </w:r>
          </w:p>
          <w:p w14:paraId="09FA9DF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本项目机械设备运转产生的噪声经减振、墙体隔声、距离衰减后，经预测本项目厂区设备噪声在</w:t>
            </w:r>
            <w:r>
              <w:rPr>
                <w:rFonts w:hint="default" w:ascii="Times New Roman" w:hAnsi="Times New Roman" w:eastAsia="宋体" w:cs="Times New Roman"/>
                <w:color w:val="auto"/>
                <w:sz w:val="24"/>
                <w:szCs w:val="24"/>
                <w:lang w:val="en-US" w:eastAsia="zh-CN"/>
              </w:rPr>
              <w:t>西、</w:t>
            </w:r>
            <w:r>
              <w:rPr>
                <w:rFonts w:hint="default" w:ascii="Times New Roman" w:hAnsi="Times New Roman" w:eastAsia="宋体" w:cs="Times New Roman"/>
                <w:color w:val="auto"/>
                <w:sz w:val="24"/>
                <w:szCs w:val="24"/>
              </w:rPr>
              <w:t>南、东、北厂界均可达到《工业企业厂界环境噪声排放标准》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3类标准，项目周围主要为工业企业和道路，距离居民区距离较远，与项目距离均大于</w:t>
            </w:r>
            <w:r>
              <w:rPr>
                <w:rFonts w:hint="default" w:ascii="Times New Roman" w:hAnsi="Times New Roman" w:eastAsia="宋体" w:cs="Times New Roman"/>
                <w:color w:val="auto"/>
                <w:sz w:val="24"/>
                <w:szCs w:val="24"/>
                <w:lang w:val="en-US"/>
              </w:rPr>
              <w:t>50</w:t>
            </w:r>
            <w:r>
              <w:rPr>
                <w:rFonts w:hint="default" w:ascii="Times New Roman" w:hAnsi="Times New Roman" w:eastAsia="宋体" w:cs="Times New Roman"/>
                <w:color w:val="auto"/>
                <w:sz w:val="24"/>
                <w:szCs w:val="24"/>
              </w:rPr>
              <w:t>m，项目运营期产生的噪声对周围环境保护目标影响较小。</w:t>
            </w:r>
          </w:p>
          <w:p w14:paraId="09FE6E8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为了减小噪声对区域声环境的不利影响，本环评要求采取如下噪声防治措施：</w:t>
            </w:r>
          </w:p>
          <w:p w14:paraId="00D93AA2">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①优化厂区布局，将产生噪声较高</w:t>
            </w:r>
            <w:r>
              <w:rPr>
                <w:rFonts w:hint="eastAsia" w:ascii="Times New Roman" w:hAnsi="Times New Roman" w:cs="Times New Roman"/>
                <w:color w:val="auto"/>
                <w:sz w:val="24"/>
                <w:szCs w:val="24"/>
                <w:lang w:val="en-US" w:eastAsia="zh-CN"/>
              </w:rPr>
              <w:t>设备</w:t>
            </w:r>
            <w:r>
              <w:rPr>
                <w:rFonts w:hint="default" w:ascii="Times New Roman" w:hAnsi="Times New Roman" w:eastAsia="宋体" w:cs="Times New Roman"/>
                <w:color w:val="auto"/>
                <w:sz w:val="24"/>
                <w:szCs w:val="24"/>
              </w:rPr>
              <w:t>布置于场地中部，在东侧应考虑增加项目围挡；</w:t>
            </w:r>
          </w:p>
          <w:p w14:paraId="0B236E31">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②对于空气动力性噪声的机械设备，出风口加装消声器，并将高噪声布置在生产车间内，并安装减震垫；</w:t>
            </w:r>
          </w:p>
          <w:p w14:paraId="5492248C">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③强化行车管理制度，厂区内严禁鸣号，进入厂区低速行驶，最大限度减少流动噪声源；</w:t>
            </w:r>
          </w:p>
          <w:p w14:paraId="3E1BFC62">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④建立设备定期维护、保养的管理制度，避免设备运转非正常噪声。</w:t>
            </w:r>
          </w:p>
          <w:p w14:paraId="2AA003A6">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kern w:val="2"/>
                <w:sz w:val="24"/>
                <w:szCs w:val="24"/>
                <w:lang w:val="en-US" w:eastAsia="zh-CN"/>
              </w:rPr>
              <w:t>加强绿化工作，在厂房周围设置绿化带，及美化环境，又可以起到降噪效果。</w:t>
            </w:r>
          </w:p>
          <w:p w14:paraId="4F0C75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在严格采取上述对策防治措施后，项目厂界噪声可达《工业企业厂界环境噪声排放标准》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3类标准，噪声对区域声环境影响不大。</w:t>
            </w:r>
          </w:p>
          <w:p w14:paraId="6DE43BA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sz w:val="24"/>
                <w:shd w:val="clear" w:color="auto" w:fill="FFFFFF"/>
                <w:lang w:val="en-US" w:eastAsia="zh-CN"/>
              </w:rPr>
            </w:pPr>
            <w:r>
              <w:rPr>
                <w:rFonts w:hint="default" w:ascii="Times New Roman" w:hAnsi="Times New Roman" w:eastAsia="宋体" w:cs="Times New Roman"/>
                <w:b/>
                <w:bCs/>
                <w:color w:val="auto"/>
                <w:sz w:val="24"/>
                <w:shd w:val="clear" w:color="auto" w:fill="FFFFFF"/>
                <w:lang w:val="en-US" w:eastAsia="zh-CN"/>
              </w:rPr>
              <w:t>3、措施可行性分析</w:t>
            </w:r>
          </w:p>
          <w:p w14:paraId="197ABD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项目生产设备在选型上充分注意选择低噪声设备，同时安装隔声垫，设备噪声经厂房屏障、距离衰减作用后，</w:t>
            </w:r>
            <w:r>
              <w:rPr>
                <w:rFonts w:hint="default" w:ascii="Times New Roman" w:hAnsi="Times New Roman" w:eastAsia="宋体" w:cs="Times New Roman"/>
                <w:bCs/>
                <w:color w:val="auto"/>
                <w:sz w:val="24"/>
              </w:rPr>
              <w:t>项目厂界噪声可满足</w:t>
            </w:r>
            <w:r>
              <w:rPr>
                <w:rFonts w:hint="default" w:ascii="Times New Roman" w:hAnsi="Times New Roman" w:eastAsia="宋体" w:cs="Times New Roman"/>
                <w:color w:val="auto"/>
                <w:sz w:val="24"/>
                <w:szCs w:val="24"/>
                <w:lang w:val="en-US" w:eastAsia="zh-CN"/>
              </w:rPr>
              <w:t>《工业企业厂界环境噪声排放标准》（GB12348-2008）3类标准</w:t>
            </w:r>
            <w:r>
              <w:rPr>
                <w:rFonts w:hint="default" w:ascii="Times New Roman" w:hAnsi="Times New Roman" w:eastAsia="宋体" w:cs="Times New Roman"/>
                <w:bCs/>
                <w:color w:val="auto"/>
                <w:sz w:val="24"/>
              </w:rPr>
              <w:t>要求，厂界噪声达标。</w:t>
            </w:r>
          </w:p>
          <w:p w14:paraId="155A088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hd w:val="clear" w:color="auto" w:fill="FFFFFF"/>
                <w:lang w:val="en-US" w:eastAsia="zh-CN"/>
              </w:rPr>
              <w:t>4、结论</w:t>
            </w:r>
          </w:p>
          <w:p w14:paraId="4128E146">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厂界外</w:t>
            </w:r>
            <w:r>
              <w:rPr>
                <w:rFonts w:hint="default" w:ascii="Times New Roman" w:hAnsi="Times New Roman" w:eastAsia="宋体" w:cs="Times New Roman"/>
                <w:color w:val="auto"/>
                <w:kern w:val="0"/>
                <w:sz w:val="24"/>
                <w:lang w:val="en-US" w:eastAsia="zh-CN"/>
              </w:rPr>
              <w:t>50</w:t>
            </w:r>
            <w:r>
              <w:rPr>
                <w:rFonts w:hint="default" w:ascii="Times New Roman" w:hAnsi="Times New Roman" w:eastAsia="宋体" w:cs="Times New Roman"/>
                <w:color w:val="auto"/>
                <w:kern w:val="0"/>
                <w:sz w:val="24"/>
              </w:rPr>
              <w:t>m范围内无敏感目标，</w:t>
            </w:r>
            <w:r>
              <w:rPr>
                <w:rFonts w:hint="default" w:ascii="Times New Roman" w:hAnsi="Times New Roman" w:eastAsia="宋体" w:cs="Times New Roman"/>
                <w:color w:val="auto"/>
                <w:sz w:val="24"/>
                <w:lang w:bidi="ar"/>
              </w:rPr>
              <w:t>项目运营后其外排噪声昼间</w:t>
            </w:r>
            <w:r>
              <w:rPr>
                <w:rFonts w:hint="eastAsia" w:ascii="Times New Roman" w:hAnsi="Times New Roman" w:cs="Times New Roman"/>
                <w:color w:val="auto"/>
                <w:sz w:val="24"/>
                <w:lang w:val="en-US" w:eastAsia="zh-CN" w:bidi="ar"/>
              </w:rPr>
              <w:t>和夜间</w:t>
            </w:r>
            <w:r>
              <w:rPr>
                <w:rFonts w:hint="default" w:ascii="Times New Roman" w:hAnsi="Times New Roman" w:eastAsia="宋体" w:cs="Times New Roman"/>
                <w:color w:val="auto"/>
                <w:sz w:val="24"/>
                <w:lang w:bidi="ar"/>
              </w:rPr>
              <w:t>各厂界均可以达到《工业企业厂界环境噪声</w:t>
            </w:r>
            <w:r>
              <w:rPr>
                <w:rFonts w:hint="default" w:ascii="Times New Roman" w:hAnsi="Times New Roman" w:eastAsia="宋体" w:cs="Times New Roman"/>
                <w:color w:val="auto"/>
                <w:sz w:val="24"/>
              </w:rPr>
              <w:t>排放标准》（GB12348-2008）</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类标准要求</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对</w:t>
            </w:r>
            <w:r>
              <w:rPr>
                <w:rFonts w:hint="default" w:ascii="Times New Roman" w:hAnsi="Times New Roman" w:eastAsia="宋体" w:cs="Times New Roman"/>
                <w:color w:val="auto"/>
                <w:sz w:val="24"/>
                <w:lang w:val="en-US" w:eastAsia="zh-CN"/>
              </w:rPr>
              <w:t>周边环境影响较小</w:t>
            </w:r>
            <w:r>
              <w:rPr>
                <w:rFonts w:hint="default" w:ascii="Times New Roman" w:hAnsi="Times New Roman" w:eastAsia="宋体" w:cs="Times New Roman"/>
                <w:color w:val="auto"/>
                <w:sz w:val="24"/>
              </w:rPr>
              <w:t>。</w:t>
            </w:r>
          </w:p>
          <w:p w14:paraId="22BDE72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hd w:val="clear" w:color="auto" w:fill="FFFFFF"/>
                <w:lang w:val="en-US" w:eastAsia="zh-CN"/>
              </w:rPr>
              <w:t>5、噪声监测计划</w:t>
            </w:r>
          </w:p>
          <w:p w14:paraId="2F1240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w:t>
            </w:r>
            <w:r>
              <w:rPr>
                <w:rFonts w:hint="eastAsia" w:cs="Times New Roman"/>
                <w:color w:val="auto"/>
                <w:sz w:val="24"/>
                <w:highlight w:val="none"/>
                <w:lang w:val="en-US" w:eastAsia="zh-CN"/>
              </w:rPr>
              <w:t>易门铜业厂区</w:t>
            </w:r>
            <w:r>
              <w:rPr>
                <w:rFonts w:hint="default" w:ascii="Times New Roman" w:hAnsi="Times New Roman" w:eastAsia="宋体" w:cs="Times New Roman"/>
                <w:color w:val="auto"/>
                <w:sz w:val="24"/>
                <w:highlight w:val="none"/>
              </w:rPr>
              <w:t>内，已按照</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排污单位自行监测技术指南有色金属工业</w:t>
            </w:r>
            <w:r>
              <w:rPr>
                <w:rFonts w:hint="eastAsia" w:cs="Times New Roman"/>
                <w:color w:val="auto"/>
                <w:sz w:val="24"/>
                <w:highlight w:val="none"/>
                <w:lang w:eastAsia="zh-CN"/>
              </w:rPr>
              <w:t>》（HJ 989-2018）</w:t>
            </w:r>
            <w:r>
              <w:rPr>
                <w:rFonts w:hint="default" w:ascii="Times New Roman" w:hAnsi="Times New Roman" w:eastAsia="宋体" w:cs="Times New Roman"/>
                <w:color w:val="auto"/>
                <w:sz w:val="24"/>
                <w:highlight w:val="none"/>
              </w:rPr>
              <w:t>要求进行了</w:t>
            </w:r>
            <w:r>
              <w:rPr>
                <w:rFonts w:hint="eastAsia" w:cs="Times New Roman"/>
                <w:color w:val="auto"/>
                <w:sz w:val="24"/>
                <w:highlight w:val="none"/>
                <w:lang w:val="en-US" w:eastAsia="zh-CN"/>
              </w:rPr>
              <w:t>噪声自行</w:t>
            </w:r>
            <w:r>
              <w:rPr>
                <w:rFonts w:hint="default" w:ascii="Times New Roman" w:hAnsi="Times New Roman" w:eastAsia="宋体" w:cs="Times New Roman"/>
                <w:color w:val="auto"/>
                <w:sz w:val="24"/>
                <w:highlight w:val="none"/>
              </w:rPr>
              <w:t>监测，</w:t>
            </w:r>
            <w:r>
              <w:rPr>
                <w:rFonts w:hint="eastAsia" w:cs="Times New Roman"/>
                <w:color w:val="auto"/>
                <w:sz w:val="24"/>
                <w:highlight w:val="none"/>
                <w:lang w:val="en-US" w:eastAsia="zh-CN"/>
              </w:rPr>
              <w:t>现有监测方案满足本项目，</w:t>
            </w:r>
            <w:r>
              <w:rPr>
                <w:rFonts w:hint="default" w:ascii="Times New Roman" w:hAnsi="Times New Roman" w:eastAsia="宋体" w:cs="Times New Roman"/>
                <w:color w:val="auto"/>
                <w:sz w:val="24"/>
                <w:highlight w:val="none"/>
              </w:rPr>
              <w:t>本项目不</w:t>
            </w:r>
            <w:r>
              <w:rPr>
                <w:rFonts w:hint="eastAsia" w:cs="Times New Roman"/>
                <w:color w:val="auto"/>
                <w:sz w:val="24"/>
                <w:highlight w:val="none"/>
                <w:lang w:val="en-US" w:eastAsia="zh-CN"/>
              </w:rPr>
              <w:t>再</w:t>
            </w:r>
            <w:r>
              <w:rPr>
                <w:rFonts w:hint="default" w:ascii="Times New Roman" w:hAnsi="Times New Roman" w:eastAsia="宋体" w:cs="Times New Roman"/>
                <w:color w:val="auto"/>
                <w:sz w:val="24"/>
                <w:highlight w:val="none"/>
              </w:rPr>
              <w:t>制定噪声监测计划，按照现有</w:t>
            </w:r>
            <w:r>
              <w:rPr>
                <w:rFonts w:hint="eastAsia" w:cs="Times New Roman"/>
                <w:color w:val="auto"/>
                <w:sz w:val="24"/>
                <w:highlight w:val="none"/>
                <w:lang w:val="en-US" w:eastAsia="zh-CN"/>
              </w:rPr>
              <w:t>总厂区</w:t>
            </w:r>
            <w:r>
              <w:rPr>
                <w:rFonts w:hint="default" w:ascii="Times New Roman" w:hAnsi="Times New Roman" w:eastAsia="宋体" w:cs="Times New Roman"/>
                <w:color w:val="auto"/>
                <w:sz w:val="24"/>
                <w:highlight w:val="none"/>
              </w:rPr>
              <w:t>监测计划进行</w:t>
            </w:r>
            <w:r>
              <w:rPr>
                <w:rFonts w:hint="eastAsia" w:cs="Times New Roman"/>
                <w:color w:val="auto"/>
                <w:sz w:val="24"/>
                <w:highlight w:val="none"/>
                <w:lang w:eastAsia="zh-CN"/>
              </w:rPr>
              <w:t>，</w:t>
            </w:r>
            <w:r>
              <w:rPr>
                <w:rFonts w:hint="eastAsia" w:cs="Times New Roman"/>
                <w:color w:val="auto"/>
                <w:sz w:val="24"/>
                <w:highlight w:val="none"/>
                <w:lang w:val="en-US" w:eastAsia="zh-CN"/>
              </w:rPr>
              <w:t>总厂区</w:t>
            </w:r>
            <w:r>
              <w:rPr>
                <w:rFonts w:hint="default" w:ascii="Times New Roman" w:hAnsi="Times New Roman" w:eastAsia="宋体" w:cs="Times New Roman"/>
                <w:color w:val="auto"/>
                <w:sz w:val="24"/>
                <w:highlight w:val="none"/>
              </w:rPr>
              <w:t>噪声监测计划及要求</w:t>
            </w:r>
            <w:r>
              <w:rPr>
                <w:rFonts w:hint="eastAsia" w:cs="Times New Roman"/>
                <w:color w:val="auto"/>
                <w:sz w:val="24"/>
                <w:highlight w:val="none"/>
                <w:lang w:val="en-US" w:eastAsia="zh-CN"/>
              </w:rPr>
              <w:t>见下表</w:t>
            </w:r>
            <w:r>
              <w:rPr>
                <w:rFonts w:hint="default" w:ascii="Times New Roman" w:hAnsi="Times New Roman" w:eastAsia="宋体" w:cs="Times New Roman"/>
                <w:color w:val="auto"/>
                <w:sz w:val="24"/>
                <w:highlight w:val="none"/>
              </w:rPr>
              <w:t>：</w:t>
            </w:r>
          </w:p>
          <w:p w14:paraId="2D8280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auto"/>
                <w:sz w:val="21"/>
                <w:szCs w:val="21"/>
                <w:highlight w:val="none"/>
              </w:rPr>
            </w:pPr>
            <w:r>
              <w:rPr>
                <w:rFonts w:hint="default" w:ascii="黑体" w:hAnsi="黑体" w:eastAsia="黑体" w:cs="黑体"/>
                <w:b w:val="0"/>
                <w:bCs/>
                <w:color w:val="auto"/>
                <w:kern w:val="2"/>
                <w:sz w:val="21"/>
                <w:szCs w:val="21"/>
                <w:lang w:val="en-US" w:eastAsia="zh-CN" w:bidi="ar-SA"/>
              </w:rPr>
              <w:t>表</w:t>
            </w:r>
            <w:r>
              <w:rPr>
                <w:rFonts w:hint="eastAsia" w:ascii="黑体" w:hAnsi="黑体" w:eastAsia="黑体" w:cs="黑体"/>
                <w:b w:val="0"/>
                <w:bCs/>
                <w:color w:val="auto"/>
                <w:kern w:val="2"/>
                <w:sz w:val="21"/>
                <w:szCs w:val="21"/>
                <w:lang w:val="en-US" w:eastAsia="zh-CN" w:bidi="ar-SA"/>
              </w:rPr>
              <w:t>4-13</w:t>
            </w:r>
            <w:r>
              <w:rPr>
                <w:rFonts w:hint="default" w:ascii="黑体" w:hAnsi="黑体" w:eastAsia="黑体" w:cs="黑体"/>
                <w:b w:val="0"/>
                <w:bCs/>
                <w:color w:val="auto"/>
                <w:kern w:val="2"/>
                <w:sz w:val="21"/>
                <w:szCs w:val="21"/>
                <w:lang w:val="en-US" w:eastAsia="zh-CN" w:bidi="ar-SA"/>
              </w:rPr>
              <w:t xml:space="preserve"> 噪声监测计划表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3"/>
              <w:gridCol w:w="997"/>
              <w:gridCol w:w="1271"/>
              <w:gridCol w:w="3370"/>
            </w:tblGrid>
            <w:tr w14:paraId="2985D2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9" w:type="pct"/>
                  <w:tcBorders>
                    <w:tl2br w:val="nil"/>
                    <w:tr2bl w:val="nil"/>
                  </w:tcBorders>
                  <w:noWrap w:val="0"/>
                  <w:vAlign w:val="center"/>
                </w:tcPr>
                <w:p w14:paraId="66CFFD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监测点位</w:t>
                  </w:r>
                </w:p>
              </w:tc>
              <w:tc>
                <w:tcPr>
                  <w:tcW w:w="635" w:type="pct"/>
                  <w:tcBorders>
                    <w:tl2br w:val="nil"/>
                    <w:tr2bl w:val="nil"/>
                  </w:tcBorders>
                  <w:noWrap w:val="0"/>
                  <w:vAlign w:val="center"/>
                </w:tcPr>
                <w:p w14:paraId="6B8A0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监测项目</w:t>
                  </w:r>
                </w:p>
              </w:tc>
              <w:tc>
                <w:tcPr>
                  <w:tcW w:w="809" w:type="pct"/>
                  <w:tcBorders>
                    <w:tl2br w:val="nil"/>
                    <w:tr2bl w:val="nil"/>
                  </w:tcBorders>
                  <w:noWrap w:val="0"/>
                  <w:vAlign w:val="center"/>
                </w:tcPr>
                <w:p w14:paraId="77299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监测频率</w:t>
                  </w:r>
                </w:p>
              </w:tc>
              <w:tc>
                <w:tcPr>
                  <w:tcW w:w="2145" w:type="pct"/>
                  <w:tcBorders>
                    <w:tl2br w:val="nil"/>
                    <w:tr2bl w:val="nil"/>
                  </w:tcBorders>
                  <w:noWrap w:val="0"/>
                  <w:vAlign w:val="center"/>
                </w:tcPr>
                <w:p w14:paraId="4C555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执行标准</w:t>
                  </w:r>
                </w:p>
              </w:tc>
            </w:tr>
            <w:tr w14:paraId="556753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9" w:type="pct"/>
                  <w:tcBorders>
                    <w:tl2br w:val="nil"/>
                    <w:tr2bl w:val="nil"/>
                  </w:tcBorders>
                  <w:noWrap w:val="0"/>
                  <w:vAlign w:val="center"/>
                </w:tcPr>
                <w:p w14:paraId="41E4E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eastAsiaTheme="minorEastAsia"/>
                      <w:color w:val="auto"/>
                      <w:spacing w:val="0"/>
                      <w:sz w:val="18"/>
                      <w:szCs w:val="18"/>
                      <w:highlight w:val="none"/>
                      <w:vertAlign w:val="baseline"/>
                      <w:lang w:val="en-US" w:eastAsia="zh-CN"/>
                    </w:rPr>
                    <w:t>易门铜业有限公司厂界四周</w:t>
                  </w:r>
                  <w:r>
                    <w:rPr>
                      <w:rFonts w:hint="eastAsia" w:cs="Times New Roman" w:eastAsiaTheme="minorEastAsia"/>
                      <w:color w:val="auto"/>
                      <w:spacing w:val="0"/>
                      <w:sz w:val="18"/>
                      <w:szCs w:val="18"/>
                      <w:highlight w:val="none"/>
                      <w:vertAlign w:val="baseline"/>
                      <w:lang w:val="en-US" w:eastAsia="zh-CN"/>
                    </w:rPr>
                    <w:t>（东、南、西、北侧）</w:t>
                  </w:r>
                  <w:r>
                    <w:rPr>
                      <w:rFonts w:hint="default" w:ascii="Times New Roman" w:hAnsi="Times New Roman" w:cs="Times New Roman" w:eastAsiaTheme="minorEastAsia"/>
                      <w:color w:val="auto"/>
                      <w:spacing w:val="0"/>
                      <w:sz w:val="18"/>
                      <w:szCs w:val="18"/>
                      <w:highlight w:val="none"/>
                      <w:vertAlign w:val="baseline"/>
                      <w:lang w:val="en-US" w:eastAsia="zh-CN"/>
                    </w:rPr>
                    <w:t>外1m，高度1m</w:t>
                  </w:r>
                </w:p>
              </w:tc>
              <w:tc>
                <w:tcPr>
                  <w:tcW w:w="997" w:type="dxa"/>
                  <w:tcBorders>
                    <w:tl2br w:val="nil"/>
                    <w:tr2bl w:val="nil"/>
                  </w:tcBorders>
                  <w:noWrap w:val="0"/>
                  <w:vAlign w:val="center"/>
                </w:tcPr>
                <w:p w14:paraId="591AE0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等效连续A声级</w:t>
                  </w:r>
                </w:p>
              </w:tc>
              <w:tc>
                <w:tcPr>
                  <w:tcW w:w="1271" w:type="dxa"/>
                  <w:tcBorders>
                    <w:tl2br w:val="nil"/>
                    <w:tr2bl w:val="nil"/>
                  </w:tcBorders>
                  <w:noWrap w:val="0"/>
                  <w:vAlign w:val="center"/>
                </w:tcPr>
                <w:p w14:paraId="03539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eastAsiaTheme="minorEastAsia"/>
                      <w:color w:val="auto"/>
                      <w:spacing w:val="0"/>
                      <w:sz w:val="18"/>
                      <w:szCs w:val="18"/>
                      <w:highlight w:val="none"/>
                      <w:vertAlign w:val="baseline"/>
                      <w:lang w:val="en-US" w:eastAsia="zh-CN"/>
                    </w:rPr>
                    <w:t>1次/季度</w:t>
                  </w:r>
                  <w:r>
                    <w:rPr>
                      <w:rFonts w:hint="eastAsia" w:cs="Times New Roman" w:eastAsiaTheme="minorEastAsia"/>
                      <w:color w:val="auto"/>
                      <w:spacing w:val="0"/>
                      <w:sz w:val="18"/>
                      <w:szCs w:val="18"/>
                      <w:highlight w:val="none"/>
                      <w:vertAlign w:val="baseline"/>
                      <w:lang w:val="en-US" w:eastAsia="zh-CN"/>
                    </w:rPr>
                    <w:t>，按照国家相关噪声监测技术方法进行监测</w:t>
                  </w:r>
                </w:p>
              </w:tc>
              <w:tc>
                <w:tcPr>
                  <w:tcW w:w="3370" w:type="dxa"/>
                  <w:tcBorders>
                    <w:tl2br w:val="nil"/>
                    <w:tr2bl w:val="nil"/>
                  </w:tcBorders>
                  <w:noWrap w:val="0"/>
                  <w:vAlign w:val="center"/>
                </w:tcPr>
                <w:p w14:paraId="1C9A6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eastAsiaTheme="minorEastAsia"/>
                      <w:color w:val="auto"/>
                      <w:spacing w:val="0"/>
                      <w:sz w:val="18"/>
                      <w:szCs w:val="18"/>
                      <w:highlight w:val="none"/>
                      <w:vertAlign w:val="baseline"/>
                      <w:lang w:val="en-US" w:eastAsia="zh-CN"/>
                    </w:rPr>
                    <w:t>《工业企业厂界环境噪声排放标准》（GB12348-2008）</w:t>
                  </w:r>
                  <w:r>
                    <w:rPr>
                      <w:rFonts w:hint="eastAsia" w:cs="Times New Roman" w:eastAsiaTheme="minorEastAsia"/>
                      <w:color w:val="auto"/>
                      <w:spacing w:val="0"/>
                      <w:sz w:val="18"/>
                      <w:szCs w:val="18"/>
                      <w:highlight w:val="none"/>
                      <w:vertAlign w:val="baseline"/>
                      <w:lang w:val="en-US" w:eastAsia="zh-CN"/>
                    </w:rPr>
                    <w:t>3</w:t>
                  </w:r>
                  <w:r>
                    <w:rPr>
                      <w:rFonts w:hint="default" w:ascii="Times New Roman" w:hAnsi="Times New Roman" w:cs="Times New Roman" w:eastAsiaTheme="minorEastAsia"/>
                      <w:color w:val="auto"/>
                      <w:spacing w:val="0"/>
                      <w:sz w:val="18"/>
                      <w:szCs w:val="18"/>
                      <w:highlight w:val="none"/>
                      <w:vertAlign w:val="baseline"/>
                      <w:lang w:val="en-US" w:eastAsia="zh-CN"/>
                    </w:rPr>
                    <w:t>类</w:t>
                  </w:r>
                </w:p>
              </w:tc>
            </w:tr>
          </w:tbl>
          <w:p w14:paraId="0626B9D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4、固体废物</w:t>
            </w:r>
          </w:p>
          <w:p w14:paraId="463FF28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4.1固废产生及处置情况</w:t>
            </w:r>
          </w:p>
          <w:p w14:paraId="62C1B898">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sz w:val="24"/>
                <w:lang w:val="en-US" w:eastAsia="zh-CN"/>
              </w:rPr>
            </w:pPr>
            <w:r>
              <w:rPr>
                <w:rFonts w:hint="eastAsia" w:ascii="Times New Roman" w:hAnsi="Times New Roman" w:cs="Times New Roman"/>
                <w:color w:val="auto"/>
                <w:sz w:val="24"/>
                <w:lang w:val="en-US" w:eastAsia="zh-CN"/>
              </w:rPr>
              <w:t>项目产生的固体废物主要为尾渣，</w:t>
            </w:r>
            <w:r>
              <w:rPr>
                <w:rFonts w:hint="eastAsia" w:cs="Times New Roman"/>
                <w:color w:val="auto"/>
                <w:sz w:val="24"/>
                <w:lang w:val="en-US" w:eastAsia="zh-CN"/>
              </w:rPr>
              <w:t>回水池工艺沉淀池污泥，除尘灰，</w:t>
            </w:r>
            <w:r>
              <w:rPr>
                <w:rFonts w:hint="eastAsia" w:ascii="Times New Roman" w:hAnsi="Times New Roman" w:cs="Times New Roman"/>
                <w:color w:val="auto"/>
                <w:sz w:val="24"/>
                <w:lang w:val="en-US" w:eastAsia="zh-CN"/>
              </w:rPr>
              <w:t>设备检修产生的</w:t>
            </w:r>
            <w:r>
              <w:rPr>
                <w:rFonts w:hint="eastAsia" w:cs="Times New Roman"/>
                <w:color w:val="auto"/>
                <w:sz w:val="24"/>
                <w:lang w:val="en-US" w:eastAsia="zh-CN"/>
              </w:rPr>
              <w:t>废润滑油和废油桶</w:t>
            </w:r>
            <w:r>
              <w:rPr>
                <w:rFonts w:hint="eastAsia" w:ascii="Times New Roman" w:hAnsi="Times New Roman" w:cs="Times New Roman"/>
                <w:color w:val="auto"/>
                <w:sz w:val="24"/>
                <w:lang w:val="en-US" w:eastAsia="zh-CN"/>
              </w:rPr>
              <w:t>，人员生活垃圾等。</w:t>
            </w:r>
          </w:p>
          <w:p w14:paraId="6CCEA0A7">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lang w:val="en-US" w:eastAsia="zh-CN"/>
              </w:rPr>
            </w:pPr>
            <w:r>
              <w:rPr>
                <w:rFonts w:hint="eastAsia" w:cs="Times New Roman"/>
                <w:color w:val="auto"/>
                <w:sz w:val="24"/>
                <w:lang w:val="en-US" w:eastAsia="zh-CN"/>
              </w:rPr>
              <w:t>（1）</w:t>
            </w:r>
            <w:r>
              <w:rPr>
                <w:rFonts w:hint="eastAsia" w:ascii="Times New Roman" w:hAnsi="Times New Roman" w:cs="Times New Roman"/>
                <w:color w:val="auto"/>
                <w:sz w:val="24"/>
                <w:lang w:val="en-US" w:eastAsia="zh-CN"/>
              </w:rPr>
              <w:t>尾矿渣</w:t>
            </w:r>
          </w:p>
          <w:p w14:paraId="24D34362">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原料铜冶炼渣在生产过程中采取的是物理破碎、球磨和浮选，浓缩脱水后产生的尾矿渣的过程属于物理过程，项目运营期尾矿渣产生量约为</w:t>
            </w:r>
            <w:r>
              <w:rPr>
                <w:rFonts w:hint="eastAsia" w:cs="Times New Roman"/>
                <w:color w:val="auto"/>
                <w:sz w:val="24"/>
                <w:lang w:val="en-US" w:eastAsia="zh-CN"/>
              </w:rPr>
              <w:t>245549.7</w:t>
            </w:r>
            <w:r>
              <w:rPr>
                <w:rFonts w:hint="default" w:ascii="Times New Roman" w:hAnsi="Times New Roman" w:cs="Times New Roman"/>
                <w:color w:val="auto"/>
                <w:sz w:val="24"/>
                <w:lang w:val="en-US" w:eastAsia="zh-CN"/>
              </w:rPr>
              <w:t>/a。</w:t>
            </w:r>
            <w:r>
              <w:rPr>
                <w:rFonts w:hint="eastAsia" w:cs="Times New Roman"/>
                <w:color w:val="auto"/>
                <w:sz w:val="24"/>
                <w:lang w:val="en-US" w:eastAsia="zh-CN"/>
              </w:rPr>
              <w:t>根据对尾渣浸出毒性鉴别结果和类比分析，</w:t>
            </w:r>
            <w:r>
              <w:rPr>
                <w:rFonts w:hint="default" w:ascii="Times New Roman" w:hAnsi="Times New Roman" w:cs="Times New Roman"/>
                <w:color w:val="auto"/>
                <w:sz w:val="24"/>
                <w:lang w:val="en-US" w:eastAsia="zh-CN"/>
              </w:rPr>
              <w:t>尾渣亦属于第I类一般工业固废。</w:t>
            </w:r>
          </w:p>
          <w:p w14:paraId="75D959C9">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尾渣</w:t>
            </w:r>
            <w:r>
              <w:rPr>
                <w:rFonts w:hint="default" w:ascii="Times New Roman" w:hAnsi="Times New Roman" w:cs="Times New Roman"/>
                <w:color w:val="auto"/>
                <w:sz w:val="24"/>
                <w:lang w:val="en-US" w:eastAsia="zh-CN"/>
              </w:rPr>
              <w:t>暂存</w:t>
            </w:r>
            <w:r>
              <w:rPr>
                <w:rFonts w:hint="eastAsia" w:cs="Times New Roman"/>
                <w:color w:val="auto"/>
                <w:sz w:val="24"/>
                <w:lang w:val="en-US" w:eastAsia="zh-CN"/>
              </w:rPr>
              <w:t>依托现有</w:t>
            </w:r>
            <w:r>
              <w:rPr>
                <w:rFonts w:hint="default" w:ascii="Times New Roman" w:hAnsi="Times New Roman" w:cs="Times New Roman"/>
                <w:color w:val="auto"/>
                <w:sz w:val="24"/>
                <w:lang w:val="en-US" w:eastAsia="zh-CN"/>
              </w:rPr>
              <w:t>1座有效容积为</w:t>
            </w:r>
            <w:r>
              <w:rPr>
                <w:rFonts w:hint="eastAsia" w:cs="Times New Roman"/>
                <w:color w:val="auto"/>
                <w:sz w:val="24"/>
                <w:lang w:val="en-US" w:eastAsia="zh-CN"/>
              </w:rPr>
              <w:t>430</w:t>
            </w:r>
            <w:r>
              <w:rPr>
                <w:rFonts w:hint="default"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3</w:t>
            </w:r>
            <w:r>
              <w:rPr>
                <w:rFonts w:hint="eastAsia" w:cs="Times New Roman"/>
                <w:color w:val="auto"/>
                <w:sz w:val="24"/>
                <w:vertAlign w:val="baseline"/>
                <w:lang w:val="en-US" w:eastAsia="zh-CN"/>
              </w:rPr>
              <w:t>和1座有效容积为2400m</w:t>
            </w:r>
            <w:r>
              <w:rPr>
                <w:rFonts w:hint="eastAsia" w:cs="Times New Roman"/>
                <w:color w:val="auto"/>
                <w:sz w:val="24"/>
                <w:vertAlign w:val="superscript"/>
                <w:lang w:val="en-US" w:eastAsia="zh-CN"/>
              </w:rPr>
              <w:t>3</w:t>
            </w:r>
            <w:r>
              <w:rPr>
                <w:rFonts w:hint="default" w:ascii="Times New Roman" w:hAnsi="Times New Roman" w:cs="Times New Roman"/>
                <w:color w:val="auto"/>
                <w:sz w:val="24"/>
                <w:lang w:val="en-US" w:eastAsia="zh-CN"/>
              </w:rPr>
              <w:t>的</w:t>
            </w:r>
            <w:r>
              <w:rPr>
                <w:rFonts w:hint="eastAsia" w:cs="Times New Roman"/>
                <w:color w:val="auto"/>
                <w:sz w:val="24"/>
                <w:lang w:val="en-US" w:eastAsia="zh-CN"/>
              </w:rPr>
              <w:t>尾矿仓</w:t>
            </w:r>
            <w:r>
              <w:rPr>
                <w:rFonts w:hint="default" w:ascii="Times New Roman" w:hAnsi="Times New Roman" w:cs="Times New Roman"/>
                <w:color w:val="auto"/>
                <w:sz w:val="24"/>
                <w:lang w:val="en-US" w:eastAsia="zh-CN"/>
              </w:rPr>
              <w:t>，</w:t>
            </w:r>
            <w:r>
              <w:rPr>
                <w:rFonts w:hint="eastAsia" w:cs="Times New Roman"/>
                <w:color w:val="auto"/>
                <w:sz w:val="24"/>
                <w:lang w:val="en-US" w:eastAsia="zh-CN"/>
              </w:rPr>
              <w:t>尾矿渣含水率</w:t>
            </w:r>
            <w:r>
              <w:rPr>
                <w:rFonts w:hint="eastAsia" w:ascii="Times New Roman" w:hAnsi="Times New Roman" w:eastAsia="宋体" w:cs="Times New Roman"/>
                <w:color w:val="auto"/>
                <w:sz w:val="24"/>
                <w:lang w:val="en-US" w:eastAsia="zh-CN"/>
              </w:rPr>
              <w:t>为</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12%，</w:t>
            </w:r>
            <w:r>
              <w:rPr>
                <w:rFonts w:hint="default" w:ascii="Times New Roman" w:hAnsi="Times New Roman" w:cs="Times New Roman"/>
                <w:color w:val="auto"/>
                <w:sz w:val="24"/>
                <w:lang w:val="en-US" w:eastAsia="zh-CN"/>
              </w:rPr>
              <w:t>地面采用加厚混泥土钢筋保护层进行防渗处理、不会产生淋浴水。根据建设单位提供的资料</w:t>
            </w:r>
            <w:r>
              <w:rPr>
                <w:rFonts w:hint="eastAsia" w:cs="Times New Roman"/>
                <w:color w:val="auto"/>
                <w:sz w:val="24"/>
                <w:lang w:val="en-US" w:eastAsia="zh-CN"/>
              </w:rPr>
              <w:t>，</w:t>
            </w:r>
            <w:r>
              <w:rPr>
                <w:rFonts w:hint="default" w:ascii="Times New Roman" w:hAnsi="Times New Roman" w:cs="Times New Roman"/>
                <w:color w:val="auto"/>
                <w:sz w:val="24"/>
                <w:lang w:val="en-US" w:eastAsia="zh-CN"/>
              </w:rPr>
              <w:t>本项目尾矿渣外售给</w:t>
            </w:r>
            <w:r>
              <w:rPr>
                <w:rFonts w:hint="eastAsia" w:ascii="Times New Roman" w:hAnsi="Times New Roman" w:cs="Times New Roman"/>
                <w:color w:val="auto"/>
                <w:sz w:val="24"/>
                <w:lang w:val="en-US" w:eastAsia="zh-CN"/>
              </w:rPr>
              <w:t>易门六街二台坡选矿有限公司、海邦矿业（峨山）有限公司以及易门洪斌经贸有限公司</w:t>
            </w:r>
            <w:r>
              <w:rPr>
                <w:rFonts w:hint="eastAsia" w:cs="Times New Roman"/>
                <w:color w:val="auto"/>
                <w:sz w:val="24"/>
                <w:lang w:val="en-US" w:eastAsia="zh-CN"/>
              </w:rPr>
              <w:t>进行综合利用。</w:t>
            </w:r>
          </w:p>
          <w:p w14:paraId="4BC4E44A">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lang w:val="en-US" w:eastAsia="zh-CN"/>
              </w:rPr>
            </w:pPr>
            <w:r>
              <w:rPr>
                <w:rFonts w:hint="eastAsia" w:cs="Times New Roman"/>
                <w:color w:val="auto"/>
                <w:sz w:val="24"/>
                <w:lang w:val="en-US" w:eastAsia="zh-CN"/>
              </w:rPr>
              <w:t>（2）</w:t>
            </w:r>
            <w:r>
              <w:rPr>
                <w:rFonts w:hint="eastAsia" w:ascii="Times New Roman" w:hAnsi="Times New Roman" w:cs="Times New Roman"/>
                <w:color w:val="auto"/>
                <w:sz w:val="24"/>
                <w:lang w:val="en-US" w:eastAsia="zh-CN"/>
              </w:rPr>
              <w:t>回水工艺沉淀池污泥</w:t>
            </w:r>
          </w:p>
          <w:p w14:paraId="531D362C">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lang w:val="en-US" w:eastAsia="zh-CN"/>
              </w:rPr>
            </w:pPr>
            <w:r>
              <w:rPr>
                <w:rFonts w:hint="eastAsia" w:cs="Times New Roman"/>
                <w:color w:val="auto"/>
                <w:sz w:val="24"/>
                <w:lang w:val="en-US" w:eastAsia="zh-CN"/>
              </w:rPr>
              <w:t>根据建设单位提供资料，</w:t>
            </w:r>
            <w:r>
              <w:rPr>
                <w:rFonts w:hint="eastAsia" w:ascii="Times New Roman" w:hAnsi="Times New Roman" w:eastAsia="宋体" w:cs="Times New Roman"/>
                <w:color w:val="auto"/>
                <w:sz w:val="24"/>
                <w:lang w:val="en-US" w:eastAsia="zh-CN"/>
              </w:rPr>
              <w:t>回水池产生</w:t>
            </w:r>
            <w:r>
              <w:rPr>
                <w:rFonts w:hint="eastAsia" w:cs="Times New Roman"/>
                <w:color w:val="auto"/>
                <w:sz w:val="24"/>
                <w:lang w:val="en-US" w:eastAsia="zh-CN"/>
              </w:rPr>
              <w:t>约1200t/a</w:t>
            </w:r>
            <w:r>
              <w:rPr>
                <w:rFonts w:hint="eastAsia" w:ascii="Times New Roman" w:hAnsi="Times New Roman" w:eastAsia="宋体" w:cs="Times New Roman"/>
                <w:color w:val="auto"/>
                <w:sz w:val="24"/>
                <w:lang w:val="en-US" w:eastAsia="zh-CN"/>
              </w:rPr>
              <w:t>污泥，污泥由渣浆泵泵入项目磨浮工段进行再次浮</w:t>
            </w:r>
            <w:r>
              <w:rPr>
                <w:rFonts w:hint="eastAsia" w:ascii="Times New Roman" w:hAnsi="Times New Roman" w:cs="Times New Roman"/>
                <w:color w:val="auto"/>
                <w:sz w:val="24"/>
                <w:lang w:val="en-US" w:eastAsia="zh-CN"/>
              </w:rPr>
              <w:t>选，不外排。</w:t>
            </w:r>
          </w:p>
          <w:p w14:paraId="7DBF4457">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lang w:val="en-US" w:eastAsia="zh-CN"/>
              </w:rPr>
            </w:pPr>
            <w:r>
              <w:rPr>
                <w:rFonts w:hint="eastAsia" w:cs="Times New Roman"/>
                <w:color w:val="auto"/>
                <w:sz w:val="24"/>
                <w:lang w:val="en-US" w:eastAsia="zh-CN"/>
              </w:rPr>
              <w:t>（3）</w:t>
            </w:r>
            <w:r>
              <w:rPr>
                <w:rFonts w:hint="eastAsia" w:ascii="Times New Roman" w:hAnsi="Times New Roman" w:cs="Times New Roman"/>
                <w:color w:val="auto"/>
                <w:sz w:val="24"/>
                <w:lang w:val="en-US" w:eastAsia="zh-CN"/>
              </w:rPr>
              <w:t>除尘灰</w:t>
            </w:r>
          </w:p>
          <w:p w14:paraId="19F560E9">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本项目</w:t>
            </w:r>
            <w:r>
              <w:rPr>
                <w:rFonts w:hint="eastAsia" w:ascii="Times New Roman" w:hAnsi="Times New Roman" w:cs="Times New Roman"/>
                <w:color w:val="auto"/>
                <w:sz w:val="24"/>
                <w:lang w:val="en-US" w:eastAsia="zh-CN"/>
              </w:rPr>
              <w:t>破碎和筛</w:t>
            </w:r>
            <w:r>
              <w:rPr>
                <w:rFonts w:hint="eastAsia" w:ascii="Times New Roman" w:hAnsi="Times New Roman" w:eastAsia="宋体" w:cs="Times New Roman"/>
                <w:color w:val="000000" w:themeColor="text1"/>
                <w:sz w:val="24"/>
                <w:lang w:val="en-US" w:eastAsia="zh-CN"/>
                <w14:textFill>
                  <w14:solidFill>
                    <w14:schemeClr w14:val="tx1"/>
                  </w14:solidFill>
                </w14:textFill>
              </w:rPr>
              <w:t>分工序设置布袋除尘器处理粉尘</w:t>
            </w:r>
            <w:r>
              <w:rPr>
                <w:rFonts w:hint="default" w:ascii="Times New Roman" w:hAnsi="Times New Roman" w:eastAsia="宋体" w:cs="Times New Roman"/>
                <w:color w:val="000000" w:themeColor="text1"/>
                <w:sz w:val="24"/>
                <w:lang w:val="en-US" w:eastAsia="zh-CN"/>
                <w14:textFill>
                  <w14:solidFill>
                    <w14:schemeClr w14:val="tx1"/>
                  </w14:solidFill>
                </w14:textFill>
              </w:rPr>
              <w:t>，除尘过程粉尘收集量约为</w:t>
            </w:r>
            <w:r>
              <w:rPr>
                <w:rFonts w:hint="eastAsia" w:cs="Times New Roman"/>
                <w:color w:val="000000" w:themeColor="text1"/>
                <w:sz w:val="24"/>
                <w:lang w:val="en-US" w:eastAsia="zh-CN"/>
                <w14:textFill>
                  <w14:solidFill>
                    <w14:schemeClr w14:val="tx1"/>
                  </w14:solidFill>
                </w14:textFill>
              </w:rPr>
              <w:t>315.01</w:t>
            </w:r>
            <w:r>
              <w:rPr>
                <w:rFonts w:hint="default" w:ascii="Times New Roman" w:hAnsi="Times New Roman" w:eastAsia="宋体" w:cs="Times New Roman"/>
                <w:color w:val="000000" w:themeColor="text1"/>
                <w:sz w:val="24"/>
                <w:lang w:val="en-US" w:eastAsia="zh-CN"/>
                <w14:textFill>
                  <w14:solidFill>
                    <w14:schemeClr w14:val="tx1"/>
                  </w14:solidFill>
                </w14:textFill>
              </w:rPr>
              <w:t>t/a，经</w:t>
            </w:r>
            <w:r>
              <w:rPr>
                <w:rFonts w:hint="default" w:ascii="Times New Roman" w:hAnsi="Times New Roman" w:eastAsia="宋体" w:cs="Times New Roman"/>
                <w:color w:val="auto"/>
                <w:sz w:val="24"/>
                <w:lang w:val="en-US" w:eastAsia="zh-CN"/>
              </w:rPr>
              <w:t>收集后</w:t>
            </w:r>
            <w:r>
              <w:rPr>
                <w:rFonts w:hint="eastAsia" w:cs="Times New Roman"/>
                <w:color w:val="auto"/>
                <w:sz w:val="24"/>
                <w:lang w:val="en-US" w:eastAsia="zh-CN"/>
              </w:rPr>
              <w:t>作为原料进入选矿工段</w:t>
            </w:r>
            <w:r>
              <w:rPr>
                <w:rFonts w:hint="default" w:ascii="Times New Roman" w:hAnsi="Times New Roman" w:eastAsia="宋体" w:cs="Times New Roman"/>
                <w:color w:val="auto"/>
                <w:sz w:val="24"/>
                <w:lang w:val="en-US" w:eastAsia="zh-CN"/>
              </w:rPr>
              <w:t>。</w:t>
            </w:r>
          </w:p>
          <w:p w14:paraId="487A6EFC">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lang w:val="en-US" w:eastAsia="zh-CN"/>
              </w:rPr>
            </w:pPr>
            <w:r>
              <w:rPr>
                <w:rFonts w:hint="eastAsia" w:cs="Times New Roman"/>
                <w:color w:val="auto"/>
                <w:sz w:val="24"/>
                <w:lang w:val="en-US" w:eastAsia="zh-CN"/>
              </w:rPr>
              <w:t>（4）废润滑油、废油桶</w:t>
            </w:r>
          </w:p>
          <w:p w14:paraId="41BFFA1D">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生产过程中设备检修</w:t>
            </w:r>
            <w:r>
              <w:rPr>
                <w:rFonts w:hint="default" w:ascii="Times New Roman" w:hAnsi="Times New Roman" w:eastAsia="宋体" w:cs="Times New Roman"/>
                <w:color w:val="auto"/>
                <w:sz w:val="24"/>
                <w:lang w:val="en-US" w:eastAsia="zh-CN"/>
              </w:rPr>
              <w:t>会产生少量的</w:t>
            </w:r>
            <w:r>
              <w:rPr>
                <w:rFonts w:hint="eastAsia" w:cs="Times New Roman"/>
                <w:color w:val="auto"/>
                <w:sz w:val="24"/>
                <w:lang w:val="en-US" w:eastAsia="zh-CN"/>
              </w:rPr>
              <w:t>废润滑油</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废物类别HW08，废物代码900-214-08</w:t>
            </w:r>
            <w:r>
              <w:rPr>
                <w:rFonts w:hint="eastAsia" w:ascii="Times New Roman" w:hAnsi="Times New Roman" w:eastAsia="宋体" w:cs="Times New Roman"/>
                <w:color w:val="auto"/>
                <w:sz w:val="24"/>
                <w:lang w:val="en-US" w:eastAsia="zh-CN"/>
              </w:rPr>
              <w:t>）及废油桶（</w:t>
            </w:r>
            <w:r>
              <w:rPr>
                <w:rFonts w:hint="default" w:ascii="Times New Roman" w:hAnsi="Times New Roman" w:eastAsia="宋体" w:cs="Times New Roman"/>
                <w:color w:val="auto"/>
                <w:sz w:val="24"/>
                <w:lang w:val="en-US" w:eastAsia="zh-CN"/>
              </w:rPr>
              <w:t>废物类别HW08，废物代码900-249-08</w:t>
            </w:r>
            <w:r>
              <w:rPr>
                <w:rFonts w:hint="eastAsia" w:ascii="Times New Roman" w:hAnsi="Times New Roman" w:eastAsia="宋体" w:cs="Times New Roman"/>
                <w:color w:val="auto"/>
                <w:sz w:val="24"/>
                <w:lang w:val="en-US" w:eastAsia="zh-CN"/>
              </w:rPr>
              <w:t>）</w:t>
            </w:r>
            <w:r>
              <w:rPr>
                <w:rFonts w:hint="eastAsia" w:eastAsia="宋体" w:cs="Times New Roman"/>
                <w:color w:val="auto"/>
                <w:sz w:val="24"/>
                <w:lang w:val="en-US" w:eastAsia="zh-CN"/>
              </w:rPr>
              <w:t>。根据建设单位提供资料，</w:t>
            </w:r>
            <w:r>
              <w:rPr>
                <w:rFonts w:hint="eastAsia" w:cs="Times New Roman"/>
                <w:color w:val="auto"/>
                <w:sz w:val="24"/>
                <w:lang w:val="en-US" w:eastAsia="zh-CN"/>
              </w:rPr>
              <w:t>废润滑油</w:t>
            </w:r>
            <w:r>
              <w:rPr>
                <w:rFonts w:hint="default" w:ascii="Times New Roman" w:hAnsi="Times New Roman" w:eastAsia="宋体" w:cs="Times New Roman"/>
                <w:color w:val="auto"/>
                <w:sz w:val="24"/>
                <w:lang w:val="en-US" w:eastAsia="zh-CN"/>
              </w:rPr>
              <w:t>产生量约为</w:t>
            </w:r>
            <w:r>
              <w:rPr>
                <w:rFonts w:hint="eastAsia" w:cs="Times New Roman"/>
                <w:color w:val="auto"/>
                <w:sz w:val="24"/>
                <w:lang w:val="en-US" w:eastAsia="zh-CN"/>
              </w:rPr>
              <w:t>0.03</w:t>
            </w:r>
            <w:r>
              <w:rPr>
                <w:rFonts w:hint="default" w:ascii="Times New Roman" w:hAnsi="Times New Roman" w:eastAsia="宋体" w:cs="Times New Roman"/>
                <w:color w:val="auto"/>
                <w:sz w:val="24"/>
                <w:lang w:val="en-US" w:eastAsia="zh-CN"/>
              </w:rPr>
              <w:t>t/a，</w:t>
            </w:r>
            <w:r>
              <w:rPr>
                <w:rFonts w:hint="eastAsia" w:eastAsia="宋体" w:cs="Times New Roman"/>
                <w:color w:val="auto"/>
                <w:sz w:val="24"/>
                <w:lang w:val="en-US" w:eastAsia="zh-CN"/>
              </w:rPr>
              <w:t>废油桶产生量为0.05</w:t>
            </w:r>
            <w:r>
              <w:rPr>
                <w:rFonts w:hint="default" w:ascii="Times New Roman" w:hAnsi="Times New Roman" w:eastAsia="宋体" w:cs="Times New Roman"/>
                <w:color w:val="auto"/>
                <w:sz w:val="24"/>
                <w:lang w:val="en-US" w:eastAsia="zh-CN"/>
              </w:rPr>
              <w:t>t/a</w:t>
            </w:r>
            <w:r>
              <w:rPr>
                <w:rFonts w:hint="eastAsia" w:eastAsia="宋体" w:cs="Times New Roman"/>
                <w:color w:val="auto"/>
                <w:sz w:val="24"/>
                <w:lang w:val="en-US" w:eastAsia="zh-CN"/>
              </w:rPr>
              <w:t>。</w:t>
            </w:r>
          </w:p>
          <w:p w14:paraId="05DFE7B1">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lang w:val="en-US" w:eastAsia="zh-CN"/>
              </w:rPr>
            </w:pPr>
            <w:r>
              <w:rPr>
                <w:rFonts w:hint="eastAsia" w:eastAsia="宋体" w:cs="Times New Roman"/>
                <w:color w:val="auto"/>
                <w:sz w:val="24"/>
                <w:lang w:val="en-US" w:eastAsia="zh-CN"/>
              </w:rPr>
              <w:t>产生的危险废物</w:t>
            </w:r>
            <w:r>
              <w:rPr>
                <w:rFonts w:hint="default" w:ascii="Times New Roman" w:hAnsi="Times New Roman" w:eastAsia="宋体" w:cs="Times New Roman"/>
                <w:color w:val="auto"/>
                <w:sz w:val="24"/>
                <w:lang w:val="en-US" w:eastAsia="zh-CN"/>
              </w:rPr>
              <w:t>依托厂区现有5#</w:t>
            </w:r>
            <w:r>
              <w:rPr>
                <w:rFonts w:hint="eastAsia" w:ascii="Times New Roman" w:hAnsi="Times New Roman" w:eastAsia="宋体" w:cs="Times New Roman"/>
                <w:color w:val="auto"/>
                <w:sz w:val="24"/>
                <w:lang w:val="en-US" w:eastAsia="zh-CN"/>
              </w:rPr>
              <w:t>危险废物贮存库</w:t>
            </w:r>
            <w:r>
              <w:rPr>
                <w:rFonts w:hint="eastAsia" w:eastAsia="宋体" w:cs="Times New Roman"/>
                <w:color w:val="auto"/>
                <w:sz w:val="24"/>
                <w:lang w:val="en-US" w:eastAsia="zh-CN"/>
              </w:rPr>
              <w:t>进行暂存</w:t>
            </w:r>
            <w:r>
              <w:rPr>
                <w:rFonts w:hint="default" w:ascii="Times New Roman" w:hAnsi="Times New Roman" w:eastAsia="宋体" w:cs="Times New Roman"/>
                <w:color w:val="auto"/>
                <w:sz w:val="24"/>
                <w:lang w:val="en-US" w:eastAsia="zh-CN"/>
              </w:rPr>
              <w:t>，采用专用容器分区暂存，定期委托</w:t>
            </w:r>
            <w:r>
              <w:rPr>
                <w:rFonts w:hint="eastAsia" w:ascii="Times New Roman" w:hAnsi="Times New Roman" w:eastAsia="宋体" w:cs="Times New Roman"/>
                <w:color w:val="auto"/>
                <w:sz w:val="24"/>
                <w:lang w:val="en-US" w:eastAsia="zh-CN"/>
              </w:rPr>
              <w:t>云南广莱再生资源回收有限公司清运处置</w:t>
            </w:r>
            <w:r>
              <w:rPr>
                <w:rFonts w:hint="default" w:ascii="Times New Roman" w:hAnsi="Times New Roman" w:eastAsia="宋体" w:cs="Times New Roman"/>
                <w:color w:val="auto"/>
                <w:sz w:val="24"/>
                <w:lang w:val="en-US" w:eastAsia="zh-CN"/>
              </w:rPr>
              <w:t>。废</w:t>
            </w:r>
            <w:r>
              <w:rPr>
                <w:rFonts w:hint="eastAsia" w:cs="Times New Roman"/>
                <w:color w:val="auto"/>
                <w:sz w:val="24"/>
                <w:lang w:val="en-US" w:eastAsia="zh-CN"/>
              </w:rPr>
              <w:t>润滑油</w:t>
            </w:r>
            <w:r>
              <w:rPr>
                <w:rFonts w:hint="default" w:ascii="Times New Roman" w:hAnsi="Times New Roman" w:eastAsia="宋体" w:cs="Times New Roman"/>
                <w:color w:val="auto"/>
                <w:sz w:val="24"/>
                <w:lang w:val="en-US" w:eastAsia="zh-CN"/>
              </w:rPr>
              <w:t>得到妥善处置，对周围环境的影响较小。</w:t>
            </w:r>
          </w:p>
          <w:p w14:paraId="0400087F">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（5）</w:t>
            </w:r>
            <w:r>
              <w:rPr>
                <w:rFonts w:hint="default" w:ascii="Times New Roman" w:hAnsi="Times New Roman" w:eastAsia="宋体" w:cs="Times New Roman"/>
                <w:color w:val="auto"/>
                <w:sz w:val="24"/>
                <w:lang w:val="en-US" w:eastAsia="zh-CN"/>
              </w:rPr>
              <w:t>生活垃圾</w:t>
            </w:r>
          </w:p>
          <w:p w14:paraId="482EA6B3">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0"/>
                <w:sz w:val="24"/>
                <w:szCs w:val="24"/>
                <w:highlight w:val="none"/>
                <w:lang w:val="en-US" w:eastAsia="zh-CN"/>
              </w:rPr>
              <w:t>本项目建成运营后，人员从总厂现有人员调配，不新增劳动定员，因此，不新增</w:t>
            </w:r>
            <w:r>
              <w:rPr>
                <w:rFonts w:hint="eastAsia" w:cs="Times New Roman"/>
                <w:color w:val="auto"/>
                <w:kern w:val="0"/>
                <w:sz w:val="24"/>
                <w:szCs w:val="24"/>
                <w:highlight w:val="none"/>
                <w:lang w:val="en-US" w:eastAsia="zh-CN"/>
              </w:rPr>
              <w:t>生活垃圾</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生活垃圾</w:t>
            </w:r>
            <w:r>
              <w:rPr>
                <w:rFonts w:hint="default" w:ascii="Times New Roman" w:hAnsi="Times New Roman" w:eastAsia="宋体" w:cs="Times New Roman"/>
                <w:color w:val="auto"/>
                <w:sz w:val="24"/>
                <w:lang w:val="en-US" w:eastAsia="zh-CN"/>
              </w:rPr>
              <w:t>由厂区垃圾收集设施统一收集后，送环卫部门指定地点堆存。</w:t>
            </w:r>
          </w:p>
          <w:p w14:paraId="50CAC42B">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综上，项目固废处置率100%，不外排。</w:t>
            </w:r>
          </w:p>
          <w:p w14:paraId="23B85807">
            <w:pPr>
              <w:pStyle w:val="38"/>
              <w:spacing w:line="360" w:lineRule="auto"/>
              <w:rPr>
                <w:rFonts w:hint="eastAsia" w:ascii="黑体" w:hAnsi="黑体" w:eastAsia="黑体" w:cs="黑体"/>
                <w:b w:val="0"/>
                <w:bCs/>
                <w:color w:val="auto"/>
                <w:lang w:val="en-US" w:eastAsia="zh-CN"/>
              </w:rPr>
            </w:pPr>
            <w:r>
              <w:rPr>
                <w:rFonts w:hint="eastAsia" w:ascii="黑体" w:hAnsi="黑体" w:eastAsia="黑体" w:cs="黑体"/>
                <w:b w:val="0"/>
                <w:bCs/>
                <w:color w:val="auto"/>
                <w:lang w:val="zh-CN"/>
              </w:rPr>
              <w:t>表4-</w:t>
            </w:r>
            <w:r>
              <w:rPr>
                <w:rFonts w:hint="eastAsia" w:ascii="黑体" w:hAnsi="黑体" w:eastAsia="黑体" w:cs="黑体"/>
                <w:b w:val="0"/>
                <w:bCs/>
                <w:color w:val="auto"/>
                <w:lang w:val="en-US" w:eastAsia="zh-CN"/>
              </w:rPr>
              <w:t>1</w:t>
            </w:r>
            <w:r>
              <w:rPr>
                <w:rFonts w:hint="eastAsia" w:ascii="黑体" w:hAnsi="黑体" w:cs="黑体"/>
                <w:b w:val="0"/>
                <w:bCs/>
                <w:color w:val="auto"/>
                <w:lang w:val="en-US" w:eastAsia="zh-CN"/>
              </w:rPr>
              <w:t>4</w:t>
            </w:r>
            <w:r>
              <w:rPr>
                <w:rFonts w:hint="eastAsia" w:ascii="黑体" w:hAnsi="黑体" w:eastAsia="黑体" w:cs="黑体"/>
                <w:b w:val="0"/>
                <w:bCs/>
                <w:color w:val="auto"/>
                <w:lang w:val="zh-CN"/>
              </w:rPr>
              <w:t xml:space="preserve"> 项目固体废物产生及处置情况表</w:t>
            </w:r>
            <w:r>
              <w:rPr>
                <w:rFonts w:hint="eastAsia" w:ascii="黑体" w:hAnsi="黑体" w:eastAsia="黑体" w:cs="黑体"/>
                <w:b w:val="0"/>
                <w:bCs/>
                <w:color w:val="auto"/>
                <w:lang w:val="en-US" w:eastAsia="zh-CN"/>
              </w:rPr>
              <w:t xml:space="preserve">  单位：t/a</w:t>
            </w:r>
          </w:p>
          <w:tbl>
            <w:tblPr>
              <w:tblStyle w:val="21"/>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84"/>
              <w:gridCol w:w="533"/>
              <w:gridCol w:w="1235"/>
              <w:gridCol w:w="635"/>
              <w:gridCol w:w="429"/>
              <w:gridCol w:w="429"/>
              <w:gridCol w:w="775"/>
              <w:gridCol w:w="584"/>
              <w:gridCol w:w="787"/>
              <w:gridCol w:w="889"/>
              <w:gridCol w:w="968"/>
            </w:tblGrid>
            <w:tr w14:paraId="3210DFA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6" w:hRule="atLeast"/>
                <w:tblHeader/>
              </w:trPr>
              <w:tc>
                <w:tcPr>
                  <w:tcW w:w="372" w:type="pct"/>
                  <w:tcBorders>
                    <w:tl2br w:val="nil"/>
                    <w:tr2bl w:val="nil"/>
                  </w:tcBorders>
                  <w:noWrap w:val="0"/>
                  <w:tcMar>
                    <w:left w:w="0" w:type="dxa"/>
                    <w:right w:w="0" w:type="dxa"/>
                  </w:tcMar>
                  <w:vAlign w:val="center"/>
                </w:tcPr>
                <w:p w14:paraId="486BB0FA">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339" w:type="pct"/>
                  <w:tcBorders>
                    <w:tl2br w:val="nil"/>
                    <w:tr2bl w:val="nil"/>
                  </w:tcBorders>
                  <w:noWrap w:val="0"/>
                  <w:vAlign w:val="center"/>
                </w:tcPr>
                <w:p w14:paraId="369C6875">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产污环节</w:t>
                  </w:r>
                </w:p>
              </w:tc>
              <w:tc>
                <w:tcPr>
                  <w:tcW w:w="786" w:type="pct"/>
                  <w:tcBorders>
                    <w:tl2br w:val="nil"/>
                    <w:tr2bl w:val="nil"/>
                  </w:tcBorders>
                  <w:noWrap w:val="0"/>
                  <w:vAlign w:val="center"/>
                </w:tcPr>
                <w:p w14:paraId="37072233">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属性</w:t>
                  </w:r>
                </w:p>
              </w:tc>
              <w:tc>
                <w:tcPr>
                  <w:tcW w:w="404" w:type="pct"/>
                  <w:tcBorders>
                    <w:tl2br w:val="nil"/>
                    <w:tr2bl w:val="nil"/>
                  </w:tcBorders>
                  <w:noWrap w:val="0"/>
                  <w:vAlign w:val="center"/>
                </w:tcPr>
                <w:p w14:paraId="0F747FDA">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主要有毒有害物质名称</w:t>
                  </w:r>
                </w:p>
              </w:tc>
              <w:tc>
                <w:tcPr>
                  <w:tcW w:w="273" w:type="pct"/>
                  <w:tcBorders>
                    <w:tl2br w:val="nil"/>
                    <w:tr2bl w:val="nil"/>
                  </w:tcBorders>
                  <w:noWrap w:val="0"/>
                  <w:vAlign w:val="center"/>
                </w:tcPr>
                <w:p w14:paraId="533DBEC9">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物理性状</w:t>
                  </w:r>
                </w:p>
              </w:tc>
              <w:tc>
                <w:tcPr>
                  <w:tcW w:w="273" w:type="pct"/>
                  <w:tcBorders>
                    <w:tl2br w:val="nil"/>
                    <w:tr2bl w:val="nil"/>
                  </w:tcBorders>
                  <w:noWrap w:val="0"/>
                  <w:vAlign w:val="center"/>
                </w:tcPr>
                <w:p w14:paraId="11CE02B0">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环境危险特性</w:t>
                  </w:r>
                </w:p>
              </w:tc>
              <w:tc>
                <w:tcPr>
                  <w:tcW w:w="493" w:type="pct"/>
                  <w:tcBorders>
                    <w:tl2br w:val="nil"/>
                    <w:tr2bl w:val="nil"/>
                  </w:tcBorders>
                  <w:noWrap w:val="0"/>
                  <w:vAlign w:val="center"/>
                </w:tcPr>
                <w:p w14:paraId="0161A9B5">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产生量（t/a）</w:t>
                  </w:r>
                </w:p>
              </w:tc>
              <w:tc>
                <w:tcPr>
                  <w:tcW w:w="372" w:type="pct"/>
                  <w:tcBorders>
                    <w:tl2br w:val="nil"/>
                    <w:tr2bl w:val="nil"/>
                  </w:tcBorders>
                  <w:noWrap w:val="0"/>
                  <w:vAlign w:val="center"/>
                </w:tcPr>
                <w:p w14:paraId="457D030F">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贮存方式</w:t>
                  </w:r>
                </w:p>
              </w:tc>
              <w:tc>
                <w:tcPr>
                  <w:tcW w:w="501" w:type="pct"/>
                  <w:tcBorders>
                    <w:tl2br w:val="nil"/>
                    <w:tr2bl w:val="nil"/>
                  </w:tcBorders>
                  <w:noWrap w:val="0"/>
                  <w:vAlign w:val="center"/>
                </w:tcPr>
                <w:p w14:paraId="2E5069D4">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利用处置方式和去向</w:t>
                  </w:r>
                </w:p>
              </w:tc>
              <w:tc>
                <w:tcPr>
                  <w:tcW w:w="566" w:type="pct"/>
                  <w:tcBorders>
                    <w:tl2br w:val="nil"/>
                    <w:tr2bl w:val="nil"/>
                  </w:tcBorders>
                  <w:noWrap w:val="0"/>
                  <w:vAlign w:val="center"/>
                </w:tcPr>
                <w:p w14:paraId="0526F383">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利用或处置量（t/a）</w:t>
                  </w:r>
                </w:p>
              </w:tc>
              <w:tc>
                <w:tcPr>
                  <w:tcW w:w="616" w:type="pct"/>
                  <w:tcBorders>
                    <w:tl2br w:val="nil"/>
                    <w:tr2bl w:val="nil"/>
                  </w:tcBorders>
                  <w:noWrap w:val="0"/>
                  <w:vAlign w:val="center"/>
                </w:tcPr>
                <w:p w14:paraId="36FCB418">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环境管理要求</w:t>
                  </w:r>
                </w:p>
              </w:tc>
            </w:tr>
            <w:tr w14:paraId="710C58D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6" w:hRule="atLeast"/>
                <w:tblHeader/>
              </w:trPr>
              <w:tc>
                <w:tcPr>
                  <w:tcW w:w="372" w:type="pct"/>
                  <w:tcBorders>
                    <w:tl2br w:val="nil"/>
                    <w:tr2bl w:val="nil"/>
                  </w:tcBorders>
                  <w:noWrap w:val="0"/>
                  <w:tcMar>
                    <w:left w:w="0" w:type="dxa"/>
                    <w:right w:w="0" w:type="dxa"/>
                  </w:tcMar>
                  <w:vAlign w:val="center"/>
                </w:tcPr>
                <w:p w14:paraId="10845B40">
                  <w:pPr>
                    <w:pStyle w:val="3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尾</w:t>
                  </w:r>
                  <w:r>
                    <w:rPr>
                      <w:rFonts w:hint="eastAsia" w:ascii="Times New Roman" w:hAnsi="Times New Roman" w:eastAsia="宋体" w:cs="Times New Roman"/>
                      <w:color w:val="auto"/>
                      <w:sz w:val="18"/>
                      <w:szCs w:val="18"/>
                      <w:lang w:val="en-US" w:eastAsia="zh-CN"/>
                    </w:rPr>
                    <w:t>矿</w:t>
                  </w:r>
                  <w:r>
                    <w:rPr>
                      <w:rFonts w:hint="default" w:ascii="Times New Roman" w:hAnsi="Times New Roman" w:eastAsia="宋体" w:cs="Times New Roman"/>
                      <w:color w:val="auto"/>
                      <w:sz w:val="18"/>
                      <w:szCs w:val="18"/>
                      <w:lang w:val="en-US" w:eastAsia="zh-CN"/>
                    </w:rPr>
                    <w:t>渣</w:t>
                  </w:r>
                </w:p>
              </w:tc>
              <w:tc>
                <w:tcPr>
                  <w:tcW w:w="339" w:type="pct"/>
                  <w:tcBorders>
                    <w:tl2br w:val="nil"/>
                    <w:tr2bl w:val="nil"/>
                  </w:tcBorders>
                  <w:noWrap w:val="0"/>
                  <w:vAlign w:val="center"/>
                </w:tcPr>
                <w:p w14:paraId="5F799AAF">
                  <w:pPr>
                    <w:pStyle w:val="3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钢渣处理产品</w:t>
                  </w:r>
                </w:p>
              </w:tc>
              <w:tc>
                <w:tcPr>
                  <w:tcW w:w="786" w:type="pct"/>
                  <w:tcBorders>
                    <w:tl2br w:val="nil"/>
                    <w:tr2bl w:val="nil"/>
                  </w:tcBorders>
                  <w:noWrap w:val="0"/>
                  <w:vAlign w:val="center"/>
                </w:tcPr>
                <w:p w14:paraId="589EE4FA">
                  <w:pPr>
                    <w:pStyle w:val="3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一般工业固体废物</w:t>
                  </w:r>
                </w:p>
              </w:tc>
              <w:tc>
                <w:tcPr>
                  <w:tcW w:w="404" w:type="pct"/>
                  <w:tcBorders>
                    <w:tl2br w:val="nil"/>
                    <w:tr2bl w:val="nil"/>
                  </w:tcBorders>
                  <w:noWrap w:val="0"/>
                  <w:vAlign w:val="center"/>
                </w:tcPr>
                <w:p w14:paraId="46139F44">
                  <w:pPr>
                    <w:pStyle w:val="3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273" w:type="pct"/>
                  <w:tcBorders>
                    <w:tl2br w:val="nil"/>
                    <w:tr2bl w:val="nil"/>
                  </w:tcBorders>
                  <w:noWrap w:val="0"/>
                  <w:vAlign w:val="center"/>
                </w:tcPr>
                <w:p w14:paraId="3AD62052">
                  <w:pPr>
                    <w:pStyle w:val="3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固态</w:t>
                  </w:r>
                </w:p>
              </w:tc>
              <w:tc>
                <w:tcPr>
                  <w:tcW w:w="273" w:type="pct"/>
                  <w:tcBorders>
                    <w:tl2br w:val="nil"/>
                    <w:tr2bl w:val="nil"/>
                  </w:tcBorders>
                  <w:noWrap w:val="0"/>
                  <w:vAlign w:val="center"/>
                </w:tcPr>
                <w:p w14:paraId="6C7C6F73">
                  <w:pPr>
                    <w:pStyle w:val="3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93" w:type="pct"/>
                  <w:tcBorders>
                    <w:tl2br w:val="nil"/>
                    <w:tr2bl w:val="nil"/>
                  </w:tcBorders>
                  <w:noWrap w:val="0"/>
                  <w:vAlign w:val="center"/>
                </w:tcPr>
                <w:p w14:paraId="655F9639">
                  <w:pPr>
                    <w:pStyle w:val="3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245549.7</w:t>
                  </w:r>
                </w:p>
              </w:tc>
              <w:tc>
                <w:tcPr>
                  <w:tcW w:w="372" w:type="pct"/>
                  <w:tcBorders>
                    <w:tl2br w:val="nil"/>
                    <w:tr2bl w:val="nil"/>
                  </w:tcBorders>
                  <w:noWrap w:val="0"/>
                  <w:vAlign w:val="center"/>
                </w:tcPr>
                <w:p w14:paraId="5CF0A13D">
                  <w:pPr>
                    <w:pStyle w:val="3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尾矿仓</w:t>
                  </w:r>
                </w:p>
              </w:tc>
              <w:tc>
                <w:tcPr>
                  <w:tcW w:w="501" w:type="pct"/>
                  <w:tcBorders>
                    <w:tl2br w:val="nil"/>
                    <w:tr2bl w:val="nil"/>
                  </w:tcBorders>
                  <w:noWrap w:val="0"/>
                  <w:vAlign w:val="center"/>
                </w:tcPr>
                <w:p w14:paraId="3B959E93">
                  <w:pPr>
                    <w:pStyle w:val="3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外售易门六街二台坡选矿有限公司、海邦矿业（峨山）有限公司以及易门洪斌经贸有限公司</w:t>
                  </w:r>
                </w:p>
              </w:tc>
              <w:tc>
                <w:tcPr>
                  <w:tcW w:w="566" w:type="pct"/>
                  <w:tcBorders>
                    <w:tl2br w:val="nil"/>
                    <w:tr2bl w:val="nil"/>
                  </w:tcBorders>
                  <w:noWrap w:val="0"/>
                  <w:vAlign w:val="center"/>
                </w:tcPr>
                <w:p w14:paraId="51C802A4">
                  <w:pPr>
                    <w:pStyle w:val="30"/>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245549.7</w:t>
                  </w:r>
                </w:p>
              </w:tc>
              <w:tc>
                <w:tcPr>
                  <w:tcW w:w="616" w:type="pct"/>
                  <w:tcBorders>
                    <w:tl2br w:val="nil"/>
                    <w:tr2bl w:val="nil"/>
                  </w:tcBorders>
                  <w:noWrap w:val="0"/>
                  <w:vAlign w:val="center"/>
                </w:tcPr>
                <w:p w14:paraId="098877AB">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禁止随意丢弃</w:t>
                  </w:r>
                </w:p>
              </w:tc>
            </w:tr>
            <w:tr w14:paraId="48F924D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6" w:hRule="atLeast"/>
                <w:tblHeader/>
              </w:trPr>
              <w:tc>
                <w:tcPr>
                  <w:tcW w:w="372" w:type="pct"/>
                  <w:tcBorders>
                    <w:tl2br w:val="nil"/>
                    <w:tr2bl w:val="nil"/>
                  </w:tcBorders>
                  <w:noWrap w:val="0"/>
                  <w:tcMar>
                    <w:left w:w="0" w:type="dxa"/>
                    <w:right w:w="0" w:type="dxa"/>
                  </w:tcMar>
                  <w:vAlign w:val="center"/>
                </w:tcPr>
                <w:p w14:paraId="21704F53">
                  <w:pPr>
                    <w:pStyle w:val="3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回收工艺沉淀池污泥</w:t>
                  </w:r>
                </w:p>
              </w:tc>
              <w:tc>
                <w:tcPr>
                  <w:tcW w:w="339" w:type="pct"/>
                  <w:tcBorders>
                    <w:tl2br w:val="nil"/>
                    <w:tr2bl w:val="nil"/>
                  </w:tcBorders>
                  <w:noWrap w:val="0"/>
                  <w:vAlign w:val="center"/>
                </w:tcPr>
                <w:p w14:paraId="05DEA714">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钢渣处理产品</w:t>
                  </w:r>
                </w:p>
              </w:tc>
              <w:tc>
                <w:tcPr>
                  <w:tcW w:w="786" w:type="pct"/>
                  <w:tcBorders>
                    <w:tl2br w:val="nil"/>
                    <w:tr2bl w:val="nil"/>
                  </w:tcBorders>
                  <w:noWrap w:val="0"/>
                  <w:vAlign w:val="center"/>
                </w:tcPr>
                <w:p w14:paraId="6C8672BD">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一般工业固体废物</w:t>
                  </w:r>
                </w:p>
              </w:tc>
              <w:tc>
                <w:tcPr>
                  <w:tcW w:w="404" w:type="pct"/>
                  <w:tcBorders>
                    <w:tl2br w:val="nil"/>
                    <w:tr2bl w:val="nil"/>
                  </w:tcBorders>
                  <w:noWrap w:val="0"/>
                  <w:vAlign w:val="center"/>
                </w:tcPr>
                <w:p w14:paraId="1A178C42">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3" w:type="pct"/>
                  <w:tcBorders>
                    <w:tl2br w:val="nil"/>
                    <w:tr2bl w:val="nil"/>
                  </w:tcBorders>
                  <w:noWrap w:val="0"/>
                  <w:vAlign w:val="center"/>
                </w:tcPr>
                <w:p w14:paraId="59B3DD60">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273" w:type="pct"/>
                  <w:tcBorders>
                    <w:tl2br w:val="nil"/>
                    <w:tr2bl w:val="nil"/>
                  </w:tcBorders>
                  <w:noWrap w:val="0"/>
                  <w:vAlign w:val="center"/>
                </w:tcPr>
                <w:p w14:paraId="7CF55E3C">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93" w:type="pct"/>
                  <w:tcBorders>
                    <w:tl2br w:val="nil"/>
                    <w:tr2bl w:val="nil"/>
                  </w:tcBorders>
                  <w:noWrap w:val="0"/>
                  <w:vAlign w:val="center"/>
                </w:tcPr>
                <w:p w14:paraId="4E56CC23">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1200</w:t>
                  </w:r>
                </w:p>
              </w:tc>
              <w:tc>
                <w:tcPr>
                  <w:tcW w:w="372" w:type="pct"/>
                  <w:tcBorders>
                    <w:tl2br w:val="nil"/>
                    <w:tr2bl w:val="nil"/>
                  </w:tcBorders>
                  <w:noWrap w:val="0"/>
                  <w:vAlign w:val="center"/>
                </w:tcPr>
                <w:p w14:paraId="53C24758">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公司厂区</w:t>
                  </w:r>
                  <w:r>
                    <w:rPr>
                      <w:rFonts w:hint="default" w:ascii="Times New Roman" w:hAnsi="Times New Roman" w:eastAsia="宋体" w:cs="Times New Roman"/>
                      <w:color w:val="auto"/>
                      <w:sz w:val="18"/>
                      <w:szCs w:val="18"/>
                    </w:rPr>
                    <w:t>废钢库</w:t>
                  </w:r>
                </w:p>
              </w:tc>
              <w:tc>
                <w:tcPr>
                  <w:tcW w:w="501" w:type="pct"/>
                  <w:tcBorders>
                    <w:tl2br w:val="nil"/>
                    <w:tr2bl w:val="nil"/>
                  </w:tcBorders>
                  <w:noWrap w:val="0"/>
                  <w:vAlign w:val="center"/>
                </w:tcPr>
                <w:p w14:paraId="3F00ACAE">
                  <w:pPr>
                    <w:pStyle w:val="3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返回浮选工段再次浮选</w:t>
                  </w:r>
                </w:p>
              </w:tc>
              <w:tc>
                <w:tcPr>
                  <w:tcW w:w="566" w:type="pct"/>
                  <w:tcBorders>
                    <w:tl2br w:val="nil"/>
                    <w:tr2bl w:val="nil"/>
                  </w:tcBorders>
                  <w:noWrap w:val="0"/>
                  <w:vAlign w:val="center"/>
                </w:tcPr>
                <w:p w14:paraId="522AEFB0">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1200</w:t>
                  </w:r>
                </w:p>
              </w:tc>
              <w:tc>
                <w:tcPr>
                  <w:tcW w:w="616" w:type="pct"/>
                  <w:tcBorders>
                    <w:tl2br w:val="nil"/>
                    <w:tr2bl w:val="nil"/>
                  </w:tcBorders>
                  <w:noWrap w:val="0"/>
                  <w:vAlign w:val="center"/>
                </w:tcPr>
                <w:p w14:paraId="400C1B07">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禁止随意丢弃</w:t>
                  </w:r>
                </w:p>
              </w:tc>
            </w:tr>
            <w:tr w14:paraId="5FA321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6" w:hRule="atLeast"/>
                <w:tblHeader/>
              </w:trPr>
              <w:tc>
                <w:tcPr>
                  <w:tcW w:w="372" w:type="pct"/>
                  <w:tcBorders>
                    <w:tl2br w:val="nil"/>
                    <w:tr2bl w:val="nil"/>
                  </w:tcBorders>
                  <w:noWrap w:val="0"/>
                  <w:tcMar>
                    <w:left w:w="0" w:type="dxa"/>
                    <w:right w:w="0" w:type="dxa"/>
                  </w:tcMar>
                  <w:vAlign w:val="center"/>
                </w:tcPr>
                <w:p w14:paraId="4A21E8E6">
                  <w:pPr>
                    <w:pStyle w:val="30"/>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除尘灰</w:t>
                  </w:r>
                </w:p>
              </w:tc>
              <w:tc>
                <w:tcPr>
                  <w:tcW w:w="339" w:type="pct"/>
                  <w:tcBorders>
                    <w:tl2br w:val="nil"/>
                    <w:tr2bl w:val="nil"/>
                  </w:tcBorders>
                  <w:noWrap w:val="0"/>
                  <w:vAlign w:val="center"/>
                </w:tcPr>
                <w:p w14:paraId="3F0840A8">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除尘器</w:t>
                  </w:r>
                </w:p>
              </w:tc>
              <w:tc>
                <w:tcPr>
                  <w:tcW w:w="786" w:type="pct"/>
                  <w:tcBorders>
                    <w:tl2br w:val="nil"/>
                    <w:tr2bl w:val="nil"/>
                  </w:tcBorders>
                  <w:noWrap w:val="0"/>
                  <w:vAlign w:val="center"/>
                </w:tcPr>
                <w:p w14:paraId="20B2CBA5">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一般工业固废</w:t>
                  </w:r>
                </w:p>
              </w:tc>
              <w:tc>
                <w:tcPr>
                  <w:tcW w:w="404" w:type="pct"/>
                  <w:tcBorders>
                    <w:tl2br w:val="nil"/>
                    <w:tr2bl w:val="nil"/>
                  </w:tcBorders>
                  <w:noWrap w:val="0"/>
                  <w:vAlign w:val="center"/>
                </w:tcPr>
                <w:p w14:paraId="64A8561F">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3" w:type="pct"/>
                  <w:tcBorders>
                    <w:tl2br w:val="nil"/>
                    <w:tr2bl w:val="nil"/>
                  </w:tcBorders>
                  <w:noWrap w:val="0"/>
                  <w:vAlign w:val="center"/>
                </w:tcPr>
                <w:p w14:paraId="653680F0">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273" w:type="pct"/>
                  <w:tcBorders>
                    <w:tl2br w:val="nil"/>
                    <w:tr2bl w:val="nil"/>
                  </w:tcBorders>
                  <w:noWrap w:val="0"/>
                  <w:vAlign w:val="center"/>
                </w:tcPr>
                <w:p w14:paraId="240724C7">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93" w:type="pct"/>
                  <w:tcBorders>
                    <w:tl2br w:val="nil"/>
                    <w:tr2bl w:val="nil"/>
                  </w:tcBorders>
                  <w:noWrap w:val="0"/>
                  <w:vAlign w:val="center"/>
                </w:tcPr>
                <w:p w14:paraId="16FDCBAA">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315.01</w:t>
                  </w:r>
                </w:p>
              </w:tc>
              <w:tc>
                <w:tcPr>
                  <w:tcW w:w="372" w:type="pct"/>
                  <w:tcBorders>
                    <w:tl2br w:val="nil"/>
                    <w:tr2bl w:val="nil"/>
                  </w:tcBorders>
                  <w:noWrap w:val="0"/>
                  <w:vAlign w:val="center"/>
                </w:tcPr>
                <w:p w14:paraId="442B9BF3">
                  <w:pPr>
                    <w:pStyle w:val="3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厂房内</w:t>
                  </w:r>
                </w:p>
              </w:tc>
              <w:tc>
                <w:tcPr>
                  <w:tcW w:w="501" w:type="pct"/>
                  <w:tcBorders>
                    <w:tl2br w:val="nil"/>
                    <w:tr2bl w:val="nil"/>
                  </w:tcBorders>
                  <w:noWrap w:val="0"/>
                  <w:vAlign w:val="center"/>
                </w:tcPr>
                <w:p w14:paraId="6636B071">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收集后作为原料进入选矿工段</w:t>
                  </w:r>
                </w:p>
              </w:tc>
              <w:tc>
                <w:tcPr>
                  <w:tcW w:w="566" w:type="pct"/>
                  <w:tcBorders>
                    <w:tl2br w:val="nil"/>
                    <w:tr2bl w:val="nil"/>
                  </w:tcBorders>
                  <w:noWrap w:val="0"/>
                  <w:vAlign w:val="center"/>
                </w:tcPr>
                <w:p w14:paraId="0315FD88">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315.01</w:t>
                  </w:r>
                </w:p>
              </w:tc>
              <w:tc>
                <w:tcPr>
                  <w:tcW w:w="616" w:type="pct"/>
                  <w:tcBorders>
                    <w:tl2br w:val="nil"/>
                    <w:tr2bl w:val="nil"/>
                  </w:tcBorders>
                  <w:noWrap w:val="0"/>
                  <w:vAlign w:val="center"/>
                </w:tcPr>
                <w:p w14:paraId="32C40261">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禁止随意丢弃</w:t>
                  </w:r>
                </w:p>
              </w:tc>
            </w:tr>
            <w:tr w14:paraId="3BD564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6" w:hRule="atLeast"/>
                <w:tblHeader/>
              </w:trPr>
              <w:tc>
                <w:tcPr>
                  <w:tcW w:w="372" w:type="pct"/>
                  <w:tcBorders>
                    <w:tl2br w:val="nil"/>
                    <w:tr2bl w:val="nil"/>
                  </w:tcBorders>
                  <w:noWrap w:val="0"/>
                  <w:tcMar>
                    <w:left w:w="0" w:type="dxa"/>
                    <w:right w:w="0" w:type="dxa"/>
                  </w:tcMar>
                  <w:vAlign w:val="center"/>
                </w:tcPr>
                <w:p w14:paraId="45EC3FBB">
                  <w:pPr>
                    <w:pStyle w:val="30"/>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设备维保</w:t>
                  </w:r>
                </w:p>
              </w:tc>
              <w:tc>
                <w:tcPr>
                  <w:tcW w:w="339" w:type="pct"/>
                  <w:tcBorders>
                    <w:tl2br w:val="nil"/>
                    <w:tr2bl w:val="nil"/>
                  </w:tcBorders>
                  <w:noWrap w:val="0"/>
                  <w:vAlign w:val="center"/>
                </w:tcPr>
                <w:p w14:paraId="413BFADD">
                  <w:pPr>
                    <w:pStyle w:val="30"/>
                    <w:ind w:firstLine="0" w:firstLineChars="0"/>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废</w:t>
                  </w:r>
                  <w:r>
                    <w:rPr>
                      <w:rFonts w:hint="eastAsia" w:cs="Times New Roman"/>
                      <w:color w:val="auto"/>
                      <w:sz w:val="18"/>
                      <w:szCs w:val="18"/>
                      <w:lang w:val="en-US" w:eastAsia="zh-CN"/>
                    </w:rPr>
                    <w:t>润滑油</w:t>
                  </w:r>
                </w:p>
              </w:tc>
              <w:tc>
                <w:tcPr>
                  <w:tcW w:w="786" w:type="pct"/>
                  <w:tcBorders>
                    <w:tl2br w:val="nil"/>
                    <w:tr2bl w:val="nil"/>
                  </w:tcBorders>
                  <w:noWrap w:val="0"/>
                  <w:vAlign w:val="center"/>
                </w:tcPr>
                <w:p w14:paraId="6EDAD963">
                  <w:pPr>
                    <w:pStyle w:val="30"/>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危险废物HW08，900-214-08</w:t>
                  </w:r>
                </w:p>
              </w:tc>
              <w:tc>
                <w:tcPr>
                  <w:tcW w:w="404" w:type="pct"/>
                  <w:tcBorders>
                    <w:tl2br w:val="nil"/>
                    <w:tr2bl w:val="nil"/>
                  </w:tcBorders>
                  <w:noWrap w:val="0"/>
                  <w:vAlign w:val="center"/>
                </w:tcPr>
                <w:p w14:paraId="28AC4F12">
                  <w:pPr>
                    <w:pStyle w:val="30"/>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废润滑油</w:t>
                  </w:r>
                </w:p>
              </w:tc>
              <w:tc>
                <w:tcPr>
                  <w:tcW w:w="273" w:type="pct"/>
                  <w:tcBorders>
                    <w:tl2br w:val="nil"/>
                    <w:tr2bl w:val="nil"/>
                  </w:tcBorders>
                  <w:noWrap w:val="0"/>
                  <w:vAlign w:val="center"/>
                </w:tcPr>
                <w:p w14:paraId="639F17C3">
                  <w:pPr>
                    <w:pStyle w:val="30"/>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液态或半固态</w:t>
                  </w:r>
                </w:p>
              </w:tc>
              <w:tc>
                <w:tcPr>
                  <w:tcW w:w="273" w:type="pct"/>
                  <w:tcBorders>
                    <w:tl2br w:val="nil"/>
                    <w:tr2bl w:val="nil"/>
                  </w:tcBorders>
                  <w:noWrap w:val="0"/>
                  <w:vAlign w:val="center"/>
                </w:tcPr>
                <w:p w14:paraId="5D394DF9">
                  <w:pPr>
                    <w:pStyle w:val="30"/>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易燃</w:t>
                  </w:r>
                </w:p>
              </w:tc>
              <w:tc>
                <w:tcPr>
                  <w:tcW w:w="493" w:type="pct"/>
                  <w:tcBorders>
                    <w:tl2br w:val="nil"/>
                    <w:tr2bl w:val="nil"/>
                  </w:tcBorders>
                  <w:noWrap w:val="0"/>
                  <w:vAlign w:val="center"/>
                </w:tcPr>
                <w:p w14:paraId="079D6BC6">
                  <w:pPr>
                    <w:pStyle w:val="30"/>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0.03</w:t>
                  </w:r>
                </w:p>
              </w:tc>
              <w:tc>
                <w:tcPr>
                  <w:tcW w:w="372" w:type="pct"/>
                  <w:tcBorders>
                    <w:tl2br w:val="nil"/>
                    <w:tr2bl w:val="nil"/>
                  </w:tcBorders>
                  <w:noWrap w:val="0"/>
                  <w:vAlign w:val="center"/>
                </w:tcPr>
                <w:p w14:paraId="3F5222D9">
                  <w:pPr>
                    <w:pStyle w:val="30"/>
                    <w:ind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厂区</w:t>
                  </w:r>
                  <w:r>
                    <w:rPr>
                      <w:rFonts w:hint="default" w:ascii="Times New Roman" w:hAnsi="Times New Roman" w:eastAsia="宋体" w:cs="Times New Roman"/>
                      <w:color w:val="auto"/>
                      <w:sz w:val="18"/>
                      <w:szCs w:val="18"/>
                      <w:lang w:val="en-US" w:eastAsia="zh-CN"/>
                    </w:rPr>
                    <w:t>5#</w:t>
                  </w:r>
                  <w:r>
                    <w:rPr>
                      <w:rFonts w:hint="eastAsia" w:ascii="Times New Roman" w:hAnsi="Times New Roman" w:eastAsia="宋体" w:cs="Times New Roman"/>
                      <w:color w:val="auto"/>
                      <w:sz w:val="18"/>
                      <w:szCs w:val="18"/>
                      <w:lang w:val="en-US" w:eastAsia="zh-CN"/>
                    </w:rPr>
                    <w:t>危险废物贮存库</w:t>
                  </w:r>
                </w:p>
              </w:tc>
              <w:tc>
                <w:tcPr>
                  <w:tcW w:w="501" w:type="pct"/>
                  <w:tcBorders>
                    <w:tl2br w:val="nil"/>
                    <w:tr2bl w:val="nil"/>
                  </w:tcBorders>
                  <w:noWrap w:val="0"/>
                  <w:vAlign w:val="center"/>
                </w:tcPr>
                <w:p w14:paraId="0A6A812B">
                  <w:pPr>
                    <w:pStyle w:val="30"/>
                    <w:ind w:firstLine="0" w:firstLineChars="0"/>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rPr>
                    <w:t>委托</w:t>
                  </w:r>
                  <w:r>
                    <w:rPr>
                      <w:rFonts w:hint="eastAsia" w:ascii="Times New Roman" w:hAnsi="Times New Roman" w:eastAsia="宋体" w:cs="Times New Roman"/>
                      <w:color w:val="auto"/>
                      <w:sz w:val="18"/>
                      <w:szCs w:val="18"/>
                      <w:lang w:val="en-US" w:eastAsia="zh-CN"/>
                    </w:rPr>
                    <w:t>云南广莱再生资源回收有限公司清运处置</w:t>
                  </w:r>
                </w:p>
              </w:tc>
              <w:tc>
                <w:tcPr>
                  <w:tcW w:w="566" w:type="pct"/>
                  <w:tcBorders>
                    <w:tl2br w:val="nil"/>
                    <w:tr2bl w:val="nil"/>
                  </w:tcBorders>
                  <w:noWrap w:val="0"/>
                  <w:vAlign w:val="center"/>
                </w:tcPr>
                <w:p w14:paraId="5D89294B">
                  <w:pPr>
                    <w:pStyle w:val="30"/>
                    <w:ind w:firstLine="0" w:firstLineChars="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0.03</w:t>
                  </w:r>
                </w:p>
              </w:tc>
              <w:tc>
                <w:tcPr>
                  <w:tcW w:w="616" w:type="pct"/>
                  <w:tcBorders>
                    <w:tl2br w:val="nil"/>
                    <w:tr2bl w:val="nil"/>
                  </w:tcBorders>
                  <w:noWrap w:val="0"/>
                  <w:vAlign w:val="center"/>
                </w:tcPr>
                <w:p w14:paraId="4F634A0D">
                  <w:pPr>
                    <w:pStyle w:val="30"/>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遵循危废暂存管理制度</w:t>
                  </w:r>
                </w:p>
              </w:tc>
            </w:tr>
            <w:tr w14:paraId="3E900B4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6" w:hRule="atLeast"/>
                <w:tblHeader/>
              </w:trPr>
              <w:tc>
                <w:tcPr>
                  <w:tcW w:w="372" w:type="pct"/>
                  <w:tcBorders>
                    <w:tl2br w:val="nil"/>
                    <w:tr2bl w:val="nil"/>
                  </w:tcBorders>
                  <w:noWrap w:val="0"/>
                  <w:tcMar>
                    <w:left w:w="0" w:type="dxa"/>
                    <w:right w:w="0" w:type="dxa"/>
                  </w:tcMar>
                  <w:vAlign w:val="center"/>
                </w:tcPr>
                <w:p w14:paraId="1EC17CCF">
                  <w:pPr>
                    <w:pStyle w:val="30"/>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设备维保</w:t>
                  </w:r>
                </w:p>
              </w:tc>
              <w:tc>
                <w:tcPr>
                  <w:tcW w:w="339" w:type="pct"/>
                  <w:tcBorders>
                    <w:tl2br w:val="nil"/>
                    <w:tr2bl w:val="nil"/>
                  </w:tcBorders>
                  <w:noWrap w:val="0"/>
                  <w:vAlign w:val="center"/>
                </w:tcPr>
                <w:p w14:paraId="5ECAA470">
                  <w:pPr>
                    <w:pStyle w:val="30"/>
                    <w:ind w:firstLine="0" w:firstLineChars="0"/>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废油桶</w:t>
                  </w:r>
                </w:p>
              </w:tc>
              <w:tc>
                <w:tcPr>
                  <w:tcW w:w="786" w:type="pct"/>
                  <w:tcBorders>
                    <w:tl2br w:val="nil"/>
                    <w:tr2bl w:val="nil"/>
                  </w:tcBorders>
                  <w:noWrap w:val="0"/>
                  <w:vAlign w:val="center"/>
                </w:tcPr>
                <w:p w14:paraId="044C6BDF">
                  <w:pPr>
                    <w:pStyle w:val="30"/>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危险废物HW08，900-2</w:t>
                  </w:r>
                  <w:r>
                    <w:rPr>
                      <w:rFonts w:hint="eastAsia" w:ascii="Times New Roman" w:hAnsi="Times New Roman" w:eastAsia="宋体" w:cs="Times New Roman"/>
                      <w:color w:val="auto"/>
                      <w:sz w:val="18"/>
                      <w:szCs w:val="18"/>
                      <w:lang w:val="en-US" w:eastAsia="zh-CN"/>
                    </w:rPr>
                    <w:t>49</w:t>
                  </w:r>
                  <w:r>
                    <w:rPr>
                      <w:rFonts w:hint="default" w:ascii="Times New Roman" w:hAnsi="Times New Roman" w:eastAsia="宋体" w:cs="Times New Roman"/>
                      <w:color w:val="auto"/>
                      <w:sz w:val="18"/>
                      <w:szCs w:val="18"/>
                      <w:lang w:val="en-US" w:eastAsia="zh-CN"/>
                    </w:rPr>
                    <w:t>-08</w:t>
                  </w:r>
                </w:p>
              </w:tc>
              <w:tc>
                <w:tcPr>
                  <w:tcW w:w="404" w:type="pct"/>
                  <w:tcBorders>
                    <w:tl2br w:val="nil"/>
                    <w:tr2bl w:val="nil"/>
                  </w:tcBorders>
                  <w:noWrap w:val="0"/>
                  <w:vAlign w:val="center"/>
                </w:tcPr>
                <w:p w14:paraId="152760CD">
                  <w:pPr>
                    <w:pStyle w:val="30"/>
                    <w:ind w:firstLine="0" w:firstLineChars="0"/>
                    <w:rPr>
                      <w:rFonts w:hint="default" w:cs="Times New Roman"/>
                      <w:color w:val="auto"/>
                      <w:sz w:val="18"/>
                      <w:szCs w:val="18"/>
                      <w:lang w:val="en-US" w:eastAsia="zh-CN"/>
                    </w:rPr>
                  </w:pPr>
                  <w:r>
                    <w:rPr>
                      <w:rFonts w:hint="eastAsia" w:cs="Times New Roman"/>
                      <w:color w:val="auto"/>
                      <w:sz w:val="18"/>
                      <w:szCs w:val="18"/>
                      <w:lang w:val="en-US" w:eastAsia="zh-CN"/>
                    </w:rPr>
                    <w:t>废油桶</w:t>
                  </w:r>
                </w:p>
              </w:tc>
              <w:tc>
                <w:tcPr>
                  <w:tcW w:w="273" w:type="pct"/>
                  <w:tcBorders>
                    <w:tl2br w:val="nil"/>
                    <w:tr2bl w:val="nil"/>
                  </w:tcBorders>
                  <w:noWrap w:val="0"/>
                  <w:vAlign w:val="center"/>
                </w:tcPr>
                <w:p w14:paraId="3AB39199">
                  <w:pPr>
                    <w:pStyle w:val="30"/>
                    <w:ind w:firstLine="0" w:firstLineChars="0"/>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固态</w:t>
                  </w:r>
                </w:p>
              </w:tc>
              <w:tc>
                <w:tcPr>
                  <w:tcW w:w="273" w:type="pct"/>
                  <w:tcBorders>
                    <w:tl2br w:val="nil"/>
                    <w:tr2bl w:val="nil"/>
                  </w:tcBorders>
                  <w:noWrap w:val="0"/>
                  <w:vAlign w:val="center"/>
                </w:tcPr>
                <w:p w14:paraId="2BE2D466">
                  <w:pPr>
                    <w:pStyle w:val="30"/>
                    <w:ind w:firstLine="0" w:firstLineChars="0"/>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易燃</w:t>
                  </w:r>
                </w:p>
              </w:tc>
              <w:tc>
                <w:tcPr>
                  <w:tcW w:w="493" w:type="pct"/>
                  <w:tcBorders>
                    <w:tl2br w:val="nil"/>
                    <w:tr2bl w:val="nil"/>
                  </w:tcBorders>
                  <w:noWrap w:val="0"/>
                  <w:vAlign w:val="center"/>
                </w:tcPr>
                <w:p w14:paraId="5102405F">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0.05</w:t>
                  </w:r>
                </w:p>
              </w:tc>
              <w:tc>
                <w:tcPr>
                  <w:tcW w:w="372" w:type="pct"/>
                  <w:tcBorders>
                    <w:tl2br w:val="nil"/>
                    <w:tr2bl w:val="nil"/>
                  </w:tcBorders>
                  <w:noWrap w:val="0"/>
                  <w:vAlign w:val="center"/>
                </w:tcPr>
                <w:p w14:paraId="01638800">
                  <w:pPr>
                    <w:pStyle w:val="30"/>
                    <w:ind w:firstLine="0" w:firstLineChars="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厂区</w:t>
                  </w:r>
                  <w:r>
                    <w:rPr>
                      <w:rFonts w:hint="default" w:ascii="Times New Roman" w:hAnsi="Times New Roman" w:eastAsia="宋体" w:cs="Times New Roman"/>
                      <w:color w:val="auto"/>
                      <w:sz w:val="18"/>
                      <w:szCs w:val="18"/>
                      <w:lang w:val="en-US" w:eastAsia="zh-CN"/>
                    </w:rPr>
                    <w:t>5#</w:t>
                  </w:r>
                  <w:r>
                    <w:rPr>
                      <w:rFonts w:hint="eastAsia" w:ascii="Times New Roman" w:hAnsi="Times New Roman" w:eastAsia="宋体" w:cs="Times New Roman"/>
                      <w:color w:val="auto"/>
                      <w:sz w:val="18"/>
                      <w:szCs w:val="18"/>
                      <w:lang w:val="en-US" w:eastAsia="zh-CN"/>
                    </w:rPr>
                    <w:t>危险废物贮存库</w:t>
                  </w:r>
                </w:p>
              </w:tc>
              <w:tc>
                <w:tcPr>
                  <w:tcW w:w="501" w:type="pct"/>
                  <w:tcBorders>
                    <w:tl2br w:val="nil"/>
                    <w:tr2bl w:val="nil"/>
                  </w:tcBorders>
                  <w:noWrap w:val="0"/>
                  <w:vAlign w:val="center"/>
                </w:tcPr>
                <w:p w14:paraId="52051F0B">
                  <w:pPr>
                    <w:pStyle w:val="30"/>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委托</w:t>
                  </w:r>
                  <w:r>
                    <w:rPr>
                      <w:rFonts w:hint="eastAsia" w:ascii="Times New Roman" w:hAnsi="Times New Roman" w:eastAsia="宋体" w:cs="Times New Roman"/>
                      <w:color w:val="auto"/>
                      <w:sz w:val="18"/>
                      <w:szCs w:val="18"/>
                      <w:lang w:val="en-US" w:eastAsia="zh-CN"/>
                    </w:rPr>
                    <w:t>云南广莱再生资源回收有限公司清运处置</w:t>
                  </w:r>
                </w:p>
              </w:tc>
              <w:tc>
                <w:tcPr>
                  <w:tcW w:w="566" w:type="pct"/>
                  <w:tcBorders>
                    <w:tl2br w:val="nil"/>
                    <w:tr2bl w:val="nil"/>
                  </w:tcBorders>
                  <w:noWrap w:val="0"/>
                  <w:vAlign w:val="center"/>
                </w:tcPr>
                <w:p w14:paraId="7F42589D">
                  <w:pPr>
                    <w:pStyle w:val="30"/>
                    <w:ind w:firstLine="0" w:firstLineChars="0"/>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0.05</w:t>
                  </w:r>
                </w:p>
              </w:tc>
              <w:tc>
                <w:tcPr>
                  <w:tcW w:w="616" w:type="pct"/>
                  <w:tcBorders>
                    <w:tl2br w:val="nil"/>
                    <w:tr2bl w:val="nil"/>
                  </w:tcBorders>
                  <w:noWrap w:val="0"/>
                  <w:vAlign w:val="center"/>
                </w:tcPr>
                <w:p w14:paraId="3575CE0B">
                  <w:pPr>
                    <w:pStyle w:val="30"/>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遵循危废暂存管理制度</w:t>
                  </w:r>
                </w:p>
              </w:tc>
            </w:tr>
            <w:tr w14:paraId="14E30E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6" w:hRule="atLeast"/>
                <w:tblHeader/>
              </w:trPr>
              <w:tc>
                <w:tcPr>
                  <w:tcW w:w="372" w:type="pct"/>
                  <w:tcBorders>
                    <w:tl2br w:val="nil"/>
                    <w:tr2bl w:val="nil"/>
                  </w:tcBorders>
                  <w:noWrap w:val="0"/>
                  <w:tcMar>
                    <w:left w:w="0" w:type="dxa"/>
                    <w:right w:w="0" w:type="dxa"/>
                  </w:tcMar>
                  <w:vAlign w:val="center"/>
                </w:tcPr>
                <w:p w14:paraId="34F00308">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工作人员日常生活</w:t>
                  </w:r>
                </w:p>
              </w:tc>
              <w:tc>
                <w:tcPr>
                  <w:tcW w:w="339" w:type="pct"/>
                  <w:tcBorders>
                    <w:tl2br w:val="nil"/>
                    <w:tr2bl w:val="nil"/>
                  </w:tcBorders>
                  <w:noWrap w:val="0"/>
                  <w:vAlign w:val="center"/>
                </w:tcPr>
                <w:p w14:paraId="76F06DEB">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786" w:type="pct"/>
                  <w:tcBorders>
                    <w:tl2br w:val="nil"/>
                    <w:tr2bl w:val="nil"/>
                  </w:tcBorders>
                  <w:noWrap w:val="0"/>
                  <w:vAlign w:val="center"/>
                </w:tcPr>
                <w:p w14:paraId="3C0E51DD">
                  <w:pPr>
                    <w:pStyle w:val="3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bCs/>
                      <w:color w:val="auto"/>
                      <w:sz w:val="18"/>
                      <w:szCs w:val="18"/>
                      <w:lang w:val="en-US" w:eastAsia="zh-CN"/>
                    </w:rPr>
                    <w:t>/</w:t>
                  </w:r>
                </w:p>
              </w:tc>
              <w:tc>
                <w:tcPr>
                  <w:tcW w:w="404" w:type="pct"/>
                  <w:tcBorders>
                    <w:tl2br w:val="nil"/>
                    <w:tr2bl w:val="nil"/>
                  </w:tcBorders>
                  <w:noWrap w:val="0"/>
                  <w:vAlign w:val="center"/>
                </w:tcPr>
                <w:p w14:paraId="360725C6">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73" w:type="pct"/>
                  <w:tcBorders>
                    <w:tl2br w:val="nil"/>
                    <w:tr2bl w:val="nil"/>
                  </w:tcBorders>
                  <w:noWrap w:val="0"/>
                  <w:vAlign w:val="center"/>
                </w:tcPr>
                <w:p w14:paraId="74458113">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273" w:type="pct"/>
                  <w:tcBorders>
                    <w:tl2br w:val="nil"/>
                    <w:tr2bl w:val="nil"/>
                  </w:tcBorders>
                  <w:noWrap w:val="0"/>
                  <w:vAlign w:val="center"/>
                </w:tcPr>
                <w:p w14:paraId="22DCA30A">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93" w:type="pct"/>
                  <w:tcBorders>
                    <w:tl2br w:val="nil"/>
                    <w:tr2bl w:val="nil"/>
                  </w:tcBorders>
                  <w:noWrap w:val="0"/>
                  <w:vAlign w:val="center"/>
                </w:tcPr>
                <w:p w14:paraId="38EF7ACA">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372" w:type="pct"/>
                  <w:tcBorders>
                    <w:tl2br w:val="nil"/>
                    <w:tr2bl w:val="nil"/>
                  </w:tcBorders>
                  <w:noWrap w:val="0"/>
                  <w:vAlign w:val="center"/>
                </w:tcPr>
                <w:p w14:paraId="3E4049A6">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厂区垃圾收集设施</w:t>
                  </w:r>
                </w:p>
              </w:tc>
              <w:tc>
                <w:tcPr>
                  <w:tcW w:w="501" w:type="pct"/>
                  <w:tcBorders>
                    <w:tl2br w:val="nil"/>
                    <w:tr2bl w:val="nil"/>
                  </w:tcBorders>
                  <w:noWrap w:val="0"/>
                  <w:vAlign w:val="center"/>
                </w:tcPr>
                <w:p w14:paraId="50801110">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收集后送至环卫部门指定地点</w:t>
                  </w:r>
                </w:p>
              </w:tc>
              <w:tc>
                <w:tcPr>
                  <w:tcW w:w="566" w:type="pct"/>
                  <w:tcBorders>
                    <w:tl2br w:val="nil"/>
                    <w:tr2bl w:val="nil"/>
                  </w:tcBorders>
                  <w:noWrap w:val="0"/>
                  <w:vAlign w:val="center"/>
                </w:tcPr>
                <w:p w14:paraId="508DBC5A">
                  <w:pPr>
                    <w:pStyle w:val="3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616" w:type="pct"/>
                  <w:tcBorders>
                    <w:tl2br w:val="nil"/>
                    <w:tr2bl w:val="nil"/>
                  </w:tcBorders>
                  <w:noWrap w:val="0"/>
                  <w:vAlign w:val="center"/>
                </w:tcPr>
                <w:p w14:paraId="2E6D717E">
                  <w:pPr>
                    <w:pStyle w:val="3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设置垃圾桶收集，禁止随意丢弃</w:t>
                  </w:r>
                </w:p>
              </w:tc>
            </w:tr>
          </w:tbl>
          <w:p w14:paraId="4524019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4.2固废暂存点分析</w:t>
            </w:r>
          </w:p>
          <w:p w14:paraId="245104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（1）一般固体废弃物暂存点</w:t>
            </w:r>
          </w:p>
          <w:p w14:paraId="63ECD3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改扩建完后产生的尾渣</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745.74</w:t>
            </w:r>
            <w:r>
              <w:rPr>
                <w:rFonts w:hint="eastAsia" w:ascii="Times New Roman" w:hAnsi="Times New Roman" w:eastAsia="宋体" w:cs="Times New Roman"/>
                <w:color w:val="auto"/>
                <w:sz w:val="24"/>
                <w:szCs w:val="24"/>
                <w:lang w:val="en-US" w:eastAsia="zh-CN"/>
              </w:rPr>
              <w:t>t/d）暂存优先使用已建的1座有效容积为</w:t>
            </w:r>
            <w:r>
              <w:rPr>
                <w:rFonts w:hint="eastAsia" w:cs="Times New Roman"/>
                <w:color w:val="auto"/>
                <w:sz w:val="24"/>
                <w:szCs w:val="24"/>
                <w:lang w:val="en-US" w:eastAsia="zh-CN"/>
              </w:rPr>
              <w:t>430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的尾渣仓，设计储存量</w:t>
            </w:r>
            <w:r>
              <w:rPr>
                <w:rFonts w:hint="default" w:ascii="Times New Roman" w:hAnsi="Times New Roman" w:eastAsia="宋体" w:cs="Times New Roman"/>
                <w:color w:val="auto"/>
                <w:sz w:val="24"/>
                <w:szCs w:val="24"/>
                <w:lang w:val="en-US" w:eastAsia="zh-CN"/>
              </w:rPr>
              <w:t>1010.50t</w:t>
            </w:r>
            <w:r>
              <w:rPr>
                <w:rFonts w:hint="eastAsia" w:ascii="Times New Roman" w:hAnsi="Times New Roman" w:eastAsia="宋体" w:cs="Times New Roman"/>
                <w:color w:val="auto"/>
                <w:sz w:val="24"/>
                <w:szCs w:val="24"/>
                <w:lang w:val="en-US" w:eastAsia="zh-CN"/>
              </w:rPr>
              <w:t>，另有</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座有效容积</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00m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的尾矿仓</w:t>
            </w:r>
            <w:r>
              <w:rPr>
                <w:rFonts w:hint="eastAsia" w:ascii="Times New Roman" w:hAnsi="Times New Roman" w:eastAsia="宋体" w:cs="Times New Roman"/>
                <w:color w:val="auto"/>
                <w:sz w:val="24"/>
                <w:szCs w:val="24"/>
                <w:lang w:val="en-US" w:eastAsia="zh-CN"/>
              </w:rPr>
              <w:t>，设计储存量</w:t>
            </w:r>
            <w:r>
              <w:rPr>
                <w:rFonts w:hint="eastAsia" w:cs="Times New Roman"/>
                <w:color w:val="auto"/>
                <w:sz w:val="24"/>
                <w:szCs w:val="24"/>
                <w:lang w:val="en-US" w:eastAsia="zh-CN"/>
              </w:rPr>
              <w:t>9960</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，总暂存量达到</w:t>
            </w:r>
            <w:r>
              <w:rPr>
                <w:rFonts w:hint="eastAsia" w:cs="Times New Roman"/>
                <w:color w:val="auto"/>
                <w:sz w:val="24"/>
                <w:szCs w:val="24"/>
                <w:lang w:val="en-US" w:eastAsia="zh-CN"/>
              </w:rPr>
              <w:t>10970.5</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，可满足</w:t>
            </w:r>
            <w:r>
              <w:rPr>
                <w:rFonts w:hint="eastAsia"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d的暂存，依托现有尾矿仓可行。尾渣仓结构为网架钢结构，屋面采用白色玻璃钢瓦屋面</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地面采用加厚混泥土钢筋保护层进行防渗处理、不会产生淋浴水，尾渣外售</w:t>
            </w:r>
            <w:r>
              <w:rPr>
                <w:rFonts w:hint="eastAsia" w:ascii="Times New Roman" w:hAnsi="Times New Roman" w:cs="Times New Roman"/>
                <w:color w:val="auto"/>
                <w:sz w:val="24"/>
                <w:lang w:val="en-US" w:eastAsia="zh-CN"/>
              </w:rPr>
              <w:t>易门六街二台坡选矿有限公司、海邦矿业（峨山）有限公司以及易门洪斌经贸有限公司</w:t>
            </w:r>
            <w:r>
              <w:rPr>
                <w:rFonts w:hint="eastAsia" w:cs="Times New Roman"/>
                <w:color w:val="auto"/>
                <w:sz w:val="24"/>
                <w:lang w:val="en-US" w:eastAsia="zh-CN"/>
              </w:rPr>
              <w:t>进行综合利用</w:t>
            </w:r>
            <w:r>
              <w:rPr>
                <w:rFonts w:hint="eastAsia" w:ascii="Times New Roman" w:hAnsi="Times New Roman" w:eastAsia="宋体" w:cs="Times New Roman"/>
                <w:color w:val="auto"/>
                <w:sz w:val="24"/>
                <w:szCs w:val="24"/>
                <w:lang w:val="en-US" w:eastAsia="zh-CN"/>
              </w:rPr>
              <w:t>。</w:t>
            </w:r>
          </w:p>
          <w:p w14:paraId="52C968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尾渣属第Ⅰ类一般工业固体废物，在厂区内暂存堆放过程中会产生少量的浸出液、浸出液中各危险成分较少，不属于危险废物，场区内不设置永久堆放场，仅设尾渣仓对尾渣进行短暂堆放。尾渣仓上部有顶棚、围挡，在临时贮存时可有效避免受雨水淋浴、冲刷；此外尾渣仓底已经进行了</w:t>
            </w:r>
            <w:r>
              <w:rPr>
                <w:rFonts w:hint="eastAsia" w:cs="Times New Roman"/>
                <w:color w:val="auto"/>
                <w:sz w:val="24"/>
                <w:szCs w:val="24"/>
                <w:lang w:val="en-US" w:eastAsia="zh-CN"/>
              </w:rPr>
              <w:t>重点</w:t>
            </w:r>
            <w:r>
              <w:rPr>
                <w:rFonts w:hint="default" w:ascii="Times New Roman" w:hAnsi="Times New Roman" w:eastAsia="宋体" w:cs="Times New Roman"/>
                <w:color w:val="auto"/>
                <w:sz w:val="24"/>
                <w:szCs w:val="24"/>
                <w:lang w:val="en-US" w:eastAsia="zh-CN"/>
              </w:rPr>
              <w:t>防渗、硬化且周边设有导流沟，可有效防止尾渣内废水下渗，由导流沟收集的尾渣渗滤液进入回水池回用于生产工艺，因此，尾渣暂存于尾渣仓对周围产生的不利环境影响较小。</w:t>
            </w:r>
          </w:p>
          <w:p w14:paraId="2E264E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（2）危险废物</w:t>
            </w:r>
          </w:p>
          <w:p w14:paraId="24B342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项目危险废物收集后依托易门铜业有限公司已建5#危废暂存库进行暂存，然后委托云南广莱再生资源回收有限公司进行清运处置。本次依托的危废暂存库占地面积为99m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，容积120m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主要用于暂存废润滑油、废酸液、废碱液。建设单位已按照《危险废物贮存污染控制标准》（GB18597-2023）对该危废暂存库进行建设，并通过了竣工环境保护验收，具体采取的防渗措施为：侧壁（自内向外）：环库挡墙壁+GCL（钠基膨润土毯）+2mm厚HDPE膜+C2细石混凝土压重墙+建筑防腐层；库底（自下向上）：场地平整基础+GCL（钠基膨润土毯）+2mm厚HDPE膜+复合土工排水网+300mm厚天然砂砾石层（内设DN160HDPE花孔管）+建筑防腐层，满足重点防渗要求。</w:t>
            </w:r>
          </w:p>
          <w:p w14:paraId="04F88B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在对危险废物的收集、贮存和委托云南广莱再生资源回收有限公司处理过程中，本环评要求做到以下几点：</w:t>
            </w:r>
          </w:p>
          <w:p w14:paraId="473F68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收集：项目所产生的危险废物必须单独收集，严禁和一般固体废物混装；</w:t>
            </w:r>
          </w:p>
          <w:p w14:paraId="66D5D9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贮存：按照《危险废物贮存污染控制标准》（GB18597-2023）要求进行贮存，即“必须将危险废物装入容器内，容器及材质要满足相应的强度要求、装载危险废物的容器必须完好无损；</w:t>
            </w:r>
          </w:p>
          <w:p w14:paraId="0389C1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委托转移：委托云南广莱再生资源回收有限公司处理过程中必须严格按照《危险废物转移管理办法》（</w:t>
            </w:r>
            <w:r>
              <w:rPr>
                <w:rFonts w:hint="default" w:ascii="Times New Roman" w:hAnsi="Times New Roman" w:eastAsia="宋体" w:cs="Times New Roman"/>
                <w:color w:val="auto"/>
                <w:sz w:val="24"/>
                <w:szCs w:val="24"/>
                <w:highlight w:val="none"/>
              </w:rPr>
              <w:t>部令第23号</w:t>
            </w:r>
            <w:r>
              <w:rPr>
                <w:rFonts w:hint="default" w:ascii="Times New Roman" w:hAnsi="Times New Roman" w:eastAsia="宋体" w:cs="Times New Roman"/>
                <w:color w:val="auto"/>
                <w:sz w:val="24"/>
                <w:szCs w:val="24"/>
                <w:highlight w:val="none"/>
                <w:lang w:val="en-US" w:eastAsia="zh-CN"/>
              </w:rPr>
              <w:t>）的相关要求，严格执行危险废物转移联单制度，同时设置危废管理台账。</w:t>
            </w:r>
          </w:p>
          <w:p w14:paraId="6CC9303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4.</w:t>
            </w:r>
            <w:r>
              <w:rPr>
                <w:rFonts w:hint="eastAsia" w:cs="Times New Roman"/>
                <w:b/>
                <w:bCs/>
                <w:color w:val="auto"/>
                <w:sz w:val="24"/>
                <w:lang w:val="en-US" w:eastAsia="zh-CN"/>
              </w:rPr>
              <w:t>3尾渣处置措施可行性分析</w:t>
            </w:r>
          </w:p>
          <w:p w14:paraId="496E13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本项目尾渣外售给</w:t>
            </w:r>
            <w:r>
              <w:rPr>
                <w:rFonts w:hint="eastAsia" w:ascii="Times New Roman" w:hAnsi="Times New Roman" w:eastAsia="宋体" w:cs="Times New Roman"/>
                <w:color w:val="auto"/>
                <w:sz w:val="24"/>
                <w:szCs w:val="24"/>
                <w:highlight w:val="none"/>
                <w:lang w:val="en-US" w:eastAsia="zh-CN"/>
              </w:rPr>
              <w:t>易门六街二台坡选矿有限公司、海邦矿业（峨山）有限公司以及易门洪斌经贸有限公司进行综合利用</w:t>
            </w:r>
            <w:r>
              <w:rPr>
                <w:rFonts w:hint="eastAsia" w:eastAsia="宋体" w:cs="Times New Roman"/>
                <w:color w:val="auto"/>
                <w:sz w:val="24"/>
                <w:szCs w:val="24"/>
                <w:highlight w:val="none"/>
                <w:lang w:val="en-US" w:eastAsia="zh-CN"/>
              </w:rPr>
              <w:t>。</w:t>
            </w:r>
          </w:p>
          <w:p w14:paraId="4F6655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易门六街二台坡选矿有限公司年主要经营范围为</w:t>
            </w:r>
            <w:r>
              <w:rPr>
                <w:rFonts w:hint="default" w:ascii="Times New Roman" w:hAnsi="Times New Roman" w:eastAsia="宋体" w:cs="Times New Roman"/>
                <w:color w:val="auto"/>
                <w:sz w:val="24"/>
                <w:szCs w:val="24"/>
                <w:highlight w:val="none"/>
                <w:lang w:val="en-US" w:eastAsia="zh-CN"/>
              </w:rPr>
              <w:t>矿物洗选加工</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固体废物治理</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金属废料和碎屑加工处理</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再生资源加工</w:t>
            </w:r>
            <w:r>
              <w:rPr>
                <w:rFonts w:hint="eastAsia" w:eastAsia="宋体" w:cs="Times New Roman"/>
                <w:color w:val="auto"/>
                <w:sz w:val="24"/>
                <w:szCs w:val="24"/>
                <w:highlight w:val="none"/>
                <w:lang w:val="en-US" w:eastAsia="zh-CN"/>
              </w:rPr>
              <w:t>；年处理40万吨工业固体废弃物（尾渣），2020年6月25日取得了玉溪市生态环境局易门县分局关于</w:t>
            </w:r>
            <w:r>
              <w:rPr>
                <w:rFonts w:hint="eastAsia" w:ascii="Times New Roman" w:hAnsi="Times New Roman" w:eastAsia="宋体" w:cs="Times New Roman"/>
                <w:color w:val="auto"/>
                <w:sz w:val="24"/>
                <w:szCs w:val="24"/>
                <w:highlight w:val="none"/>
                <w:lang w:val="en-US" w:eastAsia="zh-CN"/>
              </w:rPr>
              <w:t>易门六街二台坡选矿有限公司</w:t>
            </w:r>
            <w:r>
              <w:rPr>
                <w:rFonts w:hint="eastAsia" w:eastAsia="宋体" w:cs="Times New Roman"/>
                <w:color w:val="auto"/>
                <w:sz w:val="24"/>
                <w:szCs w:val="24"/>
                <w:highlight w:val="none"/>
                <w:lang w:val="en-US" w:eastAsia="zh-CN"/>
              </w:rPr>
              <w:t>年处理40万吨工业固体废弃物尾渣开发利用改建项目环境影响报告表的批复（易环审</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w:t>
            </w:r>
            <w:r>
              <w:rPr>
                <w:rFonts w:hint="eastAsia"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Times New Roman"/>
                <w:color w:val="auto"/>
                <w:kern w:val="0"/>
                <w:sz w:val="24"/>
                <w:szCs w:val="24"/>
                <w:highlight w:val="none"/>
                <w:lang w:val="en-US" w:eastAsia="zh-CN" w:bidi="ar"/>
              </w:rPr>
              <w:t>26</w:t>
            </w:r>
            <w:r>
              <w:rPr>
                <w:rFonts w:hint="eastAsia" w:ascii="宋体" w:hAnsi="宋体" w:eastAsia="宋体" w:cs="宋体"/>
                <w:color w:val="auto"/>
                <w:kern w:val="0"/>
                <w:sz w:val="24"/>
                <w:szCs w:val="24"/>
                <w:highlight w:val="none"/>
                <w:lang w:val="en-US" w:eastAsia="zh-CN" w:bidi="ar"/>
              </w:rPr>
              <w:t>号</w:t>
            </w:r>
            <w:r>
              <w:rPr>
                <w:rFonts w:hint="eastAsia" w:eastAsia="宋体" w:cs="Times New Roman"/>
                <w:color w:val="auto"/>
                <w:sz w:val="24"/>
                <w:szCs w:val="24"/>
                <w:highlight w:val="none"/>
                <w:lang w:val="en-US" w:eastAsia="zh-CN"/>
              </w:rPr>
              <w:t>），该公司持有营业执照，并已依法取得相关环保手续。</w:t>
            </w:r>
          </w:p>
          <w:p w14:paraId="193C7A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海邦矿业（峨山）有限公司主营尾矿/冶炼渣分选、有价金属回收</w:t>
            </w:r>
            <w:r>
              <w:rPr>
                <w:rFonts w:hint="eastAsia" w:eastAsia="宋体" w:cs="Times New Roman"/>
                <w:color w:val="auto"/>
                <w:sz w:val="24"/>
                <w:szCs w:val="24"/>
                <w:highlight w:val="none"/>
                <w:lang w:val="en-US" w:eastAsia="zh-CN"/>
              </w:rPr>
              <w:t>，年处理72万吨尾矿渣，2022年12月22日取得了玉溪市生态环境局关于海邦矿业（峨山）有限公司年产24万吨铁精粉矿项目环境影响报告书的批复（玉环审</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w:t>
            </w:r>
            <w:r>
              <w:rPr>
                <w:rFonts w:hint="eastAsia"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eastAsia="宋体" w:cs="Times New Roman"/>
                <w:color w:val="auto"/>
                <w:kern w:val="0"/>
                <w:sz w:val="24"/>
                <w:szCs w:val="24"/>
                <w:highlight w:val="none"/>
                <w:lang w:val="en-US" w:eastAsia="zh-CN" w:bidi="ar"/>
              </w:rPr>
              <w:t>1-14</w:t>
            </w:r>
            <w:r>
              <w:rPr>
                <w:rFonts w:hint="eastAsia" w:ascii="宋体" w:hAnsi="宋体" w:eastAsia="宋体" w:cs="宋体"/>
                <w:color w:val="auto"/>
                <w:kern w:val="0"/>
                <w:sz w:val="24"/>
                <w:szCs w:val="24"/>
                <w:highlight w:val="none"/>
                <w:lang w:val="en-US" w:eastAsia="zh-CN" w:bidi="ar"/>
              </w:rPr>
              <w:t>号</w:t>
            </w:r>
            <w:r>
              <w:rPr>
                <w:rFonts w:hint="eastAsia" w:eastAsia="宋体" w:cs="Times New Roman"/>
                <w:color w:val="auto"/>
                <w:sz w:val="24"/>
                <w:szCs w:val="24"/>
                <w:highlight w:val="none"/>
                <w:lang w:val="en-US" w:eastAsia="zh-CN"/>
              </w:rPr>
              <w:t>），该公司持有营业执照，并依法取得相关环保手续。</w:t>
            </w:r>
          </w:p>
          <w:p w14:paraId="21D17F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易门洪斌经贸有限公司主营废渣加工综合利用，年处理21万吨废渣，2024年12月16</w:t>
            </w:r>
            <w:r>
              <w:rPr>
                <w:rFonts w:hint="eastAsia" w:eastAsia="宋体" w:cs="Times New Roman"/>
                <w:color w:val="auto"/>
                <w:sz w:val="24"/>
                <w:szCs w:val="24"/>
                <w:highlight w:val="none"/>
                <w:lang w:val="en-US" w:eastAsia="zh-CN"/>
              </w:rPr>
              <w:t>取得了玉溪市生态环境局易门分局关于易门洪斌经贸有限公司年产7万吨废渣精选再利用项目环境影响报告表的批复（易环审</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w:t>
            </w:r>
            <w:r>
              <w:rPr>
                <w:rFonts w:hint="eastAsia"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w:t>
            </w:r>
            <w:r>
              <w:rPr>
                <w:rFonts w:hint="eastAsia" w:eastAsia="宋体" w:cs="Times New Roman"/>
                <w:color w:val="auto"/>
                <w:kern w:val="0"/>
                <w:sz w:val="24"/>
                <w:szCs w:val="24"/>
                <w:highlight w:val="none"/>
                <w:lang w:val="en-US" w:eastAsia="zh-CN" w:bidi="ar"/>
              </w:rPr>
              <w:t>23</w:t>
            </w:r>
            <w:r>
              <w:rPr>
                <w:rFonts w:hint="eastAsia" w:ascii="宋体" w:hAnsi="宋体" w:eastAsia="宋体" w:cs="宋体"/>
                <w:color w:val="auto"/>
                <w:kern w:val="0"/>
                <w:sz w:val="24"/>
                <w:szCs w:val="24"/>
                <w:highlight w:val="none"/>
                <w:lang w:val="en-US" w:eastAsia="zh-CN" w:bidi="ar"/>
              </w:rPr>
              <w:t>号</w:t>
            </w:r>
            <w:r>
              <w:rPr>
                <w:rFonts w:hint="eastAsia" w:eastAsia="宋体" w:cs="Times New Roman"/>
                <w:color w:val="auto"/>
                <w:sz w:val="24"/>
                <w:szCs w:val="24"/>
                <w:highlight w:val="none"/>
                <w:lang w:val="en-US" w:eastAsia="zh-CN"/>
              </w:rPr>
              <w:t>），该公司持有营业执照，并依法取得相关环保手续。</w:t>
            </w:r>
          </w:p>
          <w:p w14:paraId="07D2B5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上述三家单位均具备合法资质、环保手续齐全、长期稳定运营，接纳能力充足可保障尾渣合规消纳，尾渣处置措施可行。</w:t>
            </w:r>
          </w:p>
          <w:p w14:paraId="59AFC8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w:t>
            </w:r>
            <w:r>
              <w:rPr>
                <w:rFonts w:hint="eastAsia" w:cs="Times New Roman"/>
                <w:b/>
                <w:bCs/>
                <w:color w:val="auto"/>
                <w:sz w:val="24"/>
                <w:lang w:val="en-US" w:eastAsia="zh-CN"/>
              </w:rPr>
              <w:t>4</w:t>
            </w:r>
            <w:r>
              <w:rPr>
                <w:rFonts w:hint="default" w:ascii="Times New Roman" w:hAnsi="Times New Roman" w:eastAsia="宋体" w:cs="Times New Roman"/>
                <w:b/>
                <w:bCs/>
                <w:color w:val="auto"/>
                <w:sz w:val="24"/>
                <w:lang w:val="en-US" w:eastAsia="zh-CN"/>
              </w:rPr>
              <w:t>固废影响分析</w:t>
            </w:r>
          </w:p>
          <w:p w14:paraId="617C49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项目尾</w:t>
            </w:r>
            <w:r>
              <w:rPr>
                <w:rFonts w:hint="eastAsia" w:ascii="Times New Roman" w:hAnsi="Times New Roman" w:eastAsia="宋体" w:cs="Times New Roman"/>
                <w:color w:val="auto"/>
                <w:sz w:val="24"/>
                <w:szCs w:val="24"/>
                <w:lang w:val="en-US" w:eastAsia="zh-CN"/>
              </w:rPr>
              <w:t>矿</w:t>
            </w:r>
            <w:r>
              <w:rPr>
                <w:rFonts w:hint="default" w:ascii="Times New Roman" w:hAnsi="Times New Roman" w:eastAsia="宋体" w:cs="Times New Roman"/>
                <w:color w:val="auto"/>
                <w:sz w:val="24"/>
                <w:szCs w:val="24"/>
                <w:lang w:val="en-US" w:eastAsia="zh-CN"/>
              </w:rPr>
              <w:t>渣外售</w:t>
            </w:r>
            <w:r>
              <w:rPr>
                <w:rFonts w:hint="eastAsia" w:ascii="Times New Roman" w:hAnsi="Times New Roman" w:eastAsia="宋体" w:cs="Times New Roman"/>
                <w:color w:val="auto"/>
                <w:sz w:val="24"/>
                <w:szCs w:val="24"/>
                <w:lang w:val="en-US" w:eastAsia="zh-CN"/>
              </w:rPr>
              <w:t>给外售给易门六街二台坡选矿有限公司、海邦矿业（峨山）有限公司以及易门洪斌经贸有限公司进行综合利用；回收工艺沉淀池污泥</w:t>
            </w:r>
            <w:r>
              <w:rPr>
                <w:rFonts w:hint="default" w:ascii="Times New Roman" w:hAnsi="Times New Roman" w:eastAsia="宋体" w:cs="Times New Roman"/>
                <w:color w:val="auto"/>
                <w:sz w:val="24"/>
                <w:szCs w:val="24"/>
                <w:lang w:val="en-US" w:eastAsia="zh-CN"/>
              </w:rPr>
              <w:t>由渣浆泵泵入项目磨浮工段进行再次浮选，</w:t>
            </w:r>
            <w:r>
              <w:rPr>
                <w:rFonts w:hint="eastAsia" w:ascii="Times New Roman" w:hAnsi="Times New Roman" w:eastAsia="宋体" w:cs="Times New Roman"/>
                <w:color w:val="auto"/>
                <w:sz w:val="24"/>
                <w:szCs w:val="24"/>
                <w:lang w:val="en-US" w:eastAsia="zh-CN"/>
              </w:rPr>
              <w:t>不外排；</w:t>
            </w:r>
            <w:r>
              <w:rPr>
                <w:rFonts w:hint="default" w:ascii="Times New Roman" w:hAnsi="Times New Roman" w:eastAsia="宋体" w:cs="Times New Roman"/>
                <w:color w:val="auto"/>
                <w:sz w:val="24"/>
                <w:szCs w:val="24"/>
                <w:lang w:val="en-US" w:eastAsia="zh-CN"/>
              </w:rPr>
              <w:t>除尘系统收集的除尘灰</w:t>
            </w:r>
            <w:r>
              <w:rPr>
                <w:rFonts w:hint="eastAsia" w:cs="Times New Roman"/>
                <w:color w:val="auto"/>
                <w:sz w:val="24"/>
                <w:szCs w:val="24"/>
                <w:lang w:val="en-US" w:eastAsia="zh-CN"/>
              </w:rPr>
              <w:t>收集后作为原料进入选矿工段</w:t>
            </w:r>
            <w:r>
              <w:rPr>
                <w:rFonts w:hint="default" w:ascii="Times New Roman" w:hAnsi="Times New Roman" w:eastAsia="宋体" w:cs="Times New Roman"/>
                <w:color w:val="auto"/>
                <w:sz w:val="24"/>
                <w:szCs w:val="24"/>
                <w:lang w:val="en-US" w:eastAsia="zh-CN"/>
              </w:rPr>
              <w:t>；设备维修保养产生的废</w:t>
            </w:r>
            <w:r>
              <w:rPr>
                <w:rFonts w:hint="eastAsia" w:cs="Times New Roman"/>
                <w:color w:val="auto"/>
                <w:sz w:val="24"/>
                <w:szCs w:val="24"/>
                <w:lang w:val="en-US" w:eastAsia="zh-CN"/>
              </w:rPr>
              <w:t>润滑油和废油桶</w:t>
            </w:r>
            <w:r>
              <w:rPr>
                <w:rFonts w:hint="default" w:ascii="Times New Roman" w:hAnsi="Times New Roman" w:eastAsia="宋体" w:cs="Times New Roman"/>
                <w:color w:val="auto"/>
                <w:sz w:val="24"/>
                <w:szCs w:val="24"/>
                <w:lang w:val="en-US" w:eastAsia="zh-CN"/>
              </w:rPr>
              <w:t>依托公司厂区</w:t>
            </w:r>
            <w:r>
              <w:rPr>
                <w:rFonts w:hint="eastAsia" w:cs="Times New Roman"/>
                <w:color w:val="auto"/>
                <w:sz w:val="24"/>
                <w:szCs w:val="24"/>
                <w:lang w:val="en-US" w:eastAsia="zh-CN"/>
              </w:rPr>
              <w:t>现有的</w:t>
            </w:r>
            <w:r>
              <w:rPr>
                <w:rFonts w:hint="eastAsia" w:ascii="Times New Roman" w:hAnsi="Times New Roman" w:eastAsia="宋体" w:cs="Times New Roman"/>
                <w:color w:val="auto"/>
                <w:sz w:val="24"/>
                <w:szCs w:val="24"/>
                <w:lang w:val="en-US" w:eastAsia="zh-CN"/>
              </w:rPr>
              <w:t>5＃危险废物贮存库</w:t>
            </w:r>
            <w:r>
              <w:rPr>
                <w:rFonts w:hint="default" w:ascii="Times New Roman" w:hAnsi="Times New Roman" w:eastAsia="宋体" w:cs="Times New Roman"/>
                <w:color w:val="auto"/>
                <w:sz w:val="24"/>
                <w:szCs w:val="24"/>
                <w:lang w:val="en-US" w:eastAsia="zh-CN"/>
              </w:rPr>
              <w:t>，定期交由</w:t>
            </w:r>
            <w:r>
              <w:rPr>
                <w:rFonts w:hint="eastAsia" w:ascii="Times New Roman" w:hAnsi="Times New Roman" w:eastAsia="宋体" w:cs="Times New Roman"/>
                <w:color w:val="auto"/>
                <w:sz w:val="24"/>
                <w:szCs w:val="24"/>
                <w:lang w:val="en-US" w:eastAsia="zh-CN"/>
              </w:rPr>
              <w:t>云南广莱再生资源回收有限公司定期清运处置</w:t>
            </w:r>
            <w:r>
              <w:rPr>
                <w:rFonts w:hint="default" w:ascii="Times New Roman" w:hAnsi="Times New Roman" w:eastAsia="宋体" w:cs="Times New Roman"/>
                <w:color w:val="auto"/>
                <w:sz w:val="24"/>
                <w:szCs w:val="24"/>
                <w:lang w:val="en-US" w:eastAsia="zh-CN"/>
              </w:rPr>
              <w:t>；生活垃圾依托公司厂区生活垃圾收集设施，统一收集后交由当地环卫部门处理。</w:t>
            </w:r>
          </w:p>
          <w:p w14:paraId="120F84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综上所述，项目运营期间产生</w:t>
            </w:r>
            <w:r>
              <w:rPr>
                <w:rFonts w:hint="eastAsia"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lang w:val="en-US" w:eastAsia="zh-CN"/>
              </w:rPr>
              <w:t>固体废物均能得到合理处置，处置率为100%</w:t>
            </w:r>
            <w:r>
              <w:rPr>
                <w:rFonts w:hint="eastAsia" w:ascii="Times New Roman" w:hAnsi="Times New Roman" w:eastAsia="宋体" w:cs="Times New Roman"/>
                <w:color w:val="auto"/>
                <w:sz w:val="24"/>
                <w:szCs w:val="24"/>
                <w:lang w:val="en-US" w:eastAsia="zh-CN"/>
              </w:rPr>
              <w:t>，对周边环境影响较小。</w:t>
            </w:r>
          </w:p>
          <w:p w14:paraId="228AA13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5、</w:t>
            </w:r>
            <w:r>
              <w:rPr>
                <w:rFonts w:hint="eastAsia" w:ascii="Times New Roman" w:hAnsi="Times New Roman" w:eastAsia="宋体" w:cs="Times New Roman"/>
                <w:b/>
                <w:bCs/>
                <w:color w:val="auto"/>
                <w:sz w:val="24"/>
                <w:lang w:val="en-US" w:eastAsia="zh-CN"/>
              </w:rPr>
              <w:t>土壤、</w:t>
            </w:r>
            <w:r>
              <w:rPr>
                <w:rFonts w:hint="default" w:ascii="Times New Roman" w:hAnsi="Times New Roman" w:eastAsia="宋体" w:cs="Times New Roman"/>
                <w:b/>
                <w:bCs/>
                <w:color w:val="auto"/>
                <w:sz w:val="24"/>
                <w:lang w:val="en-US" w:eastAsia="zh-CN"/>
              </w:rPr>
              <w:t>地下水环境影响分析</w:t>
            </w:r>
          </w:p>
          <w:p w14:paraId="76218B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本项目为渣选工艺流程提效升级改造项目，属于易门铜业有限公司铜冶炼配套公用工程。项目按照“源头控制、分区防治、污染监控、应急响应”的原则进行地下水、土壤污染防治。项目磨浮车间、</w:t>
            </w:r>
            <w:r>
              <w:rPr>
                <w:rFonts w:hint="default" w:ascii="Times New Roman" w:hAnsi="Times New Roman" w:eastAsia="宋体" w:cs="Times New Roman"/>
                <w:color w:val="auto"/>
                <w:sz w:val="24"/>
                <w:szCs w:val="24"/>
                <w:lang w:val="en-US" w:eastAsia="zh-CN"/>
              </w:rPr>
              <w:t>磨浮车间、浓密池、回水池、事故水池、尾渣仓</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污水收集系统</w:t>
            </w:r>
            <w:r>
              <w:rPr>
                <w:rFonts w:hint="eastAsia" w:cs="Times New Roman"/>
                <w:color w:val="auto"/>
                <w:sz w:val="24"/>
                <w:szCs w:val="24"/>
                <w:lang w:val="en-US" w:eastAsia="zh-CN"/>
              </w:rPr>
              <w:t>、破碎车间、筛分车间、塔磨机车间级依托的</w:t>
            </w:r>
            <w:r>
              <w:rPr>
                <w:rFonts w:hint="eastAsia"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危险废</w:t>
            </w:r>
            <w:r>
              <w:rPr>
                <w:rFonts w:hint="eastAsia" w:ascii="Times New Roman" w:hAnsi="Times New Roman" w:eastAsia="宋体" w:cs="Times New Roman"/>
                <w:color w:val="auto"/>
                <w:sz w:val="24"/>
                <w:szCs w:val="24"/>
                <w:lang w:val="en-US" w:eastAsia="zh-CN"/>
              </w:rPr>
              <w:t>物贮存库经采取合理的防渗措施后，正常运行工况下无地下水、土壤污染途径。本项目分区防渗措施见下表。</w:t>
            </w:r>
          </w:p>
          <w:p w14:paraId="485296B0">
            <w:pPr>
              <w:pStyle w:val="54"/>
              <w:bidi w:val="0"/>
              <w:rPr>
                <w:rFonts w:hint="default" w:ascii="Times New Roman" w:hAnsi="Times New Roman" w:cs="Times New Roman"/>
                <w:b/>
                <w:bCs/>
                <w:color w:val="auto"/>
                <w:kern w:val="0"/>
                <w:szCs w:val="21"/>
                <w:highlight w:val="none"/>
                <w:lang w:val="en-US" w:eastAsia="zh-CN" w:bidi="ar"/>
              </w:rPr>
            </w:pPr>
            <w:r>
              <w:rPr>
                <w:rFonts w:hint="default"/>
                <w:color w:val="auto"/>
                <w:highlight w:val="none"/>
                <w:lang w:val="en-US" w:eastAsia="zh-CN"/>
              </w:rPr>
              <w:t>表4-</w:t>
            </w:r>
            <w:r>
              <w:rPr>
                <w:rFonts w:hint="eastAsia"/>
                <w:color w:val="auto"/>
                <w:highlight w:val="none"/>
                <w:lang w:val="en-US" w:eastAsia="zh-CN"/>
              </w:rPr>
              <w:t>15</w:t>
            </w:r>
            <w:r>
              <w:rPr>
                <w:rFonts w:hint="default"/>
                <w:color w:val="auto"/>
                <w:highlight w:val="none"/>
                <w:lang w:val="en-US" w:eastAsia="zh-CN"/>
              </w:rPr>
              <w:t xml:space="preserve">  项目分区防渗措施</w:t>
            </w:r>
            <w:r>
              <w:rPr>
                <w:rFonts w:hint="eastAsia"/>
                <w:color w:val="auto"/>
                <w:highlight w:val="none"/>
                <w:lang w:val="en-US" w:eastAsia="zh-CN"/>
              </w:rPr>
              <w:t>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395"/>
              <w:gridCol w:w="1750"/>
              <w:gridCol w:w="2753"/>
              <w:gridCol w:w="771"/>
            </w:tblGrid>
            <w:tr w14:paraId="1CD8AE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tcBorders>
                    <w:tl2br w:val="nil"/>
                    <w:tr2bl w:val="nil"/>
                  </w:tcBorders>
                  <w:vAlign w:val="center"/>
                </w:tcPr>
                <w:p w14:paraId="5DB4FC21">
                  <w:pPr>
                    <w:pStyle w:val="53"/>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防渗分区</w:t>
                  </w:r>
                </w:p>
              </w:tc>
              <w:tc>
                <w:tcPr>
                  <w:tcW w:w="888" w:type="pct"/>
                  <w:tcBorders>
                    <w:tl2br w:val="nil"/>
                    <w:tr2bl w:val="nil"/>
                  </w:tcBorders>
                  <w:vAlign w:val="center"/>
                </w:tcPr>
                <w:p w14:paraId="55C23DD3">
                  <w:pPr>
                    <w:pStyle w:val="53"/>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sz w:val="18"/>
                      <w:szCs w:val="18"/>
                      <w:highlight w:val="none"/>
                      <w:lang w:val="en-US" w:eastAsia="zh-CN"/>
                    </w:rPr>
                    <w:t>建构筑物/防渗区域</w:t>
                  </w:r>
                </w:p>
              </w:tc>
              <w:tc>
                <w:tcPr>
                  <w:tcW w:w="1114" w:type="pct"/>
                  <w:tcBorders>
                    <w:tl2br w:val="nil"/>
                    <w:tr2bl w:val="nil"/>
                  </w:tcBorders>
                  <w:vAlign w:val="center"/>
                </w:tcPr>
                <w:p w14:paraId="169BD157">
                  <w:pPr>
                    <w:pStyle w:val="53"/>
                    <w:bidi w:val="0"/>
                    <w:jc w:val="center"/>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val="en-US" w:eastAsia="zh-CN"/>
                    </w:rPr>
                    <w:t>防渗要求</w:t>
                  </w:r>
                </w:p>
              </w:tc>
              <w:tc>
                <w:tcPr>
                  <w:tcW w:w="1753" w:type="pct"/>
                  <w:tcBorders>
                    <w:tl2br w:val="nil"/>
                    <w:tr2bl w:val="nil"/>
                  </w:tcBorders>
                  <w:vAlign w:val="center"/>
                </w:tcPr>
                <w:p w14:paraId="0A53F0D9">
                  <w:pPr>
                    <w:pStyle w:val="53"/>
                    <w:bidi w:val="0"/>
                    <w:jc w:val="center"/>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val="en-US" w:eastAsia="zh-CN"/>
                    </w:rPr>
                    <w:t>防渗措施</w:t>
                  </w:r>
                </w:p>
              </w:tc>
              <w:tc>
                <w:tcPr>
                  <w:tcW w:w="491" w:type="pct"/>
                  <w:tcBorders>
                    <w:tl2br w:val="nil"/>
                    <w:tr2bl w:val="nil"/>
                  </w:tcBorders>
                  <w:vAlign w:val="center"/>
                </w:tcPr>
                <w:p w14:paraId="58A23908">
                  <w:pPr>
                    <w:pStyle w:val="53"/>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备注</w:t>
                  </w:r>
                </w:p>
              </w:tc>
            </w:tr>
            <w:tr w14:paraId="5782B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751" w:type="pct"/>
                  <w:vMerge w:val="restart"/>
                  <w:tcBorders>
                    <w:tl2br w:val="nil"/>
                    <w:tr2bl w:val="nil"/>
                  </w:tcBorders>
                  <w:vAlign w:val="center"/>
                </w:tcPr>
                <w:p w14:paraId="6D6C3842">
                  <w:pPr>
                    <w:pStyle w:val="53"/>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重点防渗区</w:t>
                  </w:r>
                </w:p>
              </w:tc>
              <w:tc>
                <w:tcPr>
                  <w:tcW w:w="888" w:type="pct"/>
                  <w:tcBorders>
                    <w:tl2br w:val="nil"/>
                    <w:tr2bl w:val="nil"/>
                  </w:tcBorders>
                  <w:vAlign w:val="center"/>
                </w:tcPr>
                <w:p w14:paraId="2B938FF9">
                  <w:pPr>
                    <w:pStyle w:val="53"/>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磨浮车间、浓密池、回水池、事故水池、尾渣仓</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污水收集系统</w:t>
                  </w:r>
                  <w:r>
                    <w:rPr>
                      <w:rFonts w:hint="eastAsia" w:ascii="Times New Roman" w:hAnsi="Times New Roman" w:eastAsia="宋体" w:cs="Times New Roman"/>
                      <w:color w:val="auto"/>
                      <w:highlight w:val="none"/>
                      <w:lang w:val="en-US" w:eastAsia="zh-CN"/>
                    </w:rPr>
                    <w:t>以及</w:t>
                  </w:r>
                  <w:r>
                    <w:rPr>
                      <w:rFonts w:hint="eastAsia" w:cs="Times New Roman"/>
                      <w:color w:val="auto"/>
                      <w:highlight w:val="none"/>
                      <w:lang w:val="en-US" w:eastAsia="zh-CN"/>
                    </w:rPr>
                    <w:t>依托的</w:t>
                  </w:r>
                  <w:r>
                    <w:rPr>
                      <w:rFonts w:hint="eastAsia" w:ascii="Times New Roman" w:hAnsi="Times New Roman" w:eastAsia="宋体" w:cs="Times New Roman"/>
                      <w:color w:val="auto"/>
                      <w:highlight w:val="none"/>
                      <w:lang w:val="en-US" w:eastAsia="zh-CN"/>
                    </w:rPr>
                    <w:t>5＃危险废物贮存库</w:t>
                  </w:r>
                </w:p>
              </w:tc>
              <w:tc>
                <w:tcPr>
                  <w:tcW w:w="1114" w:type="pct"/>
                  <w:vMerge w:val="restart"/>
                  <w:tcBorders>
                    <w:tl2br w:val="nil"/>
                    <w:tr2bl w:val="nil"/>
                  </w:tcBorders>
                  <w:vAlign w:val="center"/>
                </w:tcPr>
                <w:p w14:paraId="1468DF91">
                  <w:pPr>
                    <w:pStyle w:val="53"/>
                    <w:bidi w:val="0"/>
                    <w:jc w:val="center"/>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val="en-US" w:eastAsia="zh-CN"/>
                    </w:rPr>
                    <w:t>等效黏土防渗层Mb≥6.0m，K≤1×10</w:t>
                  </w:r>
                  <w:r>
                    <w:rPr>
                      <w:rFonts w:hint="default" w:ascii="Times New Roman" w:hAnsi="Times New Roman" w:cs="Times New Roman"/>
                      <w:color w:val="auto"/>
                      <w:sz w:val="18"/>
                      <w:szCs w:val="18"/>
                      <w:highlight w:val="none"/>
                      <w:vertAlign w:val="superscript"/>
                      <w:lang w:val="en-US" w:eastAsia="zh-CN"/>
                    </w:rPr>
                    <w:t>-7</w:t>
                  </w:r>
                  <w:r>
                    <w:rPr>
                      <w:rFonts w:hint="default" w:ascii="Times New Roman" w:hAnsi="Times New Roman" w:cs="Times New Roman"/>
                      <w:color w:val="auto"/>
                      <w:sz w:val="18"/>
                      <w:szCs w:val="18"/>
                      <w:highlight w:val="none"/>
                      <w:lang w:val="en-US" w:eastAsia="zh-CN"/>
                    </w:rPr>
                    <w:t>cm/s；或参照GB18598执行，渗透系数≤10</w:t>
                  </w:r>
                  <w:r>
                    <w:rPr>
                      <w:rFonts w:hint="default" w:ascii="Times New Roman" w:hAnsi="Times New Roman" w:cs="Times New Roman"/>
                      <w:color w:val="auto"/>
                      <w:sz w:val="18"/>
                      <w:szCs w:val="18"/>
                      <w:highlight w:val="none"/>
                      <w:vertAlign w:val="superscript"/>
                      <w:lang w:val="en-US" w:eastAsia="zh-CN"/>
                    </w:rPr>
                    <w:t>-10</w:t>
                  </w:r>
                  <w:r>
                    <w:rPr>
                      <w:rFonts w:hint="default" w:ascii="Times New Roman" w:hAnsi="Times New Roman" w:cs="Times New Roman"/>
                      <w:color w:val="auto"/>
                      <w:sz w:val="18"/>
                      <w:szCs w:val="18"/>
                      <w:highlight w:val="none"/>
                      <w:lang w:val="en-US" w:eastAsia="zh-CN"/>
                    </w:rPr>
                    <w:t>cm/s</w:t>
                  </w:r>
                </w:p>
              </w:tc>
              <w:tc>
                <w:tcPr>
                  <w:tcW w:w="1753" w:type="pct"/>
                  <w:vMerge w:val="restart"/>
                  <w:tcBorders>
                    <w:tl2br w:val="nil"/>
                    <w:tr2bl w:val="nil"/>
                  </w:tcBorders>
                  <w:vAlign w:val="center"/>
                </w:tcPr>
                <w:p w14:paraId="5BC00B85">
                  <w:pPr>
                    <w:pStyle w:val="53"/>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已采取的防渗措施为：</w:t>
                  </w:r>
                  <w:r>
                    <w:rPr>
                      <w:rFonts w:hint="default" w:ascii="Times New Roman" w:hAnsi="Times New Roman" w:eastAsia="宋体" w:cs="Times New Roman"/>
                      <w:color w:val="auto"/>
                      <w:highlight w:val="none"/>
                      <w:lang w:val="en-US" w:eastAsia="zh-CN"/>
                    </w:rPr>
                    <w:t>侧壁（自内向外）：环库挡墙壁+GCL（钠基膨润土毯）+2mm厚HDPE膜+C2细石混凝土压重墙+建筑防腐层；库底（自下向上）：场地平整基础+GCL（钠基膨润土毯）+2mm HDPE膜+复合土工排水网+300mm厚天然砂砾石层（内设DN160HDPE花孔管）+建筑防腐层，满足重点防渗要求。</w:t>
                  </w:r>
                </w:p>
              </w:tc>
              <w:tc>
                <w:tcPr>
                  <w:tcW w:w="491" w:type="pct"/>
                  <w:tcBorders>
                    <w:tl2br w:val="nil"/>
                    <w:tr2bl w:val="nil"/>
                  </w:tcBorders>
                  <w:vAlign w:val="center"/>
                </w:tcPr>
                <w:p w14:paraId="13C8C0E2">
                  <w:pPr>
                    <w:pStyle w:val="53"/>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已建、满足要求</w:t>
                  </w:r>
                </w:p>
              </w:tc>
            </w:tr>
            <w:tr w14:paraId="664A8A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continue"/>
                  <w:tcBorders>
                    <w:tl2br w:val="nil"/>
                    <w:tr2bl w:val="nil"/>
                  </w:tcBorders>
                  <w:vAlign w:val="center"/>
                </w:tcPr>
                <w:p w14:paraId="62D42FDB">
                  <w:pPr>
                    <w:pStyle w:val="53"/>
                    <w:bidi w:val="0"/>
                    <w:jc w:val="center"/>
                    <w:rPr>
                      <w:rFonts w:hint="default" w:ascii="Times New Roman" w:hAnsi="Times New Roman" w:cs="Times New Roman"/>
                      <w:color w:val="auto"/>
                      <w:highlight w:val="none"/>
                      <w:lang w:val="en-US" w:eastAsia="zh-CN"/>
                    </w:rPr>
                  </w:pPr>
                </w:p>
              </w:tc>
              <w:tc>
                <w:tcPr>
                  <w:tcW w:w="888" w:type="pct"/>
                  <w:tcBorders>
                    <w:tl2br w:val="nil"/>
                    <w:tr2bl w:val="nil"/>
                  </w:tcBorders>
                  <w:vAlign w:val="center"/>
                </w:tcPr>
                <w:p w14:paraId="76B7BA64">
                  <w:pPr>
                    <w:pStyle w:val="53"/>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塔磨机车间</w:t>
                  </w:r>
                </w:p>
              </w:tc>
              <w:tc>
                <w:tcPr>
                  <w:tcW w:w="1114" w:type="pct"/>
                  <w:vMerge w:val="continue"/>
                  <w:tcBorders>
                    <w:tl2br w:val="nil"/>
                    <w:tr2bl w:val="nil"/>
                  </w:tcBorders>
                  <w:vAlign w:val="center"/>
                </w:tcPr>
                <w:p w14:paraId="02793DF5">
                  <w:pPr>
                    <w:pStyle w:val="53"/>
                    <w:bidi w:val="0"/>
                    <w:jc w:val="center"/>
                    <w:rPr>
                      <w:rFonts w:hint="default" w:ascii="Times New Roman" w:hAnsi="Times New Roman" w:cs="Times New Roman"/>
                      <w:color w:val="auto"/>
                      <w:sz w:val="18"/>
                      <w:szCs w:val="18"/>
                      <w:highlight w:val="none"/>
                      <w:lang w:val="en-US" w:eastAsia="zh-CN"/>
                    </w:rPr>
                  </w:pPr>
                </w:p>
              </w:tc>
              <w:tc>
                <w:tcPr>
                  <w:tcW w:w="1753" w:type="pct"/>
                  <w:vMerge w:val="continue"/>
                  <w:tcBorders>
                    <w:tl2br w:val="nil"/>
                    <w:tr2bl w:val="nil"/>
                  </w:tcBorders>
                  <w:vAlign w:val="center"/>
                </w:tcPr>
                <w:p w14:paraId="4504B555">
                  <w:pPr>
                    <w:pStyle w:val="53"/>
                    <w:bidi w:val="0"/>
                    <w:jc w:val="center"/>
                    <w:rPr>
                      <w:rFonts w:hint="eastAsia" w:cs="Times New Roman"/>
                      <w:color w:val="auto"/>
                      <w:highlight w:val="none"/>
                      <w:lang w:val="en-US" w:eastAsia="zh-CN"/>
                    </w:rPr>
                  </w:pPr>
                </w:p>
              </w:tc>
              <w:tc>
                <w:tcPr>
                  <w:tcW w:w="491" w:type="pct"/>
                  <w:tcBorders>
                    <w:tl2br w:val="nil"/>
                    <w:tr2bl w:val="nil"/>
                  </w:tcBorders>
                  <w:vAlign w:val="center"/>
                </w:tcPr>
                <w:p w14:paraId="1541EF03">
                  <w:pPr>
                    <w:pStyle w:val="53"/>
                    <w:bidi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环评提出</w:t>
                  </w:r>
                </w:p>
              </w:tc>
            </w:tr>
            <w:tr w14:paraId="2828AB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tcBorders>
                    <w:tl2br w:val="nil"/>
                    <w:tr2bl w:val="nil"/>
                  </w:tcBorders>
                  <w:vAlign w:val="center"/>
                </w:tcPr>
                <w:p w14:paraId="24C5F31B">
                  <w:pPr>
                    <w:pStyle w:val="53"/>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一般防渗区</w:t>
                  </w:r>
                </w:p>
              </w:tc>
              <w:tc>
                <w:tcPr>
                  <w:tcW w:w="888" w:type="pct"/>
                  <w:tcBorders>
                    <w:tl2br w:val="nil"/>
                    <w:tr2bl w:val="nil"/>
                  </w:tcBorders>
                  <w:vAlign w:val="center"/>
                </w:tcPr>
                <w:p w14:paraId="5B1F310F">
                  <w:pPr>
                    <w:pStyle w:val="53"/>
                    <w:bidi w:val="0"/>
                    <w:ind w:left="0" w:lef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破碎车间、筛分车间、原料输送系统等区域</w:t>
                  </w:r>
                </w:p>
              </w:tc>
              <w:tc>
                <w:tcPr>
                  <w:tcW w:w="1114" w:type="pct"/>
                  <w:tcBorders>
                    <w:tl2br w:val="nil"/>
                    <w:tr2bl w:val="nil"/>
                  </w:tcBorders>
                  <w:vAlign w:val="center"/>
                </w:tcPr>
                <w:p w14:paraId="69C5EA7A">
                  <w:pPr>
                    <w:pStyle w:val="53"/>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等效黏土防渗层厚度≥1.5m，渗透系数≤10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cm/s，或参照GB16889执行</w:t>
                  </w:r>
                </w:p>
              </w:tc>
              <w:tc>
                <w:tcPr>
                  <w:tcW w:w="1753" w:type="pct"/>
                  <w:tcBorders>
                    <w:tl2br w:val="nil"/>
                    <w:tr2bl w:val="nil"/>
                  </w:tcBorders>
                  <w:vAlign w:val="center"/>
                </w:tcPr>
                <w:p w14:paraId="002938BC">
                  <w:pPr>
                    <w:pStyle w:val="53"/>
                    <w:bidi w:val="0"/>
                    <w:ind w:left="0" w:leftChars="0" w:firstLine="0" w:firstLineChars="0"/>
                    <w:jc w:val="center"/>
                    <w:rPr>
                      <w:rFonts w:hint="default" w:ascii="Times New Roman" w:hAnsi="Times New Roman" w:cs="Times New Roman"/>
                      <w:color w:val="auto"/>
                      <w:highlight w:val="none"/>
                      <w:lang w:val="en-US" w:eastAsia="zh-CN"/>
                    </w:rPr>
                  </w:pPr>
                  <w:r>
                    <w:rPr>
                      <w:rFonts w:hint="eastAsia"/>
                      <w:color w:val="auto"/>
                      <w:highlight w:val="none"/>
                      <w:lang w:val="en-US" w:eastAsia="zh-CN"/>
                    </w:rPr>
                    <w:t>已采取</w:t>
                  </w:r>
                  <w:r>
                    <w:rPr>
                      <w:rFonts w:hint="default" w:ascii="Times New Roman" w:hAnsi="Times New Roman" w:cs="Times New Roman"/>
                      <w:color w:val="auto"/>
                      <w:highlight w:val="none"/>
                      <w:lang w:val="en-US" w:eastAsia="zh-CN"/>
                    </w:rPr>
                    <w:t>夯实黏土层、在上层</w:t>
                  </w:r>
                  <w:r>
                    <w:rPr>
                      <w:rFonts w:hint="eastAsia" w:cs="Times New Roman"/>
                      <w:color w:val="auto"/>
                      <w:highlight w:val="none"/>
                      <w:lang w:val="en-US" w:eastAsia="zh-CN"/>
                    </w:rPr>
                    <w:t>浇筑</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20</w:t>
                  </w:r>
                  <w:r>
                    <w:rPr>
                      <w:rFonts w:hint="default" w:ascii="Times New Roman" w:hAnsi="Times New Roman" w:cs="Times New Roman"/>
                      <w:color w:val="auto"/>
                      <w:highlight w:val="none"/>
                      <w:lang w:val="en-US" w:eastAsia="zh-CN"/>
                    </w:rPr>
                    <w:t>cm</w:t>
                  </w:r>
                  <w:r>
                    <w:rPr>
                      <w:rFonts w:hint="eastAsia" w:cs="Times New Roman"/>
                      <w:color w:val="auto"/>
                      <w:highlight w:val="none"/>
                      <w:lang w:val="en-US" w:eastAsia="zh-CN"/>
                    </w:rPr>
                    <w:t>厚度</w:t>
                  </w:r>
                  <w:r>
                    <w:rPr>
                      <w:rFonts w:hint="default" w:ascii="Times New Roman" w:hAnsi="Times New Roman" w:cs="Times New Roman"/>
                      <w:color w:val="auto"/>
                      <w:highlight w:val="none"/>
                      <w:lang w:val="en-US" w:eastAsia="zh-CN"/>
                    </w:rPr>
                    <w:t>的</w:t>
                  </w:r>
                  <w:r>
                    <w:rPr>
                      <w:rFonts w:hint="eastAsia" w:cs="Times New Roman"/>
                      <w:color w:val="auto"/>
                      <w:highlight w:val="none"/>
                      <w:lang w:val="en-US" w:eastAsia="zh-CN"/>
                    </w:rPr>
                    <w:t>C30</w:t>
                  </w:r>
                  <w:r>
                    <w:rPr>
                      <w:rFonts w:hint="default" w:ascii="Times New Roman" w:hAnsi="Times New Roman" w:cs="Times New Roman"/>
                      <w:color w:val="auto"/>
                      <w:highlight w:val="none"/>
                      <w:lang w:val="en-US" w:eastAsia="zh-CN"/>
                    </w:rPr>
                    <w:t>抗渗混凝土进行硬化的措施，可满足一般防渗要求</w:t>
                  </w:r>
                </w:p>
              </w:tc>
              <w:tc>
                <w:tcPr>
                  <w:tcW w:w="491" w:type="pct"/>
                  <w:tcBorders>
                    <w:tl2br w:val="nil"/>
                    <w:tr2bl w:val="nil"/>
                  </w:tcBorders>
                  <w:vAlign w:val="center"/>
                </w:tcPr>
                <w:p w14:paraId="5830C5E4">
                  <w:pPr>
                    <w:pStyle w:val="53"/>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已建、满足要求</w:t>
                  </w:r>
                </w:p>
              </w:tc>
            </w:tr>
            <w:tr w14:paraId="43C171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tcBorders>
                    <w:tl2br w:val="nil"/>
                    <w:tr2bl w:val="nil"/>
                  </w:tcBorders>
                  <w:vAlign w:val="center"/>
                </w:tcPr>
                <w:p w14:paraId="4141211A">
                  <w:pPr>
                    <w:pStyle w:val="53"/>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简单防渗区</w:t>
                  </w:r>
                </w:p>
              </w:tc>
              <w:tc>
                <w:tcPr>
                  <w:tcW w:w="888" w:type="pct"/>
                  <w:tcBorders>
                    <w:tl2br w:val="nil"/>
                    <w:tr2bl w:val="nil"/>
                  </w:tcBorders>
                  <w:vAlign w:val="center"/>
                </w:tcPr>
                <w:p w14:paraId="577ECD0F">
                  <w:pPr>
                    <w:pStyle w:val="53"/>
                    <w:bidi w:val="0"/>
                    <w:ind w:left="0" w:lef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项目区道路</w:t>
                  </w:r>
                </w:p>
              </w:tc>
              <w:tc>
                <w:tcPr>
                  <w:tcW w:w="1114" w:type="pct"/>
                  <w:tcBorders>
                    <w:tl2br w:val="nil"/>
                    <w:tr2bl w:val="nil"/>
                  </w:tcBorders>
                  <w:vAlign w:val="center"/>
                </w:tcPr>
                <w:p w14:paraId="5A8C4A4A">
                  <w:pPr>
                    <w:pStyle w:val="53"/>
                    <w:bidi w:val="0"/>
                    <w:ind w:left="0" w:lef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highlight w:val="none"/>
                      <w:lang w:val="en-US" w:eastAsia="zh-CN"/>
                    </w:rPr>
                    <w:t>一般地面硬化</w:t>
                  </w:r>
                </w:p>
              </w:tc>
              <w:tc>
                <w:tcPr>
                  <w:tcW w:w="1753" w:type="pct"/>
                  <w:tcBorders>
                    <w:tl2br w:val="nil"/>
                    <w:tr2bl w:val="nil"/>
                  </w:tcBorders>
                  <w:vAlign w:val="center"/>
                </w:tcPr>
                <w:p w14:paraId="060828BB">
                  <w:pPr>
                    <w:pStyle w:val="53"/>
                    <w:bidi w:val="0"/>
                    <w:ind w:left="0" w:leftChars="0" w:firstLine="0" w:firstLineChars="0"/>
                    <w:jc w:val="center"/>
                    <w:rPr>
                      <w:rFonts w:hint="eastAsia" w:cs="Times New Roman"/>
                      <w:color w:val="auto"/>
                      <w:highlight w:val="none"/>
                      <w:lang w:val="en-US" w:eastAsia="zh-CN"/>
                    </w:rPr>
                  </w:pPr>
                  <w:r>
                    <w:rPr>
                      <w:rFonts w:hint="default" w:ascii="Times New Roman" w:hAnsi="Times New Roman" w:cs="Times New Roman"/>
                      <w:color w:val="auto"/>
                      <w:highlight w:val="none"/>
                      <w:lang w:val="en-US" w:eastAsia="zh-CN"/>
                    </w:rPr>
                    <w:t>厂区道路已进行地面硬化</w:t>
                  </w:r>
                </w:p>
              </w:tc>
              <w:tc>
                <w:tcPr>
                  <w:tcW w:w="491" w:type="pct"/>
                  <w:tcBorders>
                    <w:tl2br w:val="nil"/>
                    <w:tr2bl w:val="nil"/>
                  </w:tcBorders>
                  <w:vAlign w:val="center"/>
                </w:tcPr>
                <w:p w14:paraId="62A7D379">
                  <w:pPr>
                    <w:pStyle w:val="53"/>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已建、满足要求</w:t>
                  </w:r>
                </w:p>
              </w:tc>
            </w:tr>
          </w:tbl>
          <w:p w14:paraId="1E6749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易门铜业总厂区设置了4口地下水监测井，厂区现有地下水自行监测计划满足本项目，监测计划详见下表：</w:t>
            </w:r>
          </w:p>
          <w:p w14:paraId="358710C0">
            <w:pPr>
              <w:pStyle w:val="54"/>
              <w:bidi w:val="0"/>
              <w:rPr>
                <w:rFonts w:hint="default" w:ascii="Times New Roman" w:hAnsi="Times New Roman" w:cs="Times New Roman"/>
                <w:b/>
                <w:bCs/>
                <w:color w:val="auto"/>
                <w:kern w:val="0"/>
                <w:szCs w:val="21"/>
                <w:highlight w:val="none"/>
                <w:lang w:val="en-US" w:eastAsia="zh-CN" w:bidi="ar"/>
              </w:rPr>
            </w:pPr>
            <w:r>
              <w:rPr>
                <w:rFonts w:hint="default"/>
                <w:color w:val="auto"/>
                <w:highlight w:val="none"/>
                <w:lang w:val="en-US" w:eastAsia="zh-CN"/>
              </w:rPr>
              <w:t>表4-</w:t>
            </w:r>
            <w:r>
              <w:rPr>
                <w:rFonts w:hint="eastAsia"/>
                <w:color w:val="auto"/>
                <w:highlight w:val="none"/>
                <w:lang w:val="en-US" w:eastAsia="zh-CN"/>
              </w:rPr>
              <w:t>16</w:t>
            </w:r>
            <w:r>
              <w:rPr>
                <w:rFonts w:hint="default"/>
                <w:color w:val="auto"/>
                <w:highlight w:val="none"/>
                <w:lang w:val="en-US" w:eastAsia="zh-CN"/>
              </w:rPr>
              <w:t xml:space="preserve">  </w:t>
            </w:r>
            <w:r>
              <w:rPr>
                <w:rFonts w:hint="eastAsia"/>
                <w:color w:val="auto"/>
                <w:highlight w:val="none"/>
                <w:lang w:val="en-US" w:eastAsia="zh-CN"/>
              </w:rPr>
              <w:t>地下水监测计划一览表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2549"/>
              <w:gridCol w:w="1568"/>
              <w:gridCol w:w="2622"/>
            </w:tblGrid>
            <w:tr w14:paraId="726633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8" w:type="pct"/>
                  <w:tcBorders>
                    <w:tl2br w:val="nil"/>
                    <w:tr2bl w:val="nil"/>
                  </w:tcBorders>
                  <w:noWrap w:val="0"/>
                  <w:vAlign w:val="center"/>
                </w:tcPr>
                <w:p w14:paraId="300AC1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监测点位</w:t>
                  </w:r>
                </w:p>
              </w:tc>
              <w:tc>
                <w:tcPr>
                  <w:tcW w:w="1623" w:type="pct"/>
                  <w:tcBorders>
                    <w:tl2br w:val="nil"/>
                    <w:tr2bl w:val="nil"/>
                  </w:tcBorders>
                  <w:noWrap w:val="0"/>
                  <w:vAlign w:val="center"/>
                </w:tcPr>
                <w:p w14:paraId="3A4E73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监测项目</w:t>
                  </w:r>
                </w:p>
              </w:tc>
              <w:tc>
                <w:tcPr>
                  <w:tcW w:w="998" w:type="pct"/>
                  <w:tcBorders>
                    <w:tl2br w:val="nil"/>
                    <w:tr2bl w:val="nil"/>
                  </w:tcBorders>
                  <w:noWrap w:val="0"/>
                  <w:vAlign w:val="center"/>
                </w:tcPr>
                <w:p w14:paraId="62588C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监测频率</w:t>
                  </w:r>
                </w:p>
              </w:tc>
              <w:tc>
                <w:tcPr>
                  <w:tcW w:w="1669" w:type="pct"/>
                  <w:tcBorders>
                    <w:tl2br w:val="nil"/>
                    <w:tr2bl w:val="nil"/>
                  </w:tcBorders>
                  <w:noWrap w:val="0"/>
                  <w:vAlign w:val="center"/>
                </w:tcPr>
                <w:p w14:paraId="1E222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执行标准</w:t>
                  </w:r>
                </w:p>
              </w:tc>
            </w:tr>
            <w:tr w14:paraId="22D7B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8" w:type="pct"/>
                  <w:tcBorders>
                    <w:tl2br w:val="nil"/>
                    <w:tr2bl w:val="nil"/>
                  </w:tcBorders>
                  <w:noWrap w:val="0"/>
                  <w:vAlign w:val="center"/>
                </w:tcPr>
                <w:p w14:paraId="66B093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zh-CN" w:eastAsia="zh-CN"/>
                    </w:rPr>
                  </w:pPr>
                  <w:r>
                    <w:rPr>
                      <w:rFonts w:hint="eastAsia" w:ascii="Times New Roman" w:hAnsi="Times New Roman" w:eastAsia="宋体" w:cs="Times New Roman"/>
                      <w:color w:val="auto"/>
                      <w:sz w:val="18"/>
                      <w:szCs w:val="18"/>
                      <w:highlight w:val="none"/>
                      <w:lang w:val="en-US" w:eastAsia="zh-CN"/>
                    </w:rPr>
                    <w:t>2＃井、3＃井、5＃井、6＃井</w:t>
                  </w:r>
                </w:p>
              </w:tc>
              <w:tc>
                <w:tcPr>
                  <w:tcW w:w="1623" w:type="pct"/>
                  <w:tcBorders>
                    <w:tl2br w:val="nil"/>
                    <w:tr2bl w:val="nil"/>
                  </w:tcBorders>
                  <w:noWrap w:val="0"/>
                  <w:vAlign w:val="center"/>
                </w:tcPr>
                <w:p w14:paraId="5CC9A0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pH、浊度、高锰酸盐指数、溶解性总固体、氨氮、总磷、总氮、硝酸盐、挥发酚、总大肠菌群、氟化物、氰化物、细菌总数、总硬度、硫酸盐、氯化物、铜、锌、砷、镉、六价铬、铅、汞、铁、猛、锑、镍、铊、钴</w:t>
                  </w:r>
                </w:p>
              </w:tc>
              <w:tc>
                <w:tcPr>
                  <w:tcW w:w="998" w:type="pct"/>
                  <w:tcBorders>
                    <w:tl2br w:val="nil"/>
                    <w:tr2bl w:val="nil"/>
                  </w:tcBorders>
                  <w:noWrap w:val="0"/>
                  <w:vAlign w:val="center"/>
                </w:tcPr>
                <w:p w14:paraId="09A1FA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eastAsiaTheme="minorEastAsia"/>
                      <w:color w:val="auto"/>
                      <w:spacing w:val="0"/>
                      <w:sz w:val="18"/>
                      <w:szCs w:val="18"/>
                      <w:highlight w:val="none"/>
                      <w:vertAlign w:val="baseline"/>
                      <w:lang w:val="en-US" w:eastAsia="zh-CN"/>
                    </w:rPr>
                    <w:t>1次/季度</w:t>
                  </w:r>
                  <w:r>
                    <w:rPr>
                      <w:rFonts w:hint="eastAsia" w:cs="Times New Roman" w:eastAsiaTheme="minorEastAsia"/>
                      <w:color w:val="auto"/>
                      <w:spacing w:val="0"/>
                      <w:sz w:val="18"/>
                      <w:szCs w:val="18"/>
                      <w:highlight w:val="none"/>
                      <w:vertAlign w:val="baseline"/>
                      <w:lang w:val="en-US" w:eastAsia="zh-CN"/>
                    </w:rPr>
                    <w:t>，按照国家相关噪声监测技术方法进行监测</w:t>
                  </w:r>
                </w:p>
              </w:tc>
              <w:tc>
                <w:tcPr>
                  <w:tcW w:w="1669" w:type="pct"/>
                  <w:tcBorders>
                    <w:tl2br w:val="nil"/>
                    <w:tr2bl w:val="nil"/>
                  </w:tcBorders>
                  <w:noWrap w:val="0"/>
                  <w:vAlign w:val="center"/>
                </w:tcPr>
                <w:p w14:paraId="7D33B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《地下水环境质量标准》（GB14848-2017）</w:t>
                  </w:r>
                  <w:r>
                    <w:rPr>
                      <w:rFonts w:hint="default" w:ascii="Times New Roman" w:hAnsi="Times New Roman" w:eastAsia="宋体" w:cs="Times New Roman"/>
                      <w:color w:val="auto"/>
                      <w:sz w:val="18"/>
                      <w:szCs w:val="18"/>
                      <w:highlight w:val="none"/>
                      <w:lang w:val="en-US" w:eastAsia="zh-CN"/>
                    </w:rPr>
                    <w:t>Ⅲ类标准</w:t>
                  </w:r>
                </w:p>
              </w:tc>
            </w:tr>
          </w:tbl>
          <w:p w14:paraId="3A2C4B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易门铜业现有土壤自行监测方案设置了6个监测点位，其中2个监测点位在生产厂界外，分别是厂区上风向和厂区下方向，其余监测点位于厂区内，现有土壤自行监测计划满足本项目，监测计划详见下表：</w:t>
            </w:r>
          </w:p>
          <w:p w14:paraId="0227AE95">
            <w:pPr>
              <w:pStyle w:val="54"/>
              <w:bidi w:val="0"/>
              <w:rPr>
                <w:rFonts w:hint="default" w:ascii="Times New Roman" w:hAnsi="Times New Roman" w:cs="Times New Roman"/>
                <w:b/>
                <w:bCs/>
                <w:color w:val="auto"/>
                <w:kern w:val="0"/>
                <w:szCs w:val="21"/>
                <w:highlight w:val="none"/>
                <w:lang w:val="en-US" w:eastAsia="zh-CN" w:bidi="ar"/>
              </w:rPr>
            </w:pPr>
            <w:r>
              <w:rPr>
                <w:rFonts w:hint="default"/>
                <w:color w:val="auto"/>
                <w:highlight w:val="none"/>
                <w:lang w:val="en-US" w:eastAsia="zh-CN"/>
              </w:rPr>
              <w:t>表4-</w:t>
            </w:r>
            <w:r>
              <w:rPr>
                <w:rFonts w:hint="eastAsia"/>
                <w:color w:val="auto"/>
                <w:highlight w:val="none"/>
                <w:lang w:val="en-US" w:eastAsia="zh-CN"/>
              </w:rPr>
              <w:t>17</w:t>
            </w:r>
            <w:r>
              <w:rPr>
                <w:rFonts w:hint="default"/>
                <w:color w:val="auto"/>
                <w:highlight w:val="none"/>
                <w:lang w:val="en-US" w:eastAsia="zh-CN"/>
              </w:rPr>
              <w:t xml:space="preserve">  </w:t>
            </w:r>
            <w:r>
              <w:rPr>
                <w:rFonts w:hint="eastAsia"/>
                <w:color w:val="auto"/>
                <w:highlight w:val="none"/>
                <w:lang w:val="en-US" w:eastAsia="zh-CN"/>
              </w:rPr>
              <w:t>土壤监测计划一览表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1857"/>
              <w:gridCol w:w="1568"/>
              <w:gridCol w:w="2622"/>
            </w:tblGrid>
            <w:tr w14:paraId="0BC1B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8" w:type="pct"/>
                  <w:tcBorders>
                    <w:tl2br w:val="nil"/>
                    <w:tr2bl w:val="nil"/>
                  </w:tcBorders>
                  <w:noWrap w:val="0"/>
                  <w:vAlign w:val="center"/>
                </w:tcPr>
                <w:p w14:paraId="35A604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监测点位</w:t>
                  </w:r>
                </w:p>
              </w:tc>
              <w:tc>
                <w:tcPr>
                  <w:tcW w:w="1182" w:type="pct"/>
                  <w:tcBorders>
                    <w:tl2br w:val="nil"/>
                    <w:tr2bl w:val="nil"/>
                  </w:tcBorders>
                  <w:noWrap w:val="0"/>
                  <w:vAlign w:val="center"/>
                </w:tcPr>
                <w:p w14:paraId="62FE5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监测项目</w:t>
                  </w:r>
                </w:p>
              </w:tc>
              <w:tc>
                <w:tcPr>
                  <w:tcW w:w="998" w:type="pct"/>
                  <w:tcBorders>
                    <w:tl2br w:val="nil"/>
                    <w:tr2bl w:val="nil"/>
                  </w:tcBorders>
                  <w:noWrap w:val="0"/>
                  <w:vAlign w:val="center"/>
                </w:tcPr>
                <w:p w14:paraId="3E180E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监测频率</w:t>
                  </w:r>
                </w:p>
              </w:tc>
              <w:tc>
                <w:tcPr>
                  <w:tcW w:w="1669" w:type="pct"/>
                  <w:tcBorders>
                    <w:tl2br w:val="nil"/>
                    <w:tr2bl w:val="nil"/>
                  </w:tcBorders>
                  <w:noWrap w:val="0"/>
                  <w:vAlign w:val="center"/>
                </w:tcPr>
                <w:p w14:paraId="740CC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执行标准</w:t>
                  </w:r>
                </w:p>
              </w:tc>
            </w:tr>
            <w:tr w14:paraId="1E31EB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8" w:type="pct"/>
                  <w:tcBorders>
                    <w:tl2br w:val="nil"/>
                    <w:tr2bl w:val="nil"/>
                  </w:tcBorders>
                  <w:noWrap w:val="0"/>
                  <w:vAlign w:val="center"/>
                </w:tcPr>
                <w:p w14:paraId="1B5D7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厂区上风向、厂区下风向、厂区周界东、厂区周界南、厂区周界西、厂区周界北</w:t>
                  </w:r>
                </w:p>
              </w:tc>
              <w:tc>
                <w:tcPr>
                  <w:tcW w:w="1182" w:type="pct"/>
                  <w:tcBorders>
                    <w:tl2br w:val="nil"/>
                    <w:tr2bl w:val="nil"/>
                  </w:tcBorders>
                  <w:noWrap w:val="0"/>
                  <w:vAlign w:val="center"/>
                </w:tcPr>
                <w:p w14:paraId="0B0801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pH、总铬、氟化物、锑、锌、镍、铅、砷、汞、铜、镉、六价铬、铊</w:t>
                  </w:r>
                </w:p>
              </w:tc>
              <w:tc>
                <w:tcPr>
                  <w:tcW w:w="998" w:type="pct"/>
                  <w:tcBorders>
                    <w:tl2br w:val="nil"/>
                    <w:tr2bl w:val="nil"/>
                  </w:tcBorders>
                  <w:noWrap w:val="0"/>
                  <w:vAlign w:val="center"/>
                </w:tcPr>
                <w:p w14:paraId="03B0CB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eastAsiaTheme="minorEastAsia"/>
                      <w:color w:val="auto"/>
                      <w:spacing w:val="0"/>
                      <w:sz w:val="18"/>
                      <w:szCs w:val="18"/>
                      <w:highlight w:val="none"/>
                      <w:vertAlign w:val="baseline"/>
                      <w:lang w:val="en-US" w:eastAsia="zh-CN"/>
                    </w:rPr>
                    <w:t>1次/</w:t>
                  </w:r>
                  <w:r>
                    <w:rPr>
                      <w:rFonts w:hint="eastAsia" w:ascii="Times New Roman" w:hAnsi="Times New Roman" w:cs="Times New Roman" w:eastAsiaTheme="minorEastAsia"/>
                      <w:color w:val="auto"/>
                      <w:spacing w:val="0"/>
                      <w:sz w:val="18"/>
                      <w:szCs w:val="18"/>
                      <w:highlight w:val="none"/>
                      <w:vertAlign w:val="baseline"/>
                      <w:lang w:val="en-US" w:eastAsia="zh-CN"/>
                    </w:rPr>
                    <w:t>半年</w:t>
                  </w:r>
                  <w:r>
                    <w:rPr>
                      <w:rFonts w:hint="eastAsia" w:cs="Times New Roman" w:eastAsiaTheme="minorEastAsia"/>
                      <w:color w:val="auto"/>
                      <w:spacing w:val="0"/>
                      <w:sz w:val="18"/>
                      <w:szCs w:val="18"/>
                      <w:highlight w:val="none"/>
                      <w:vertAlign w:val="baseline"/>
                      <w:lang w:val="en-US" w:eastAsia="zh-CN"/>
                    </w:rPr>
                    <w:t>，按照国家相关噪声监测技术方法进行监测</w:t>
                  </w:r>
                </w:p>
              </w:tc>
              <w:tc>
                <w:tcPr>
                  <w:tcW w:w="1669" w:type="pct"/>
                  <w:tcBorders>
                    <w:tl2br w:val="nil"/>
                    <w:tr2bl w:val="nil"/>
                  </w:tcBorders>
                  <w:noWrap w:val="0"/>
                  <w:vAlign w:val="center"/>
                </w:tcPr>
                <w:p w14:paraId="78B28C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《土壤环境质量建设用地土壤污染风险管控标准（试行）》（GB36600-2018）筛选值第二类用地标准</w:t>
                  </w:r>
                </w:p>
              </w:tc>
            </w:tr>
          </w:tbl>
          <w:p w14:paraId="63D4F7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综上所述，项目各区域均已采取相应的防渗措施，可有效防止各类污染物下渗，项目建设不会对地下水、土壤造成污染，</w:t>
            </w:r>
            <w:r>
              <w:rPr>
                <w:rFonts w:ascii="宋体" w:hAnsi="宋体" w:eastAsia="宋体" w:cs="宋体"/>
                <w:sz w:val="24"/>
                <w:szCs w:val="24"/>
              </w:rPr>
              <w:t>依托</w:t>
            </w:r>
            <w:r>
              <w:rPr>
                <w:rFonts w:hint="eastAsia" w:ascii="宋体" w:hAnsi="宋体" w:eastAsia="宋体" w:cs="宋体"/>
                <w:sz w:val="24"/>
                <w:szCs w:val="24"/>
                <w:lang w:val="en-US" w:eastAsia="zh-CN"/>
              </w:rPr>
              <w:t>现有</w:t>
            </w:r>
            <w:r>
              <w:rPr>
                <w:rFonts w:ascii="宋体" w:hAnsi="宋体" w:eastAsia="宋体" w:cs="宋体"/>
                <w:sz w:val="24"/>
                <w:szCs w:val="24"/>
              </w:rPr>
              <w:t>土壤</w:t>
            </w:r>
            <w:r>
              <w:rPr>
                <w:rFonts w:hint="eastAsia" w:ascii="宋体" w:hAnsi="宋体" w:eastAsia="宋体" w:cs="宋体"/>
                <w:sz w:val="24"/>
                <w:szCs w:val="24"/>
                <w:lang w:val="en-US" w:eastAsia="zh-CN"/>
              </w:rPr>
              <w:t>和</w:t>
            </w:r>
            <w:r>
              <w:rPr>
                <w:rFonts w:ascii="宋体" w:hAnsi="宋体" w:eastAsia="宋体" w:cs="宋体"/>
                <w:sz w:val="24"/>
                <w:szCs w:val="24"/>
              </w:rPr>
              <w:t>地下水自行监测工作，进一步加强厂区环境管控</w:t>
            </w:r>
          </w:p>
          <w:p w14:paraId="251DBB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lang w:val="en-US" w:eastAsia="zh-CN"/>
              </w:rPr>
              <w:t>、生态影响分析</w:t>
            </w:r>
          </w:p>
          <w:p w14:paraId="77616C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建设于</w:t>
            </w:r>
            <w:r>
              <w:rPr>
                <w:rFonts w:hint="eastAsia" w:ascii="Times New Roman" w:hAnsi="Times New Roman" w:eastAsia="宋体" w:cs="Times New Roman"/>
                <w:color w:val="auto"/>
                <w:sz w:val="24"/>
                <w:szCs w:val="24"/>
                <w:lang w:val="en-US" w:eastAsia="zh-CN"/>
              </w:rPr>
              <w:t>易门铜业有限公司</w:t>
            </w:r>
            <w:r>
              <w:rPr>
                <w:rFonts w:hint="default" w:ascii="Times New Roman" w:hAnsi="Times New Roman" w:eastAsia="宋体" w:cs="Times New Roman"/>
                <w:color w:val="auto"/>
                <w:sz w:val="24"/>
                <w:szCs w:val="24"/>
                <w:lang w:val="en-US" w:eastAsia="zh-CN"/>
              </w:rPr>
              <w:t>厂区内，不新增占地，占地范围内无生态环境保护目标。公司厂区大部分土地已开发为工业用地，人类活动频繁，未见大型野生动物和保护物种活动，仅部分地区有小型爬行动物、昆虫和鸟类生产；项目所在地植被一般，区域内原生和次生林稀少，主要为干热性灌丛、干热性稀树灌木草丛；项目区界外种植的农作物较少，主要为玉米和马铃薯。</w:t>
            </w:r>
          </w:p>
          <w:p w14:paraId="0233CA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区域内生物多样性较差，生物多样性单一；区域受人群活动影响，未发现国家和省级重点保护的珍稀濒危动物；生产过程中，项目会产生并排放一定量的粉尘，对项目区旁种植的玉米、马铃薯等农作物可能存在影响，本项目产生的大气污染物都能达标排放，对周围农作物的影响较小，在可接受范围内。</w:t>
            </w:r>
          </w:p>
          <w:p w14:paraId="2AC50357">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7</w:t>
            </w:r>
            <w:r>
              <w:rPr>
                <w:rFonts w:hint="default" w:ascii="Times New Roman" w:hAnsi="Times New Roman" w:cs="Times New Roman"/>
                <w:b/>
                <w:bCs/>
                <w:color w:val="auto"/>
                <w:sz w:val="24"/>
                <w:lang w:val="en-US" w:eastAsia="zh-CN"/>
              </w:rPr>
              <w:t>、环境风险</w:t>
            </w:r>
          </w:p>
          <w:p w14:paraId="07436B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建设项目环境风险评价技术导则》（HJ/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51B592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应急与减缓措施，以使建设项目事故率、损失和环境影响达到可接受的水平。</w:t>
            </w:r>
          </w:p>
          <w:p w14:paraId="6E1390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（1）物质风险调查</w:t>
            </w:r>
          </w:p>
          <w:p w14:paraId="331881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项目涉及的化学品有硫化钠、丁铵黑药、</w:t>
            </w:r>
            <w:r>
              <w:rPr>
                <w:rFonts w:hint="eastAsia" w:ascii="Times New Roman" w:hAnsi="Times New Roman" w:eastAsia="宋体" w:cs="Times New Roman"/>
                <w:color w:val="auto"/>
                <w:sz w:val="24"/>
                <w:szCs w:val="24"/>
                <w:lang w:val="en-US" w:eastAsia="zh-CN"/>
              </w:rPr>
              <w:t>黄药</w:t>
            </w:r>
            <w:r>
              <w:rPr>
                <w:rFonts w:hint="eastAsia" w:cs="Times New Roman"/>
                <w:color w:val="auto"/>
                <w:sz w:val="24"/>
                <w:szCs w:val="24"/>
                <w:lang w:val="en-US" w:eastAsia="zh-CN"/>
              </w:rPr>
              <w:t>及</w:t>
            </w:r>
            <w:r>
              <w:rPr>
                <w:rFonts w:hint="eastAsia" w:ascii="Times New Roman" w:hAnsi="Times New Roman" w:eastAsia="宋体" w:cs="Times New Roman"/>
                <w:color w:val="auto"/>
                <w:sz w:val="24"/>
                <w:szCs w:val="24"/>
              </w:rPr>
              <w:t>2#油</w:t>
            </w:r>
            <w:r>
              <w:rPr>
                <w:rFonts w:hint="eastAsia" w:cs="Times New Roman"/>
                <w:color w:val="auto"/>
                <w:sz w:val="24"/>
                <w:szCs w:val="24"/>
                <w:lang w:eastAsia="zh-CN"/>
              </w:rPr>
              <w:t>，</w:t>
            </w:r>
            <w:r>
              <w:rPr>
                <w:rFonts w:hint="eastAsia" w:cs="Times New Roman"/>
                <w:color w:val="auto"/>
                <w:sz w:val="24"/>
                <w:szCs w:val="24"/>
                <w:lang w:val="en-US" w:eastAsia="zh-CN"/>
              </w:rPr>
              <w:t>4种药剂使用量和存储量均较小。</w:t>
            </w:r>
          </w:p>
          <w:p w14:paraId="701F63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丁铵黑药和黄药未列入《危险化学品名录》（2022调整版）和</w:t>
            </w:r>
            <w:r>
              <w:rPr>
                <w:rFonts w:hint="default" w:ascii="Times New Roman" w:hAnsi="Times New Roman" w:eastAsia="宋体" w:cs="Times New Roman"/>
                <w:color w:val="auto"/>
                <w:sz w:val="24"/>
                <w:szCs w:val="24"/>
              </w:rPr>
              <w:t>《建设项目环境风险评价技术导则》（HJ169-2018）附录B</w:t>
            </w:r>
            <w:r>
              <w:rPr>
                <w:rFonts w:hint="eastAsia" w:cs="Times New Roman"/>
                <w:color w:val="auto"/>
                <w:sz w:val="24"/>
                <w:szCs w:val="24"/>
                <w:lang w:val="en-US" w:eastAsia="zh-CN"/>
              </w:rPr>
              <w:t>。</w:t>
            </w:r>
          </w:p>
          <w:p w14:paraId="47094E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硫化钠属易燃易爆有毒物质，《建设项目环境风险评价技术导则》（</w:t>
            </w:r>
            <w:r>
              <w:rPr>
                <w:rFonts w:hint="default" w:ascii="Times New Roman" w:hAnsi="Times New Roman" w:eastAsia="宋体" w:cs="Times New Roman"/>
                <w:color w:val="auto"/>
                <w:sz w:val="24"/>
                <w:szCs w:val="24"/>
              </w:rPr>
              <w:t>HJ169-2018</w:t>
            </w:r>
            <w:r>
              <w:rPr>
                <w:rFonts w:hint="eastAsia" w:cs="Times New Roman"/>
                <w:color w:val="auto"/>
                <w:sz w:val="24"/>
                <w:szCs w:val="24"/>
                <w:lang w:val="en-US" w:eastAsia="zh-CN"/>
              </w:rPr>
              <w:t>）附录B中未规定临界量，《危险化学品重大危险源辨识》（GB18218-2018）中规定的临界量为200t，选厂年使用硫化钠240t。药剂存贮在药剂储存间，硫化钠最大储存量约10t，用严密不漏的铁桶包装存放，场内硫化钠的储存和使用不属于重大危险源。</w:t>
            </w:r>
          </w:p>
          <w:p w14:paraId="6943EC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rPr>
              <w:t>2#油</w:t>
            </w:r>
            <w:r>
              <w:rPr>
                <w:rFonts w:hint="eastAsia" w:cs="Times New Roman"/>
                <w:color w:val="auto"/>
                <w:sz w:val="24"/>
                <w:szCs w:val="24"/>
                <w:lang w:val="en-US" w:eastAsia="zh-CN"/>
              </w:rPr>
              <w:t>属于易燃液体，《建设项目环境风险评价技术导则》（</w:t>
            </w:r>
            <w:r>
              <w:rPr>
                <w:rFonts w:hint="default" w:ascii="Times New Roman" w:hAnsi="Times New Roman" w:eastAsia="宋体" w:cs="Times New Roman"/>
                <w:color w:val="auto"/>
                <w:sz w:val="24"/>
                <w:szCs w:val="24"/>
              </w:rPr>
              <w:t>HJ169-2018</w:t>
            </w:r>
            <w:r>
              <w:rPr>
                <w:rFonts w:hint="eastAsia" w:cs="Times New Roman"/>
                <w:color w:val="auto"/>
                <w:sz w:val="24"/>
                <w:szCs w:val="24"/>
                <w:lang w:val="en-US" w:eastAsia="zh-CN"/>
              </w:rPr>
              <w:t>）附录B中未规定临界量，《危险化学品重大危险源辨识》（GB18218-2018）中规定的临界量为1000t，选厂年使用</w:t>
            </w:r>
            <w:r>
              <w:rPr>
                <w:rFonts w:hint="eastAsia" w:ascii="Times New Roman" w:hAnsi="Times New Roman" w:eastAsia="宋体" w:cs="Times New Roman"/>
                <w:color w:val="auto"/>
                <w:sz w:val="24"/>
                <w:szCs w:val="24"/>
              </w:rPr>
              <w:t>2#油</w:t>
            </w:r>
            <w:r>
              <w:rPr>
                <w:rFonts w:hint="eastAsia" w:cs="Times New Roman"/>
                <w:color w:val="auto"/>
                <w:sz w:val="24"/>
                <w:szCs w:val="24"/>
                <w:lang w:val="en-US" w:eastAsia="zh-CN"/>
              </w:rPr>
              <w:t>130t。药剂存贮在药剂储存间，药剂储存间内最大储存量约5t，用铁桶包装存放，场内</w:t>
            </w:r>
            <w:r>
              <w:rPr>
                <w:rFonts w:hint="eastAsia" w:ascii="Times New Roman" w:hAnsi="Times New Roman" w:eastAsia="宋体" w:cs="Times New Roman"/>
                <w:color w:val="auto"/>
                <w:sz w:val="24"/>
                <w:szCs w:val="24"/>
              </w:rPr>
              <w:t>2#油</w:t>
            </w:r>
            <w:r>
              <w:rPr>
                <w:rFonts w:hint="eastAsia" w:cs="Times New Roman"/>
                <w:color w:val="auto"/>
                <w:sz w:val="24"/>
                <w:szCs w:val="24"/>
                <w:lang w:val="en-US" w:eastAsia="zh-CN"/>
              </w:rPr>
              <w:t>的储存和使用不属于重大危险源。</w:t>
            </w:r>
          </w:p>
          <w:p w14:paraId="4D82DB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项目运营期涉及的风险物质为</w:t>
            </w:r>
            <w:r>
              <w:rPr>
                <w:rFonts w:hint="eastAsia"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润滑油、硫化钠以及</w:t>
            </w:r>
            <w:r>
              <w:rPr>
                <w:rFonts w:hint="eastAsia" w:ascii="Times New Roman" w:hAnsi="Times New Roman" w:eastAsia="宋体" w:cs="Times New Roman"/>
                <w:color w:val="auto"/>
                <w:sz w:val="24"/>
                <w:szCs w:val="24"/>
              </w:rPr>
              <w:t>2#油</w:t>
            </w:r>
            <w:r>
              <w:rPr>
                <w:rFonts w:hint="default" w:ascii="Times New Roman" w:hAnsi="Times New Roman" w:eastAsia="宋体" w:cs="Times New Roman"/>
                <w:color w:val="auto"/>
                <w:sz w:val="24"/>
                <w:szCs w:val="24"/>
              </w:rPr>
              <w:t>。本项目风险物质危险特性见</w:t>
            </w:r>
            <w:r>
              <w:rPr>
                <w:rFonts w:hint="default"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表。</w:t>
            </w:r>
          </w:p>
          <w:p w14:paraId="7CEFD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表4-</w:t>
            </w:r>
            <w:r>
              <w:rPr>
                <w:rFonts w:hint="eastAsia" w:eastAsia="黑体" w:cs="Times New Roman"/>
                <w:color w:val="auto"/>
                <w:sz w:val="21"/>
                <w:szCs w:val="21"/>
                <w:lang w:val="en-US" w:eastAsia="zh-CN"/>
              </w:rPr>
              <w:t>18</w:t>
            </w:r>
            <w:r>
              <w:rPr>
                <w:rFonts w:hint="default" w:ascii="Times New Roman" w:hAnsi="Times New Roman" w:eastAsia="黑体" w:cs="Times New Roman"/>
                <w:color w:val="auto"/>
                <w:sz w:val="21"/>
                <w:szCs w:val="21"/>
              </w:rPr>
              <w:t xml:space="preserve"> </w:t>
            </w:r>
            <w:r>
              <w:rPr>
                <w:rFonts w:hint="eastAsia" w:eastAsia="黑体" w:cs="Times New Roman"/>
                <w:color w:val="auto"/>
                <w:sz w:val="21"/>
                <w:szCs w:val="21"/>
                <w:lang w:val="en-US" w:eastAsia="zh-CN"/>
              </w:rPr>
              <w:t>废润滑油</w:t>
            </w:r>
            <w:r>
              <w:rPr>
                <w:rFonts w:hint="eastAsia" w:ascii="Times New Roman" w:hAnsi="Times New Roman" w:eastAsia="黑体" w:cs="Times New Roman"/>
                <w:color w:val="auto"/>
                <w:sz w:val="21"/>
                <w:szCs w:val="21"/>
                <w:lang w:val="en-US" w:eastAsia="zh-CN"/>
              </w:rPr>
              <w:t>理化性质及</w:t>
            </w:r>
            <w:r>
              <w:rPr>
                <w:rFonts w:hint="default" w:ascii="Times New Roman" w:hAnsi="Times New Roman" w:eastAsia="黑体" w:cs="Times New Roman"/>
                <w:color w:val="auto"/>
                <w:sz w:val="21"/>
                <w:szCs w:val="21"/>
              </w:rPr>
              <w:t>危险特性一览表</w:t>
            </w:r>
          </w:p>
          <w:tbl>
            <w:tblPr>
              <w:tblStyle w:val="21"/>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96"/>
              <w:gridCol w:w="1038"/>
              <w:gridCol w:w="329"/>
              <w:gridCol w:w="512"/>
              <w:gridCol w:w="876"/>
              <w:gridCol w:w="966"/>
              <w:gridCol w:w="132"/>
              <w:gridCol w:w="725"/>
              <w:gridCol w:w="270"/>
              <w:gridCol w:w="753"/>
              <w:gridCol w:w="676"/>
              <w:gridCol w:w="303"/>
              <w:gridCol w:w="870"/>
            </w:tblGrid>
            <w:tr w14:paraId="70FF07E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6" w:hRule="atLeast"/>
                <w:jc w:val="center"/>
              </w:trPr>
              <w:tc>
                <w:tcPr>
                  <w:tcW w:w="249" w:type="pct"/>
                  <w:vMerge w:val="restart"/>
                  <w:tcBorders>
                    <w:tl2br w:val="nil"/>
                    <w:tr2bl w:val="nil"/>
                  </w:tcBorders>
                  <w:noWrap w:val="0"/>
                  <w:vAlign w:val="center"/>
                </w:tcPr>
                <w:p w14:paraId="55D17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标识</w:t>
                  </w:r>
                </w:p>
              </w:tc>
              <w:tc>
                <w:tcPr>
                  <w:tcW w:w="662" w:type="pct"/>
                  <w:tcBorders>
                    <w:tl2br w:val="nil"/>
                    <w:tr2bl w:val="nil"/>
                  </w:tcBorders>
                  <w:noWrap w:val="0"/>
                  <w:vAlign w:val="center"/>
                </w:tcPr>
                <w:p w14:paraId="314390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中文名</w:t>
                  </w:r>
                </w:p>
              </w:tc>
              <w:tc>
                <w:tcPr>
                  <w:tcW w:w="537" w:type="pct"/>
                  <w:gridSpan w:val="2"/>
                  <w:tcBorders>
                    <w:tl2br w:val="nil"/>
                    <w:tr2bl w:val="nil"/>
                  </w:tcBorders>
                  <w:noWrap w:val="0"/>
                  <w:vAlign w:val="center"/>
                </w:tcPr>
                <w:p w14:paraId="12062B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机油；润滑油</w:t>
                  </w:r>
                </w:p>
              </w:tc>
              <w:tc>
                <w:tcPr>
                  <w:tcW w:w="559" w:type="pct"/>
                  <w:tcBorders>
                    <w:tl2br w:val="nil"/>
                    <w:tr2bl w:val="nil"/>
                  </w:tcBorders>
                  <w:noWrap w:val="0"/>
                  <w:vAlign w:val="center"/>
                </w:tcPr>
                <w:p w14:paraId="63D7E0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英文名</w:t>
                  </w:r>
                </w:p>
              </w:tc>
              <w:tc>
                <w:tcPr>
                  <w:tcW w:w="1333" w:type="pct"/>
                  <w:gridSpan w:val="4"/>
                  <w:tcBorders>
                    <w:tl2br w:val="nil"/>
                    <w:tr2bl w:val="nil"/>
                  </w:tcBorders>
                  <w:noWrap w:val="0"/>
                  <w:vAlign w:val="center"/>
                </w:tcPr>
                <w:p w14:paraId="28A307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lubricating oil；Lube oil</w:t>
                  </w:r>
                </w:p>
              </w:tc>
              <w:tc>
                <w:tcPr>
                  <w:tcW w:w="1104" w:type="pct"/>
                  <w:gridSpan w:val="3"/>
                  <w:tcBorders>
                    <w:tl2br w:val="nil"/>
                    <w:tr2bl w:val="nil"/>
                  </w:tcBorders>
                  <w:noWrap w:val="0"/>
                  <w:vAlign w:val="center"/>
                </w:tcPr>
                <w:p w14:paraId="74A88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危险货物编号</w:t>
                  </w:r>
                </w:p>
              </w:tc>
              <w:tc>
                <w:tcPr>
                  <w:tcW w:w="552" w:type="pct"/>
                  <w:tcBorders>
                    <w:tl2br w:val="nil"/>
                    <w:tr2bl w:val="nil"/>
                  </w:tcBorders>
                  <w:noWrap w:val="0"/>
                  <w:vAlign w:val="center"/>
                </w:tcPr>
                <w:p w14:paraId="233C83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20B03B2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7" w:hRule="exact"/>
                <w:jc w:val="center"/>
              </w:trPr>
              <w:tc>
                <w:tcPr>
                  <w:tcW w:w="249" w:type="pct"/>
                  <w:vMerge w:val="continue"/>
                  <w:tcBorders>
                    <w:tl2br w:val="nil"/>
                    <w:tr2bl w:val="nil"/>
                  </w:tcBorders>
                  <w:noWrap w:val="0"/>
                  <w:vAlign w:val="center"/>
                </w:tcPr>
                <w:p w14:paraId="2306C7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662" w:type="pct"/>
                  <w:tcBorders>
                    <w:tl2br w:val="nil"/>
                    <w:tr2bl w:val="nil"/>
                  </w:tcBorders>
                  <w:noWrap w:val="0"/>
                  <w:vAlign w:val="center"/>
                </w:tcPr>
                <w:p w14:paraId="6BD299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分子式</w:t>
                  </w:r>
                </w:p>
              </w:tc>
              <w:tc>
                <w:tcPr>
                  <w:tcW w:w="537" w:type="pct"/>
                  <w:gridSpan w:val="2"/>
                  <w:tcBorders>
                    <w:tl2br w:val="nil"/>
                    <w:tr2bl w:val="nil"/>
                  </w:tcBorders>
                  <w:noWrap w:val="0"/>
                  <w:vAlign w:val="center"/>
                </w:tcPr>
                <w:p w14:paraId="7D73FC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230-500</w:t>
                  </w:r>
                </w:p>
              </w:tc>
              <w:tc>
                <w:tcPr>
                  <w:tcW w:w="559" w:type="pct"/>
                  <w:tcBorders>
                    <w:tl2br w:val="nil"/>
                    <w:tr2bl w:val="nil"/>
                  </w:tcBorders>
                  <w:noWrap w:val="0"/>
                  <w:vAlign w:val="center"/>
                </w:tcPr>
                <w:p w14:paraId="769DD0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分子量</w:t>
                  </w:r>
                </w:p>
              </w:tc>
              <w:tc>
                <w:tcPr>
                  <w:tcW w:w="699" w:type="pct"/>
                  <w:gridSpan w:val="2"/>
                  <w:tcBorders>
                    <w:tl2br w:val="nil"/>
                    <w:tr2bl w:val="nil"/>
                  </w:tcBorders>
                  <w:noWrap w:val="0"/>
                  <w:vAlign w:val="center"/>
                </w:tcPr>
                <w:p w14:paraId="2EF99A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230～500</w:t>
                  </w:r>
                </w:p>
              </w:tc>
              <w:tc>
                <w:tcPr>
                  <w:tcW w:w="634" w:type="pct"/>
                  <w:gridSpan w:val="2"/>
                  <w:tcBorders>
                    <w:tl2br w:val="nil"/>
                    <w:tr2bl w:val="nil"/>
                  </w:tcBorders>
                  <w:noWrap w:val="0"/>
                  <w:vAlign w:val="center"/>
                </w:tcPr>
                <w:p w14:paraId="4B119C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UN编号</w:t>
                  </w:r>
                </w:p>
              </w:tc>
              <w:tc>
                <w:tcPr>
                  <w:tcW w:w="480" w:type="pct"/>
                  <w:tcBorders>
                    <w:tl2br w:val="nil"/>
                    <w:tr2bl w:val="nil"/>
                  </w:tcBorders>
                  <w:noWrap w:val="0"/>
                  <w:vAlign w:val="center"/>
                </w:tcPr>
                <w:p w14:paraId="2821CE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624" w:type="pct"/>
                  <w:gridSpan w:val="2"/>
                  <w:tcBorders>
                    <w:tl2br w:val="nil"/>
                    <w:tr2bl w:val="nil"/>
                  </w:tcBorders>
                  <w:noWrap w:val="0"/>
                  <w:vAlign w:val="center"/>
                </w:tcPr>
                <w:p w14:paraId="1E3CA3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CAS编号</w:t>
                  </w:r>
                </w:p>
              </w:tc>
              <w:tc>
                <w:tcPr>
                  <w:tcW w:w="552" w:type="pct"/>
                  <w:tcBorders>
                    <w:tl2br w:val="nil"/>
                    <w:tr2bl w:val="nil"/>
                  </w:tcBorders>
                  <w:noWrap w:val="0"/>
                  <w:vAlign w:val="center"/>
                </w:tcPr>
                <w:p w14:paraId="6C916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r>
            <w:tr w14:paraId="56968FB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42FC9C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662" w:type="pct"/>
                  <w:tcBorders>
                    <w:tl2br w:val="nil"/>
                    <w:tr2bl w:val="nil"/>
                  </w:tcBorders>
                  <w:noWrap w:val="0"/>
                  <w:vAlign w:val="center"/>
                </w:tcPr>
                <w:p w14:paraId="4FF1CB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危险类别</w:t>
                  </w:r>
                </w:p>
              </w:tc>
              <w:tc>
                <w:tcPr>
                  <w:tcW w:w="4088" w:type="pct"/>
                  <w:gridSpan w:val="11"/>
                  <w:tcBorders>
                    <w:tl2br w:val="nil"/>
                    <w:tr2bl w:val="nil"/>
                  </w:tcBorders>
                  <w:noWrap w:val="0"/>
                  <w:vAlign w:val="center"/>
                </w:tcPr>
                <w:p w14:paraId="180CE9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6108C96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restart"/>
                  <w:tcBorders>
                    <w:tl2br w:val="nil"/>
                    <w:tr2bl w:val="nil"/>
                  </w:tcBorders>
                  <w:noWrap w:val="0"/>
                  <w:vAlign w:val="center"/>
                </w:tcPr>
                <w:p w14:paraId="2EBA76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理化性质</w:t>
                  </w:r>
                </w:p>
              </w:tc>
              <w:tc>
                <w:tcPr>
                  <w:tcW w:w="662" w:type="pct"/>
                  <w:tcBorders>
                    <w:tl2br w:val="nil"/>
                    <w:tr2bl w:val="nil"/>
                  </w:tcBorders>
                  <w:noWrap w:val="0"/>
                  <w:vAlign w:val="center"/>
                </w:tcPr>
                <w:p w14:paraId="41B0C1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性  状</w:t>
                  </w:r>
                </w:p>
              </w:tc>
              <w:tc>
                <w:tcPr>
                  <w:tcW w:w="4088" w:type="pct"/>
                  <w:gridSpan w:val="11"/>
                  <w:tcBorders>
                    <w:tl2br w:val="nil"/>
                    <w:tr2bl w:val="nil"/>
                  </w:tcBorders>
                  <w:noWrap w:val="0"/>
                  <w:vAlign w:val="center"/>
                </w:tcPr>
                <w:p w14:paraId="47686D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油状液体</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淡黄色至褐色</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无气味或略带异味。</w:t>
                  </w:r>
                </w:p>
              </w:tc>
            </w:tr>
            <w:tr w14:paraId="063E869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6FEFA0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4193E7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熔点（℃）</w:t>
                  </w:r>
                </w:p>
              </w:tc>
              <w:tc>
                <w:tcPr>
                  <w:tcW w:w="1586" w:type="pct"/>
                  <w:gridSpan w:val="4"/>
                  <w:tcBorders>
                    <w:tl2br w:val="nil"/>
                    <w:tr2bl w:val="nil"/>
                  </w:tcBorders>
                  <w:noWrap w:val="0"/>
                  <w:vAlign w:val="center"/>
                </w:tcPr>
                <w:p w14:paraId="2C0158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545" w:type="pct"/>
                  <w:gridSpan w:val="4"/>
                  <w:tcBorders>
                    <w:tl2br w:val="nil"/>
                    <w:tr2bl w:val="nil"/>
                  </w:tcBorders>
                  <w:noWrap w:val="0"/>
                  <w:vAlign w:val="center"/>
                </w:tcPr>
                <w:p w14:paraId="5D1C32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临界压力（Mpa）</w:t>
                  </w:r>
                </w:p>
              </w:tc>
              <w:tc>
                <w:tcPr>
                  <w:tcW w:w="746" w:type="pct"/>
                  <w:gridSpan w:val="2"/>
                  <w:tcBorders>
                    <w:tl2br w:val="nil"/>
                    <w:tr2bl w:val="nil"/>
                  </w:tcBorders>
                  <w:noWrap w:val="0"/>
                  <w:vAlign w:val="center"/>
                </w:tcPr>
                <w:p w14:paraId="243AA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7946447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238BFD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7F77E3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沸点（℃）</w:t>
                  </w:r>
                </w:p>
              </w:tc>
              <w:tc>
                <w:tcPr>
                  <w:tcW w:w="1586" w:type="pct"/>
                  <w:gridSpan w:val="4"/>
                  <w:tcBorders>
                    <w:tl2br w:val="nil"/>
                    <w:tr2bl w:val="nil"/>
                  </w:tcBorders>
                  <w:noWrap w:val="0"/>
                  <w:vAlign w:val="center"/>
                </w:tcPr>
                <w:p w14:paraId="0E4EB9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545" w:type="pct"/>
                  <w:gridSpan w:val="4"/>
                  <w:tcBorders>
                    <w:tl2br w:val="nil"/>
                    <w:tr2bl w:val="nil"/>
                  </w:tcBorders>
                  <w:noWrap w:val="0"/>
                  <w:vAlign w:val="center"/>
                </w:tcPr>
                <w:p w14:paraId="77B36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相对密度（水＝1）</w:t>
                  </w:r>
                </w:p>
              </w:tc>
              <w:tc>
                <w:tcPr>
                  <w:tcW w:w="746" w:type="pct"/>
                  <w:gridSpan w:val="2"/>
                  <w:tcBorders>
                    <w:tl2br w:val="nil"/>
                    <w:tr2bl w:val="nil"/>
                  </w:tcBorders>
                  <w:noWrap w:val="0"/>
                  <w:vAlign w:val="center"/>
                </w:tcPr>
                <w:p w14:paraId="098D9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6EBE01D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34DF4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32092A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溶解性</w:t>
                  </w:r>
                </w:p>
              </w:tc>
              <w:tc>
                <w:tcPr>
                  <w:tcW w:w="3878" w:type="pct"/>
                  <w:gridSpan w:val="10"/>
                  <w:tcBorders>
                    <w:tl2br w:val="nil"/>
                    <w:tr2bl w:val="nil"/>
                  </w:tcBorders>
                  <w:noWrap w:val="0"/>
                  <w:vAlign w:val="center"/>
                </w:tcPr>
                <w:p w14:paraId="04BDE1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不溶于水</w:t>
                  </w:r>
                </w:p>
              </w:tc>
            </w:tr>
            <w:tr w14:paraId="3FDA4BA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restart"/>
                  <w:tcBorders>
                    <w:tl2br w:val="nil"/>
                    <w:tr2bl w:val="nil"/>
                  </w:tcBorders>
                  <w:noWrap w:val="0"/>
                  <w:vAlign w:val="center"/>
                </w:tcPr>
                <w:p w14:paraId="323994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燃烧爆炸危险性</w:t>
                  </w:r>
                </w:p>
              </w:tc>
              <w:tc>
                <w:tcPr>
                  <w:tcW w:w="872" w:type="pct"/>
                  <w:gridSpan w:val="2"/>
                  <w:tcBorders>
                    <w:tl2br w:val="nil"/>
                    <w:tr2bl w:val="nil"/>
                  </w:tcBorders>
                  <w:noWrap w:val="0"/>
                  <w:vAlign w:val="center"/>
                </w:tcPr>
                <w:p w14:paraId="24D17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燃烧性</w:t>
                  </w:r>
                </w:p>
              </w:tc>
              <w:tc>
                <w:tcPr>
                  <w:tcW w:w="1586" w:type="pct"/>
                  <w:gridSpan w:val="4"/>
                  <w:tcBorders>
                    <w:tl2br w:val="nil"/>
                    <w:tr2bl w:val="nil"/>
                  </w:tcBorders>
                  <w:noWrap w:val="0"/>
                  <w:vAlign w:val="center"/>
                </w:tcPr>
                <w:p w14:paraId="05E154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可燃</w:t>
                  </w:r>
                </w:p>
              </w:tc>
              <w:tc>
                <w:tcPr>
                  <w:tcW w:w="1545" w:type="pct"/>
                  <w:gridSpan w:val="4"/>
                  <w:tcBorders>
                    <w:tl2br w:val="nil"/>
                    <w:tr2bl w:val="nil"/>
                  </w:tcBorders>
                  <w:noWrap w:val="0"/>
                  <w:vAlign w:val="center"/>
                </w:tcPr>
                <w:p w14:paraId="06F241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闪点（℃）</w:t>
                  </w:r>
                </w:p>
              </w:tc>
              <w:tc>
                <w:tcPr>
                  <w:tcW w:w="746" w:type="pct"/>
                  <w:gridSpan w:val="2"/>
                  <w:tcBorders>
                    <w:tl2br w:val="nil"/>
                    <w:tr2bl w:val="nil"/>
                  </w:tcBorders>
                  <w:noWrap w:val="0"/>
                  <w:vAlign w:val="center"/>
                </w:tcPr>
                <w:p w14:paraId="57913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14:paraId="5CE4101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453C21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511077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爆炸极限（％）</w:t>
                  </w:r>
                </w:p>
              </w:tc>
              <w:tc>
                <w:tcPr>
                  <w:tcW w:w="1586" w:type="pct"/>
                  <w:gridSpan w:val="4"/>
                  <w:tcBorders>
                    <w:tl2br w:val="nil"/>
                    <w:tr2bl w:val="nil"/>
                  </w:tcBorders>
                  <w:noWrap w:val="0"/>
                  <w:vAlign w:val="center"/>
                </w:tcPr>
                <w:p w14:paraId="1AC310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1545" w:type="pct"/>
                  <w:gridSpan w:val="4"/>
                  <w:tcBorders>
                    <w:tl2br w:val="nil"/>
                    <w:tr2bl w:val="nil"/>
                  </w:tcBorders>
                  <w:noWrap w:val="0"/>
                  <w:vAlign w:val="center"/>
                </w:tcPr>
                <w:p w14:paraId="06BB8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最小点火能（MJ）</w:t>
                  </w:r>
                </w:p>
              </w:tc>
              <w:tc>
                <w:tcPr>
                  <w:tcW w:w="746" w:type="pct"/>
                  <w:gridSpan w:val="2"/>
                  <w:tcBorders>
                    <w:tl2br w:val="nil"/>
                    <w:tr2bl w:val="nil"/>
                  </w:tcBorders>
                  <w:noWrap w:val="0"/>
                  <w:vAlign w:val="center"/>
                </w:tcPr>
                <w:p w14:paraId="433A5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6D2F8AD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3B317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308AD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引燃温度（℃）</w:t>
                  </w:r>
                </w:p>
              </w:tc>
              <w:tc>
                <w:tcPr>
                  <w:tcW w:w="1586" w:type="pct"/>
                  <w:gridSpan w:val="4"/>
                  <w:tcBorders>
                    <w:tl2br w:val="nil"/>
                    <w:tr2bl w:val="nil"/>
                  </w:tcBorders>
                  <w:noWrap w:val="0"/>
                  <w:vAlign w:val="center"/>
                </w:tcPr>
                <w:p w14:paraId="28EA27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248</w:t>
                  </w:r>
                </w:p>
              </w:tc>
              <w:tc>
                <w:tcPr>
                  <w:tcW w:w="1545" w:type="pct"/>
                  <w:gridSpan w:val="4"/>
                  <w:tcBorders>
                    <w:tl2br w:val="nil"/>
                    <w:tr2bl w:val="nil"/>
                  </w:tcBorders>
                  <w:noWrap w:val="0"/>
                  <w:vAlign w:val="center"/>
                </w:tcPr>
                <w:p w14:paraId="75211E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最大爆炸压力（Mpa）</w:t>
                  </w:r>
                </w:p>
              </w:tc>
              <w:tc>
                <w:tcPr>
                  <w:tcW w:w="746" w:type="pct"/>
                  <w:gridSpan w:val="2"/>
                  <w:tcBorders>
                    <w:tl2br w:val="nil"/>
                    <w:tr2bl w:val="nil"/>
                  </w:tcBorders>
                  <w:noWrap w:val="0"/>
                  <w:vAlign w:val="center"/>
                </w:tcPr>
                <w:p w14:paraId="3FD77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5E676E0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7" w:hRule="exact"/>
                <w:jc w:val="center"/>
              </w:trPr>
              <w:tc>
                <w:tcPr>
                  <w:tcW w:w="249" w:type="pct"/>
                  <w:vMerge w:val="continue"/>
                  <w:tcBorders>
                    <w:tl2br w:val="nil"/>
                    <w:tr2bl w:val="nil"/>
                  </w:tcBorders>
                  <w:noWrap w:val="0"/>
                  <w:vAlign w:val="center"/>
                </w:tcPr>
                <w:p w14:paraId="3E1D8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049D54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危险特性</w:t>
                  </w:r>
                </w:p>
              </w:tc>
              <w:tc>
                <w:tcPr>
                  <w:tcW w:w="3878" w:type="pct"/>
                  <w:gridSpan w:val="10"/>
                  <w:tcBorders>
                    <w:tl2br w:val="nil"/>
                    <w:tr2bl w:val="nil"/>
                  </w:tcBorders>
                  <w:noWrap w:val="0"/>
                  <w:vAlign w:val="center"/>
                </w:tcPr>
                <w:p w14:paraId="3350DC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遇明火、高热可燃。</w:t>
                  </w:r>
                </w:p>
              </w:tc>
            </w:tr>
            <w:tr w14:paraId="735DD18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84" w:hRule="atLeast"/>
                <w:jc w:val="center"/>
              </w:trPr>
              <w:tc>
                <w:tcPr>
                  <w:tcW w:w="249" w:type="pct"/>
                  <w:vMerge w:val="continue"/>
                  <w:tcBorders>
                    <w:tl2br w:val="nil"/>
                    <w:tr2bl w:val="nil"/>
                  </w:tcBorders>
                  <w:noWrap w:val="0"/>
                  <w:vAlign w:val="center"/>
                </w:tcPr>
                <w:p w14:paraId="61E8C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083EB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灭火方法</w:t>
                  </w:r>
                </w:p>
              </w:tc>
              <w:tc>
                <w:tcPr>
                  <w:tcW w:w="3878" w:type="pct"/>
                  <w:gridSpan w:val="10"/>
                  <w:tcBorders>
                    <w:tl2br w:val="nil"/>
                    <w:tr2bl w:val="nil"/>
                  </w:tcBorders>
                  <w:noWrap w:val="0"/>
                  <w:vAlign w:val="center"/>
                </w:tcPr>
                <w:p w14:paraId="4DA11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5E20E5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灭火剂：雾状水、泡沫、干粉、二氧化碳、砂土。</w:t>
                  </w:r>
                </w:p>
              </w:tc>
            </w:tr>
            <w:tr w14:paraId="26D1120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9" w:hRule="exact"/>
                <w:jc w:val="center"/>
              </w:trPr>
              <w:tc>
                <w:tcPr>
                  <w:tcW w:w="249" w:type="pct"/>
                  <w:vMerge w:val="continue"/>
                  <w:tcBorders>
                    <w:tl2br w:val="nil"/>
                    <w:tr2bl w:val="nil"/>
                  </w:tcBorders>
                  <w:noWrap w:val="0"/>
                  <w:vAlign w:val="center"/>
                </w:tcPr>
                <w:p w14:paraId="06D410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6D535D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禁忌物</w:t>
                  </w:r>
                </w:p>
              </w:tc>
              <w:tc>
                <w:tcPr>
                  <w:tcW w:w="2700" w:type="pct"/>
                  <w:gridSpan w:val="7"/>
                  <w:tcBorders>
                    <w:tl2br w:val="nil"/>
                    <w:tr2bl w:val="nil"/>
                  </w:tcBorders>
                  <w:noWrap w:val="0"/>
                  <w:vAlign w:val="center"/>
                </w:tcPr>
                <w:p w14:paraId="0EC1A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24" w:type="pct"/>
                  <w:gridSpan w:val="2"/>
                  <w:tcBorders>
                    <w:tl2br w:val="nil"/>
                    <w:tr2bl w:val="nil"/>
                  </w:tcBorders>
                  <w:noWrap w:val="0"/>
                  <w:vAlign w:val="center"/>
                </w:tcPr>
                <w:p w14:paraId="51FE0D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稳定性</w:t>
                  </w:r>
                </w:p>
              </w:tc>
              <w:tc>
                <w:tcPr>
                  <w:tcW w:w="552" w:type="pct"/>
                  <w:tcBorders>
                    <w:tl2br w:val="nil"/>
                    <w:tr2bl w:val="nil"/>
                  </w:tcBorders>
                  <w:noWrap w:val="0"/>
                  <w:vAlign w:val="center"/>
                </w:tcPr>
                <w:p w14:paraId="5B3F4A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稳定</w:t>
                  </w:r>
                </w:p>
              </w:tc>
            </w:tr>
            <w:tr w14:paraId="456BE83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9" w:hRule="exact"/>
                <w:jc w:val="center"/>
              </w:trPr>
              <w:tc>
                <w:tcPr>
                  <w:tcW w:w="249" w:type="pct"/>
                  <w:vMerge w:val="continue"/>
                  <w:tcBorders>
                    <w:tl2br w:val="nil"/>
                    <w:tr2bl w:val="nil"/>
                  </w:tcBorders>
                  <w:noWrap w:val="0"/>
                  <w:vAlign w:val="center"/>
                </w:tcPr>
                <w:p w14:paraId="2AD05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1FA61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燃烧产物</w:t>
                  </w:r>
                </w:p>
              </w:tc>
              <w:tc>
                <w:tcPr>
                  <w:tcW w:w="2700" w:type="pct"/>
                  <w:gridSpan w:val="7"/>
                  <w:tcBorders>
                    <w:tl2br w:val="nil"/>
                    <w:tr2bl w:val="nil"/>
                  </w:tcBorders>
                  <w:noWrap w:val="0"/>
                  <w:vAlign w:val="center"/>
                </w:tcPr>
                <w:p w14:paraId="1D8D5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一氧化碳、二氧化碳</w:t>
                  </w:r>
                </w:p>
              </w:tc>
              <w:tc>
                <w:tcPr>
                  <w:tcW w:w="624" w:type="pct"/>
                  <w:gridSpan w:val="2"/>
                  <w:tcBorders>
                    <w:tl2br w:val="nil"/>
                    <w:tr2bl w:val="nil"/>
                  </w:tcBorders>
                  <w:noWrap w:val="0"/>
                  <w:vAlign w:val="center"/>
                </w:tcPr>
                <w:p w14:paraId="2C422B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聚合危害</w:t>
                  </w:r>
                </w:p>
              </w:tc>
              <w:tc>
                <w:tcPr>
                  <w:tcW w:w="552" w:type="pct"/>
                  <w:tcBorders>
                    <w:tl2br w:val="nil"/>
                    <w:tr2bl w:val="nil"/>
                  </w:tcBorders>
                  <w:noWrap w:val="0"/>
                  <w:vAlign w:val="center"/>
                </w:tcPr>
                <w:p w14:paraId="36B2FD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不聚合</w:t>
                  </w:r>
                </w:p>
              </w:tc>
            </w:tr>
            <w:tr w14:paraId="735E471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4" w:hRule="exact"/>
                <w:jc w:val="center"/>
              </w:trPr>
              <w:tc>
                <w:tcPr>
                  <w:tcW w:w="249" w:type="pct"/>
                  <w:vMerge w:val="restart"/>
                  <w:tcBorders>
                    <w:tl2br w:val="nil"/>
                    <w:tr2bl w:val="nil"/>
                  </w:tcBorders>
                  <w:noWrap w:val="0"/>
                  <w:vAlign w:val="center"/>
                </w:tcPr>
                <w:p w14:paraId="705C2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毒性及健康危害</w:t>
                  </w:r>
                </w:p>
              </w:tc>
              <w:tc>
                <w:tcPr>
                  <w:tcW w:w="872" w:type="pct"/>
                  <w:gridSpan w:val="2"/>
                  <w:tcBorders>
                    <w:tl2br w:val="nil"/>
                    <w:tr2bl w:val="nil"/>
                  </w:tcBorders>
                  <w:noWrap w:val="0"/>
                  <w:vAlign w:val="center"/>
                </w:tcPr>
                <w:p w14:paraId="7E456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急性毒性</w:t>
                  </w:r>
                </w:p>
              </w:tc>
              <w:tc>
                <w:tcPr>
                  <w:tcW w:w="1502" w:type="pct"/>
                  <w:gridSpan w:val="3"/>
                  <w:tcBorders>
                    <w:tl2br w:val="nil"/>
                    <w:tr2bl w:val="nil"/>
                  </w:tcBorders>
                  <w:noWrap w:val="0"/>
                  <w:vAlign w:val="center"/>
                </w:tcPr>
                <w:p w14:paraId="29DBAA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LD50（mg/kg，大鼠经口）</w:t>
                  </w:r>
                </w:p>
              </w:tc>
              <w:tc>
                <w:tcPr>
                  <w:tcW w:w="546" w:type="pct"/>
                  <w:gridSpan w:val="2"/>
                  <w:tcBorders>
                    <w:tl2br w:val="nil"/>
                    <w:tr2bl w:val="nil"/>
                  </w:tcBorders>
                  <w:noWrap w:val="0"/>
                  <w:vAlign w:val="center"/>
                </w:tcPr>
                <w:p w14:paraId="2A1E01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1276" w:type="pct"/>
                  <w:gridSpan w:val="4"/>
                  <w:tcBorders>
                    <w:tl2br w:val="nil"/>
                    <w:tr2bl w:val="nil"/>
                  </w:tcBorders>
                  <w:noWrap w:val="0"/>
                  <w:vAlign w:val="center"/>
                </w:tcPr>
                <w:p w14:paraId="4AAF5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LC50（mg/kg）</w:t>
                  </w:r>
                </w:p>
              </w:tc>
              <w:tc>
                <w:tcPr>
                  <w:tcW w:w="552" w:type="pct"/>
                  <w:tcBorders>
                    <w:tl2br w:val="nil"/>
                    <w:tr2bl w:val="nil"/>
                  </w:tcBorders>
                  <w:noWrap w:val="0"/>
                  <w:vAlign w:val="center"/>
                </w:tcPr>
                <w:p w14:paraId="669C1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r>
            <w:tr w14:paraId="20D87AC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9" w:hRule="atLeast"/>
                <w:jc w:val="center"/>
              </w:trPr>
              <w:tc>
                <w:tcPr>
                  <w:tcW w:w="249" w:type="pct"/>
                  <w:vMerge w:val="continue"/>
                  <w:tcBorders>
                    <w:tl2br w:val="nil"/>
                    <w:tr2bl w:val="nil"/>
                  </w:tcBorders>
                  <w:noWrap w:val="0"/>
                  <w:vAlign w:val="center"/>
                </w:tcPr>
                <w:p w14:paraId="3ECB8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0DEFA7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健康危害</w:t>
                  </w:r>
                </w:p>
              </w:tc>
              <w:tc>
                <w:tcPr>
                  <w:tcW w:w="3878" w:type="pct"/>
                  <w:gridSpan w:val="10"/>
                  <w:tcBorders>
                    <w:tl2br w:val="nil"/>
                    <w:tr2bl w:val="nil"/>
                  </w:tcBorders>
                  <w:noWrap w:val="0"/>
                  <w:vAlign w:val="center"/>
                </w:tcPr>
                <w:p w14:paraId="210977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侵入途径：</w:t>
                  </w:r>
                  <w:r>
                    <w:rPr>
                      <w:rFonts w:hint="default" w:ascii="Times New Roman" w:hAnsi="Times New Roman" w:eastAsia="宋体" w:cs="Times New Roman"/>
                      <w:color w:val="auto"/>
                      <w:sz w:val="18"/>
                      <w:szCs w:val="18"/>
                      <w:lang w:eastAsia="zh-CN"/>
                    </w:rPr>
                    <w:t>吸入</w:t>
                  </w:r>
                  <w:r>
                    <w:rPr>
                      <w:rFonts w:hint="default" w:ascii="Times New Roman" w:hAnsi="Times New Roman" w:eastAsia="宋体" w:cs="Times New Roman"/>
                      <w:color w:val="auto"/>
                      <w:sz w:val="18"/>
                      <w:szCs w:val="18"/>
                    </w:rPr>
                    <w:t>、食入；</w:t>
                  </w:r>
                </w:p>
                <w:p w14:paraId="680162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bl>
          <w:p w14:paraId="2476C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表4-</w:t>
            </w:r>
            <w:r>
              <w:rPr>
                <w:rFonts w:hint="eastAsia" w:eastAsia="黑体" w:cs="Times New Roman"/>
                <w:color w:val="auto"/>
                <w:sz w:val="21"/>
                <w:szCs w:val="21"/>
                <w:lang w:val="en-US" w:eastAsia="zh-CN"/>
              </w:rPr>
              <w:t>19</w:t>
            </w:r>
            <w:r>
              <w:rPr>
                <w:rFonts w:hint="default" w:ascii="Times New Roman" w:hAnsi="Times New Roman" w:eastAsia="黑体" w:cs="Times New Roman"/>
                <w:color w:val="auto"/>
                <w:sz w:val="21"/>
                <w:szCs w:val="21"/>
              </w:rPr>
              <w:t xml:space="preserve"> </w:t>
            </w:r>
            <w:r>
              <w:rPr>
                <w:rFonts w:hint="eastAsia" w:eastAsia="黑体" w:cs="Times New Roman"/>
                <w:color w:val="auto"/>
                <w:sz w:val="21"/>
                <w:szCs w:val="21"/>
                <w:lang w:val="en-US" w:eastAsia="zh-CN"/>
              </w:rPr>
              <w:t>硫化钠</w:t>
            </w:r>
            <w:r>
              <w:rPr>
                <w:rFonts w:hint="eastAsia" w:ascii="Times New Roman" w:hAnsi="Times New Roman" w:eastAsia="黑体" w:cs="Times New Roman"/>
                <w:color w:val="auto"/>
                <w:sz w:val="21"/>
                <w:szCs w:val="21"/>
                <w:lang w:val="en-US" w:eastAsia="zh-CN"/>
              </w:rPr>
              <w:t>理化性质及</w:t>
            </w:r>
            <w:r>
              <w:rPr>
                <w:rFonts w:hint="default" w:ascii="Times New Roman" w:hAnsi="Times New Roman" w:eastAsia="黑体" w:cs="Times New Roman"/>
                <w:color w:val="auto"/>
                <w:sz w:val="21"/>
                <w:szCs w:val="21"/>
              </w:rPr>
              <w:t>危险特性一览表</w:t>
            </w:r>
          </w:p>
          <w:tbl>
            <w:tblPr>
              <w:tblStyle w:val="21"/>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96"/>
              <w:gridCol w:w="1029"/>
              <w:gridCol w:w="320"/>
              <w:gridCol w:w="504"/>
              <w:gridCol w:w="868"/>
              <w:gridCol w:w="958"/>
              <w:gridCol w:w="123"/>
              <w:gridCol w:w="716"/>
              <w:gridCol w:w="261"/>
              <w:gridCol w:w="744"/>
              <w:gridCol w:w="667"/>
              <w:gridCol w:w="294"/>
              <w:gridCol w:w="966"/>
            </w:tblGrid>
            <w:tr w14:paraId="252FB0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6" w:hRule="atLeast"/>
                <w:jc w:val="center"/>
              </w:trPr>
              <w:tc>
                <w:tcPr>
                  <w:tcW w:w="249" w:type="pct"/>
                  <w:vMerge w:val="restart"/>
                  <w:tcBorders>
                    <w:tl2br w:val="nil"/>
                    <w:tr2bl w:val="nil"/>
                  </w:tcBorders>
                  <w:noWrap w:val="0"/>
                  <w:vAlign w:val="center"/>
                </w:tcPr>
                <w:p w14:paraId="0AAF88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标识</w:t>
                  </w:r>
                </w:p>
              </w:tc>
              <w:tc>
                <w:tcPr>
                  <w:tcW w:w="662" w:type="pct"/>
                  <w:tcBorders>
                    <w:tl2br w:val="nil"/>
                    <w:tr2bl w:val="nil"/>
                  </w:tcBorders>
                  <w:noWrap w:val="0"/>
                  <w:vAlign w:val="center"/>
                </w:tcPr>
                <w:p w14:paraId="4D6566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中文名</w:t>
                  </w:r>
                </w:p>
              </w:tc>
              <w:tc>
                <w:tcPr>
                  <w:tcW w:w="537" w:type="pct"/>
                  <w:gridSpan w:val="2"/>
                  <w:tcBorders>
                    <w:tl2br w:val="nil"/>
                    <w:tr2bl w:val="nil"/>
                  </w:tcBorders>
                  <w:noWrap w:val="0"/>
                  <w:vAlign w:val="center"/>
                </w:tcPr>
                <w:p w14:paraId="70797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硫化钠</w:t>
                  </w:r>
                </w:p>
              </w:tc>
              <w:tc>
                <w:tcPr>
                  <w:tcW w:w="559" w:type="pct"/>
                  <w:tcBorders>
                    <w:tl2br w:val="nil"/>
                    <w:tr2bl w:val="nil"/>
                  </w:tcBorders>
                  <w:noWrap w:val="0"/>
                  <w:vAlign w:val="center"/>
                </w:tcPr>
                <w:p w14:paraId="1A648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英文名</w:t>
                  </w:r>
                </w:p>
              </w:tc>
              <w:tc>
                <w:tcPr>
                  <w:tcW w:w="1333" w:type="pct"/>
                  <w:gridSpan w:val="4"/>
                  <w:tcBorders>
                    <w:tl2br w:val="nil"/>
                    <w:tr2bl w:val="nil"/>
                  </w:tcBorders>
                  <w:noWrap w:val="0"/>
                  <w:vAlign w:val="center"/>
                </w:tcPr>
                <w:p w14:paraId="6071EC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Sodium Sulfide</w:t>
                  </w:r>
                </w:p>
              </w:tc>
              <w:tc>
                <w:tcPr>
                  <w:tcW w:w="1104" w:type="pct"/>
                  <w:gridSpan w:val="3"/>
                  <w:tcBorders>
                    <w:tl2br w:val="nil"/>
                    <w:tr2bl w:val="nil"/>
                  </w:tcBorders>
                  <w:noWrap w:val="0"/>
                  <w:vAlign w:val="center"/>
                </w:tcPr>
                <w:p w14:paraId="03F4F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危险货物编号</w:t>
                  </w:r>
                </w:p>
              </w:tc>
              <w:tc>
                <w:tcPr>
                  <w:tcW w:w="552" w:type="pct"/>
                  <w:tcBorders>
                    <w:tl2br w:val="nil"/>
                    <w:tr2bl w:val="nil"/>
                  </w:tcBorders>
                  <w:noWrap w:val="0"/>
                  <w:vAlign w:val="center"/>
                </w:tcPr>
                <w:p w14:paraId="09A907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65F2957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7" w:hRule="exact"/>
                <w:jc w:val="center"/>
              </w:trPr>
              <w:tc>
                <w:tcPr>
                  <w:tcW w:w="249" w:type="pct"/>
                  <w:vMerge w:val="continue"/>
                  <w:tcBorders>
                    <w:tl2br w:val="nil"/>
                    <w:tr2bl w:val="nil"/>
                  </w:tcBorders>
                  <w:noWrap w:val="0"/>
                  <w:vAlign w:val="center"/>
                </w:tcPr>
                <w:p w14:paraId="0C6AF4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662" w:type="pct"/>
                  <w:tcBorders>
                    <w:tl2br w:val="nil"/>
                    <w:tr2bl w:val="nil"/>
                  </w:tcBorders>
                  <w:noWrap w:val="0"/>
                  <w:vAlign w:val="center"/>
                </w:tcPr>
                <w:p w14:paraId="2710B3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分子式</w:t>
                  </w:r>
                </w:p>
              </w:tc>
              <w:tc>
                <w:tcPr>
                  <w:tcW w:w="537" w:type="pct"/>
                  <w:gridSpan w:val="2"/>
                  <w:tcBorders>
                    <w:tl2br w:val="nil"/>
                    <w:tr2bl w:val="nil"/>
                  </w:tcBorders>
                  <w:noWrap w:val="0"/>
                  <w:vAlign w:val="center"/>
                </w:tcPr>
                <w:p w14:paraId="2B141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Na₂S</w:t>
                  </w:r>
                </w:p>
              </w:tc>
              <w:tc>
                <w:tcPr>
                  <w:tcW w:w="559" w:type="pct"/>
                  <w:tcBorders>
                    <w:tl2br w:val="nil"/>
                    <w:tr2bl w:val="nil"/>
                  </w:tcBorders>
                  <w:noWrap w:val="0"/>
                  <w:vAlign w:val="center"/>
                </w:tcPr>
                <w:p w14:paraId="7A723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分子量</w:t>
                  </w:r>
                </w:p>
              </w:tc>
              <w:tc>
                <w:tcPr>
                  <w:tcW w:w="699" w:type="pct"/>
                  <w:gridSpan w:val="2"/>
                  <w:tcBorders>
                    <w:tl2br w:val="nil"/>
                    <w:tr2bl w:val="nil"/>
                  </w:tcBorders>
                  <w:noWrap w:val="0"/>
                  <w:vAlign w:val="center"/>
                </w:tcPr>
                <w:p w14:paraId="14032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78.04（无水物）</w:t>
                  </w:r>
                </w:p>
              </w:tc>
              <w:tc>
                <w:tcPr>
                  <w:tcW w:w="634" w:type="pct"/>
                  <w:gridSpan w:val="2"/>
                  <w:tcBorders>
                    <w:tl2br w:val="nil"/>
                    <w:tr2bl w:val="nil"/>
                  </w:tcBorders>
                  <w:noWrap w:val="0"/>
                  <w:vAlign w:val="center"/>
                </w:tcPr>
                <w:p w14:paraId="563FE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UN编号</w:t>
                  </w:r>
                </w:p>
              </w:tc>
              <w:tc>
                <w:tcPr>
                  <w:tcW w:w="480" w:type="pct"/>
                  <w:tcBorders>
                    <w:tl2br w:val="nil"/>
                    <w:tr2bl w:val="nil"/>
                  </w:tcBorders>
                  <w:noWrap w:val="0"/>
                  <w:vAlign w:val="center"/>
                </w:tcPr>
                <w:p w14:paraId="5AD313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1849</w:t>
                  </w:r>
                </w:p>
              </w:tc>
              <w:tc>
                <w:tcPr>
                  <w:tcW w:w="624" w:type="pct"/>
                  <w:gridSpan w:val="2"/>
                  <w:tcBorders>
                    <w:tl2br w:val="nil"/>
                    <w:tr2bl w:val="nil"/>
                  </w:tcBorders>
                  <w:noWrap w:val="0"/>
                  <w:vAlign w:val="center"/>
                </w:tcPr>
                <w:p w14:paraId="2CA8AC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CAS编号</w:t>
                  </w:r>
                </w:p>
              </w:tc>
              <w:tc>
                <w:tcPr>
                  <w:tcW w:w="552" w:type="pct"/>
                  <w:tcBorders>
                    <w:tl2br w:val="nil"/>
                    <w:tr2bl w:val="nil"/>
                  </w:tcBorders>
                  <w:noWrap w:val="0"/>
                  <w:vAlign w:val="center"/>
                </w:tcPr>
                <w:p w14:paraId="0E0791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1313-82-2</w:t>
                  </w:r>
                </w:p>
              </w:tc>
            </w:tr>
            <w:tr w14:paraId="5D1364E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0FB802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662" w:type="pct"/>
                  <w:tcBorders>
                    <w:tl2br w:val="nil"/>
                    <w:tr2bl w:val="nil"/>
                  </w:tcBorders>
                  <w:noWrap w:val="0"/>
                  <w:vAlign w:val="center"/>
                </w:tcPr>
                <w:p w14:paraId="0A4399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危险类别</w:t>
                  </w:r>
                </w:p>
              </w:tc>
              <w:tc>
                <w:tcPr>
                  <w:tcW w:w="4088" w:type="pct"/>
                  <w:gridSpan w:val="11"/>
                  <w:tcBorders>
                    <w:tl2br w:val="nil"/>
                    <w:tr2bl w:val="nil"/>
                  </w:tcBorders>
                  <w:noWrap w:val="0"/>
                  <w:vAlign w:val="center"/>
                </w:tcPr>
                <w:p w14:paraId="440FC7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自然物品</w:t>
                  </w:r>
                </w:p>
              </w:tc>
            </w:tr>
            <w:tr w14:paraId="1FAE2BF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restart"/>
                  <w:tcBorders>
                    <w:tl2br w:val="nil"/>
                    <w:tr2bl w:val="nil"/>
                  </w:tcBorders>
                  <w:noWrap w:val="0"/>
                  <w:vAlign w:val="center"/>
                </w:tcPr>
                <w:p w14:paraId="0CC29A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理化性质</w:t>
                  </w:r>
                </w:p>
              </w:tc>
              <w:tc>
                <w:tcPr>
                  <w:tcW w:w="662" w:type="pct"/>
                  <w:tcBorders>
                    <w:tl2br w:val="nil"/>
                    <w:tr2bl w:val="nil"/>
                  </w:tcBorders>
                  <w:noWrap w:val="0"/>
                  <w:vAlign w:val="center"/>
                </w:tcPr>
                <w:p w14:paraId="3C922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性  状</w:t>
                  </w:r>
                </w:p>
              </w:tc>
              <w:tc>
                <w:tcPr>
                  <w:tcW w:w="4088" w:type="pct"/>
                  <w:gridSpan w:val="11"/>
                  <w:tcBorders>
                    <w:tl2br w:val="nil"/>
                    <w:tr2bl w:val="nil"/>
                  </w:tcBorders>
                  <w:noWrap w:val="0"/>
                  <w:vAlign w:val="center"/>
                </w:tcPr>
                <w:p w14:paraId="12F50A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无色或微紫色棱柱形晶体</w:t>
                  </w:r>
                  <w:r>
                    <w:rPr>
                      <w:rFonts w:hint="eastAsia" w:ascii="Times New Roman" w:hAnsi="Times New Roman" w:eastAsia="宋体" w:cs="Times New Roman"/>
                      <w:color w:val="auto"/>
                      <w:sz w:val="18"/>
                      <w:szCs w:val="18"/>
                      <w:lang w:eastAsia="zh-CN"/>
                    </w:rPr>
                    <w:t>。</w:t>
                  </w:r>
                </w:p>
              </w:tc>
            </w:tr>
            <w:tr w14:paraId="06CA38F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55272B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33AB98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熔点（℃）</w:t>
                  </w:r>
                </w:p>
              </w:tc>
              <w:tc>
                <w:tcPr>
                  <w:tcW w:w="1586" w:type="pct"/>
                  <w:gridSpan w:val="4"/>
                  <w:tcBorders>
                    <w:tl2br w:val="nil"/>
                    <w:tr2bl w:val="nil"/>
                  </w:tcBorders>
                  <w:noWrap w:val="0"/>
                  <w:vAlign w:val="center"/>
                </w:tcPr>
                <w:p w14:paraId="251215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950～1180</w:t>
                  </w:r>
                </w:p>
              </w:tc>
              <w:tc>
                <w:tcPr>
                  <w:tcW w:w="1545" w:type="pct"/>
                  <w:gridSpan w:val="4"/>
                  <w:tcBorders>
                    <w:tl2br w:val="nil"/>
                    <w:tr2bl w:val="nil"/>
                  </w:tcBorders>
                  <w:noWrap w:val="0"/>
                  <w:vAlign w:val="center"/>
                </w:tcPr>
                <w:p w14:paraId="2D3E0E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临界压力（Mpa）</w:t>
                  </w:r>
                </w:p>
              </w:tc>
              <w:tc>
                <w:tcPr>
                  <w:tcW w:w="746" w:type="pct"/>
                  <w:gridSpan w:val="2"/>
                  <w:tcBorders>
                    <w:tl2br w:val="nil"/>
                    <w:tr2bl w:val="nil"/>
                  </w:tcBorders>
                  <w:noWrap w:val="0"/>
                  <w:vAlign w:val="center"/>
                </w:tcPr>
                <w:p w14:paraId="7A5DEE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6C97777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1B1B1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59C3F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沸点（℃）</w:t>
                  </w:r>
                </w:p>
              </w:tc>
              <w:tc>
                <w:tcPr>
                  <w:tcW w:w="1586" w:type="pct"/>
                  <w:gridSpan w:val="4"/>
                  <w:tcBorders>
                    <w:tl2br w:val="nil"/>
                    <w:tr2bl w:val="nil"/>
                  </w:tcBorders>
                  <w:noWrap w:val="0"/>
                  <w:vAlign w:val="center"/>
                </w:tcPr>
                <w:p w14:paraId="5F0257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1180</w:t>
                  </w:r>
                </w:p>
              </w:tc>
              <w:tc>
                <w:tcPr>
                  <w:tcW w:w="1545" w:type="pct"/>
                  <w:gridSpan w:val="4"/>
                  <w:tcBorders>
                    <w:tl2br w:val="nil"/>
                    <w:tr2bl w:val="nil"/>
                  </w:tcBorders>
                  <w:noWrap w:val="0"/>
                  <w:vAlign w:val="center"/>
                </w:tcPr>
                <w:p w14:paraId="402C10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相对密度（水＝1）</w:t>
                  </w:r>
                </w:p>
              </w:tc>
              <w:tc>
                <w:tcPr>
                  <w:tcW w:w="746" w:type="pct"/>
                  <w:gridSpan w:val="2"/>
                  <w:tcBorders>
                    <w:tl2br w:val="nil"/>
                    <w:tr2bl w:val="nil"/>
                  </w:tcBorders>
                  <w:noWrap w:val="0"/>
                  <w:vAlign w:val="center"/>
                </w:tcPr>
                <w:p w14:paraId="018BE1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&gt;</w:t>
                  </w:r>
                  <w:r>
                    <w:rPr>
                      <w:rFonts w:hint="default" w:ascii="Times New Roman" w:hAnsi="Times New Roman" w:eastAsia="宋体" w:cs="Times New Roman"/>
                      <w:color w:val="auto"/>
                      <w:sz w:val="18"/>
                      <w:szCs w:val="18"/>
                    </w:rPr>
                    <w:t>1</w:t>
                  </w:r>
                </w:p>
              </w:tc>
            </w:tr>
            <w:tr w14:paraId="6727A90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6975F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6F8FF7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溶解性</w:t>
                  </w:r>
                </w:p>
              </w:tc>
              <w:tc>
                <w:tcPr>
                  <w:tcW w:w="3878" w:type="pct"/>
                  <w:gridSpan w:val="10"/>
                  <w:tcBorders>
                    <w:tl2br w:val="nil"/>
                    <w:tr2bl w:val="nil"/>
                  </w:tcBorders>
                  <w:noWrap w:val="0"/>
                  <w:vAlign w:val="center"/>
                </w:tcPr>
                <w:p w14:paraId="5001D8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易溶于水</w:t>
                  </w:r>
                </w:p>
              </w:tc>
            </w:tr>
            <w:tr w14:paraId="03FFDCA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restart"/>
                  <w:tcBorders>
                    <w:tl2br w:val="nil"/>
                    <w:tr2bl w:val="nil"/>
                  </w:tcBorders>
                  <w:noWrap w:val="0"/>
                  <w:vAlign w:val="center"/>
                </w:tcPr>
                <w:p w14:paraId="3BC9BD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燃烧爆炸危险性</w:t>
                  </w:r>
                </w:p>
              </w:tc>
              <w:tc>
                <w:tcPr>
                  <w:tcW w:w="872" w:type="pct"/>
                  <w:gridSpan w:val="2"/>
                  <w:tcBorders>
                    <w:tl2br w:val="nil"/>
                    <w:tr2bl w:val="nil"/>
                  </w:tcBorders>
                  <w:noWrap w:val="0"/>
                  <w:vAlign w:val="center"/>
                </w:tcPr>
                <w:p w14:paraId="29C1A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燃烧性</w:t>
                  </w:r>
                </w:p>
              </w:tc>
              <w:tc>
                <w:tcPr>
                  <w:tcW w:w="1586" w:type="pct"/>
                  <w:gridSpan w:val="4"/>
                  <w:tcBorders>
                    <w:tl2br w:val="nil"/>
                    <w:tr2bl w:val="nil"/>
                  </w:tcBorders>
                  <w:noWrap w:val="0"/>
                  <w:vAlign w:val="center"/>
                </w:tcPr>
                <w:p w14:paraId="5C388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可燃</w:t>
                  </w:r>
                </w:p>
              </w:tc>
              <w:tc>
                <w:tcPr>
                  <w:tcW w:w="1545" w:type="pct"/>
                  <w:gridSpan w:val="4"/>
                  <w:tcBorders>
                    <w:tl2br w:val="nil"/>
                    <w:tr2bl w:val="nil"/>
                  </w:tcBorders>
                  <w:noWrap w:val="0"/>
                  <w:vAlign w:val="center"/>
                </w:tcPr>
                <w:p w14:paraId="77DEC5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闪点（℃）</w:t>
                  </w:r>
                </w:p>
              </w:tc>
              <w:tc>
                <w:tcPr>
                  <w:tcW w:w="746" w:type="pct"/>
                  <w:gridSpan w:val="2"/>
                  <w:tcBorders>
                    <w:tl2br w:val="nil"/>
                    <w:tr2bl w:val="nil"/>
                  </w:tcBorders>
                  <w:noWrap w:val="0"/>
                  <w:vAlign w:val="center"/>
                </w:tcPr>
                <w:p w14:paraId="359AB0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w:t>
                  </w:r>
                </w:p>
              </w:tc>
            </w:tr>
            <w:tr w14:paraId="632231A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039105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1DFA63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爆炸极限（％）</w:t>
                  </w:r>
                </w:p>
              </w:tc>
              <w:tc>
                <w:tcPr>
                  <w:tcW w:w="1586" w:type="pct"/>
                  <w:gridSpan w:val="4"/>
                  <w:tcBorders>
                    <w:tl2br w:val="nil"/>
                    <w:tr2bl w:val="nil"/>
                  </w:tcBorders>
                  <w:noWrap w:val="0"/>
                  <w:vAlign w:val="center"/>
                </w:tcPr>
                <w:p w14:paraId="4B4C6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1545" w:type="pct"/>
                  <w:gridSpan w:val="4"/>
                  <w:tcBorders>
                    <w:tl2br w:val="nil"/>
                    <w:tr2bl w:val="nil"/>
                  </w:tcBorders>
                  <w:noWrap w:val="0"/>
                  <w:vAlign w:val="center"/>
                </w:tcPr>
                <w:p w14:paraId="2A03A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最小点火能（MJ）</w:t>
                  </w:r>
                </w:p>
              </w:tc>
              <w:tc>
                <w:tcPr>
                  <w:tcW w:w="746" w:type="pct"/>
                  <w:gridSpan w:val="2"/>
                  <w:tcBorders>
                    <w:tl2br w:val="nil"/>
                    <w:tr2bl w:val="nil"/>
                  </w:tcBorders>
                  <w:noWrap w:val="0"/>
                  <w:vAlign w:val="center"/>
                </w:tcPr>
                <w:p w14:paraId="2A858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6813C8E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427D91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4B4A1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引燃温度（℃）</w:t>
                  </w:r>
                </w:p>
              </w:tc>
              <w:tc>
                <w:tcPr>
                  <w:tcW w:w="1586" w:type="pct"/>
                  <w:gridSpan w:val="4"/>
                  <w:tcBorders>
                    <w:tl2br w:val="nil"/>
                    <w:tr2bl w:val="nil"/>
                  </w:tcBorders>
                  <w:noWrap w:val="0"/>
                  <w:vAlign w:val="center"/>
                </w:tcPr>
                <w:p w14:paraId="1E6133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w:t>
                  </w:r>
                </w:p>
              </w:tc>
              <w:tc>
                <w:tcPr>
                  <w:tcW w:w="1545" w:type="pct"/>
                  <w:gridSpan w:val="4"/>
                  <w:tcBorders>
                    <w:tl2br w:val="nil"/>
                    <w:tr2bl w:val="nil"/>
                  </w:tcBorders>
                  <w:noWrap w:val="0"/>
                  <w:vAlign w:val="center"/>
                </w:tcPr>
                <w:p w14:paraId="7F67BC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最大爆炸压力（Mpa）</w:t>
                  </w:r>
                </w:p>
              </w:tc>
              <w:tc>
                <w:tcPr>
                  <w:tcW w:w="746" w:type="pct"/>
                  <w:gridSpan w:val="2"/>
                  <w:tcBorders>
                    <w:tl2br w:val="nil"/>
                    <w:tr2bl w:val="nil"/>
                  </w:tcBorders>
                  <w:noWrap w:val="0"/>
                  <w:vAlign w:val="center"/>
                </w:tcPr>
                <w:p w14:paraId="04C636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562360F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2" w:hRule="exact"/>
                <w:jc w:val="center"/>
              </w:trPr>
              <w:tc>
                <w:tcPr>
                  <w:tcW w:w="249" w:type="pct"/>
                  <w:vMerge w:val="continue"/>
                  <w:tcBorders>
                    <w:tl2br w:val="nil"/>
                    <w:tr2bl w:val="nil"/>
                  </w:tcBorders>
                  <w:noWrap w:val="0"/>
                  <w:vAlign w:val="center"/>
                </w:tcPr>
                <w:p w14:paraId="6EEEAB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74780F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危险特性</w:t>
                  </w:r>
                </w:p>
              </w:tc>
              <w:tc>
                <w:tcPr>
                  <w:tcW w:w="3878" w:type="pct"/>
                  <w:gridSpan w:val="10"/>
                  <w:tcBorders>
                    <w:tl2br w:val="nil"/>
                    <w:tr2bl w:val="nil"/>
                  </w:tcBorders>
                  <w:noWrap w:val="0"/>
                  <w:vAlign w:val="center"/>
                </w:tcPr>
                <w:p w14:paraId="7273D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与任何酸（强酸、弱酸、酸性物质）立即反应，放出剧毒、高度易燃气体硫化氢（H</w:t>
                  </w:r>
                  <w:r>
                    <w:rPr>
                      <w:rFonts w:hint="eastAsia" w:ascii="Times New Roman" w:hAnsi="Times New Roman" w:eastAsia="宋体" w:cs="Times New Roman"/>
                      <w:color w:val="auto"/>
                      <w:sz w:val="18"/>
                      <w:szCs w:val="18"/>
                      <w:vertAlign w:val="subscript"/>
                      <w:lang w:val="en-US" w:eastAsia="zh-CN"/>
                    </w:rPr>
                    <w:t>2</w:t>
                  </w:r>
                  <w:r>
                    <w:rPr>
                      <w:rFonts w:hint="eastAsia" w:ascii="Times New Roman" w:hAnsi="Times New Roman" w:eastAsia="宋体" w:cs="Times New Roman"/>
                      <w:color w:val="auto"/>
                      <w:sz w:val="18"/>
                      <w:szCs w:val="18"/>
                      <w:lang w:val="en-US" w:eastAsia="zh-CN"/>
                    </w:rPr>
                    <w:t>S），遇火源可爆炸。</w:t>
                  </w:r>
                </w:p>
              </w:tc>
            </w:tr>
            <w:tr w14:paraId="6BDAB82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84" w:hRule="atLeast"/>
                <w:jc w:val="center"/>
              </w:trPr>
              <w:tc>
                <w:tcPr>
                  <w:tcW w:w="249" w:type="pct"/>
                  <w:vMerge w:val="continue"/>
                  <w:tcBorders>
                    <w:tl2br w:val="nil"/>
                    <w:tr2bl w:val="nil"/>
                  </w:tcBorders>
                  <w:noWrap w:val="0"/>
                  <w:vAlign w:val="center"/>
                </w:tcPr>
                <w:p w14:paraId="418C2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636F3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灭火方法</w:t>
                  </w:r>
                </w:p>
              </w:tc>
              <w:tc>
                <w:tcPr>
                  <w:tcW w:w="3878" w:type="pct"/>
                  <w:gridSpan w:val="10"/>
                  <w:tcBorders>
                    <w:tl2br w:val="nil"/>
                    <w:tr2bl w:val="nil"/>
                  </w:tcBorders>
                  <w:noWrap w:val="0"/>
                  <w:vAlign w:val="center"/>
                </w:tcPr>
                <w:p w14:paraId="4ED7F6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4DB9EF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灭火剂：</w:t>
                  </w:r>
                  <w:r>
                    <w:rPr>
                      <w:rFonts w:hint="eastAsia" w:ascii="Times New Roman" w:hAnsi="Times New Roman" w:eastAsia="宋体" w:cs="Times New Roman"/>
                      <w:color w:val="auto"/>
                      <w:sz w:val="18"/>
                      <w:szCs w:val="18"/>
                      <w:lang w:val="en-US" w:eastAsia="zh-CN"/>
                    </w:rPr>
                    <w:t>水、雾状水、砂土、干粉、二氧化碳。</w:t>
                  </w:r>
                </w:p>
              </w:tc>
            </w:tr>
            <w:tr w14:paraId="3B84C3D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9" w:hRule="exact"/>
                <w:jc w:val="center"/>
              </w:trPr>
              <w:tc>
                <w:tcPr>
                  <w:tcW w:w="249" w:type="pct"/>
                  <w:vMerge w:val="continue"/>
                  <w:tcBorders>
                    <w:tl2br w:val="nil"/>
                    <w:tr2bl w:val="nil"/>
                  </w:tcBorders>
                  <w:noWrap w:val="0"/>
                  <w:vAlign w:val="center"/>
                </w:tcPr>
                <w:p w14:paraId="0C1228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42DDEC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禁忌物</w:t>
                  </w:r>
                </w:p>
              </w:tc>
              <w:tc>
                <w:tcPr>
                  <w:tcW w:w="2700" w:type="pct"/>
                  <w:gridSpan w:val="7"/>
                  <w:tcBorders>
                    <w:tl2br w:val="nil"/>
                    <w:tr2bl w:val="nil"/>
                  </w:tcBorders>
                  <w:noWrap w:val="0"/>
                  <w:vAlign w:val="center"/>
                </w:tcPr>
                <w:p w14:paraId="4D6609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24" w:type="pct"/>
                  <w:gridSpan w:val="2"/>
                  <w:tcBorders>
                    <w:tl2br w:val="nil"/>
                    <w:tr2bl w:val="nil"/>
                  </w:tcBorders>
                  <w:noWrap w:val="0"/>
                  <w:vAlign w:val="center"/>
                </w:tcPr>
                <w:p w14:paraId="2DDB0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稳定性</w:t>
                  </w:r>
                </w:p>
              </w:tc>
              <w:tc>
                <w:tcPr>
                  <w:tcW w:w="552" w:type="pct"/>
                  <w:tcBorders>
                    <w:tl2br w:val="nil"/>
                    <w:tr2bl w:val="nil"/>
                  </w:tcBorders>
                  <w:noWrap w:val="0"/>
                  <w:vAlign w:val="center"/>
                </w:tcPr>
                <w:p w14:paraId="079F2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不</w:t>
                  </w:r>
                  <w:r>
                    <w:rPr>
                      <w:rFonts w:hint="default" w:ascii="Times New Roman" w:hAnsi="Times New Roman" w:eastAsia="宋体" w:cs="Times New Roman"/>
                      <w:color w:val="auto"/>
                      <w:sz w:val="18"/>
                      <w:szCs w:val="18"/>
                    </w:rPr>
                    <w:t>稳定</w:t>
                  </w:r>
                </w:p>
              </w:tc>
            </w:tr>
            <w:tr w14:paraId="370F5D2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9" w:hRule="exact"/>
                <w:jc w:val="center"/>
              </w:trPr>
              <w:tc>
                <w:tcPr>
                  <w:tcW w:w="249" w:type="pct"/>
                  <w:vMerge w:val="continue"/>
                  <w:tcBorders>
                    <w:tl2br w:val="nil"/>
                    <w:tr2bl w:val="nil"/>
                  </w:tcBorders>
                  <w:noWrap w:val="0"/>
                  <w:vAlign w:val="center"/>
                </w:tcPr>
                <w:p w14:paraId="43033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0F381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燃烧产物</w:t>
                  </w:r>
                </w:p>
              </w:tc>
              <w:tc>
                <w:tcPr>
                  <w:tcW w:w="2700" w:type="pct"/>
                  <w:gridSpan w:val="7"/>
                  <w:tcBorders>
                    <w:tl2br w:val="nil"/>
                    <w:tr2bl w:val="nil"/>
                  </w:tcBorders>
                  <w:noWrap w:val="0"/>
                  <w:vAlign w:val="center"/>
                </w:tcPr>
                <w:p w14:paraId="272055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二氧化硫</w:t>
                  </w:r>
                </w:p>
              </w:tc>
              <w:tc>
                <w:tcPr>
                  <w:tcW w:w="624" w:type="pct"/>
                  <w:gridSpan w:val="2"/>
                  <w:tcBorders>
                    <w:tl2br w:val="nil"/>
                    <w:tr2bl w:val="nil"/>
                  </w:tcBorders>
                  <w:noWrap w:val="0"/>
                  <w:vAlign w:val="center"/>
                </w:tcPr>
                <w:p w14:paraId="5A803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聚合危害</w:t>
                  </w:r>
                </w:p>
              </w:tc>
              <w:tc>
                <w:tcPr>
                  <w:tcW w:w="552" w:type="pct"/>
                  <w:tcBorders>
                    <w:tl2br w:val="nil"/>
                    <w:tr2bl w:val="nil"/>
                  </w:tcBorders>
                  <w:noWrap w:val="0"/>
                  <w:vAlign w:val="center"/>
                </w:tcPr>
                <w:p w14:paraId="38087C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不聚合</w:t>
                  </w:r>
                </w:p>
              </w:tc>
            </w:tr>
            <w:tr w14:paraId="1DF5AE5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4" w:hRule="exact"/>
                <w:jc w:val="center"/>
              </w:trPr>
              <w:tc>
                <w:tcPr>
                  <w:tcW w:w="249" w:type="pct"/>
                  <w:vMerge w:val="restart"/>
                  <w:tcBorders>
                    <w:tl2br w:val="nil"/>
                    <w:tr2bl w:val="nil"/>
                  </w:tcBorders>
                  <w:noWrap w:val="0"/>
                  <w:vAlign w:val="center"/>
                </w:tcPr>
                <w:p w14:paraId="01FD3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毒性及健康危害</w:t>
                  </w:r>
                </w:p>
              </w:tc>
              <w:tc>
                <w:tcPr>
                  <w:tcW w:w="872" w:type="pct"/>
                  <w:gridSpan w:val="2"/>
                  <w:tcBorders>
                    <w:tl2br w:val="nil"/>
                    <w:tr2bl w:val="nil"/>
                  </w:tcBorders>
                  <w:noWrap w:val="0"/>
                  <w:vAlign w:val="center"/>
                </w:tcPr>
                <w:p w14:paraId="55830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急性毒性</w:t>
                  </w:r>
                </w:p>
              </w:tc>
              <w:tc>
                <w:tcPr>
                  <w:tcW w:w="1502" w:type="pct"/>
                  <w:gridSpan w:val="3"/>
                  <w:tcBorders>
                    <w:tl2br w:val="nil"/>
                    <w:tr2bl w:val="nil"/>
                  </w:tcBorders>
                  <w:noWrap w:val="0"/>
                  <w:vAlign w:val="center"/>
                </w:tcPr>
                <w:p w14:paraId="618FA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LD50（mg/kg，大鼠经口）</w:t>
                  </w:r>
                </w:p>
              </w:tc>
              <w:tc>
                <w:tcPr>
                  <w:tcW w:w="546" w:type="pct"/>
                  <w:gridSpan w:val="2"/>
                  <w:tcBorders>
                    <w:tl2br w:val="nil"/>
                    <w:tr2bl w:val="nil"/>
                  </w:tcBorders>
                  <w:noWrap w:val="0"/>
                  <w:vAlign w:val="center"/>
                </w:tcPr>
                <w:p w14:paraId="4F6F8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1276" w:type="pct"/>
                  <w:gridSpan w:val="4"/>
                  <w:tcBorders>
                    <w:tl2br w:val="nil"/>
                    <w:tr2bl w:val="nil"/>
                  </w:tcBorders>
                  <w:noWrap w:val="0"/>
                  <w:vAlign w:val="center"/>
                </w:tcPr>
                <w:p w14:paraId="5DF1D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LC50（mg/kg）</w:t>
                  </w:r>
                </w:p>
              </w:tc>
              <w:tc>
                <w:tcPr>
                  <w:tcW w:w="552" w:type="pct"/>
                  <w:tcBorders>
                    <w:tl2br w:val="nil"/>
                    <w:tr2bl w:val="nil"/>
                  </w:tcBorders>
                  <w:noWrap w:val="0"/>
                  <w:vAlign w:val="center"/>
                </w:tcPr>
                <w:p w14:paraId="140D16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r>
            <w:tr w14:paraId="522F79A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9" w:hRule="atLeast"/>
                <w:jc w:val="center"/>
              </w:trPr>
              <w:tc>
                <w:tcPr>
                  <w:tcW w:w="249" w:type="pct"/>
                  <w:vMerge w:val="continue"/>
                  <w:tcBorders>
                    <w:tl2br w:val="nil"/>
                    <w:tr2bl w:val="nil"/>
                  </w:tcBorders>
                  <w:noWrap w:val="0"/>
                  <w:vAlign w:val="center"/>
                </w:tcPr>
                <w:p w14:paraId="3EF504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0DC40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健康危害</w:t>
                  </w:r>
                </w:p>
              </w:tc>
              <w:tc>
                <w:tcPr>
                  <w:tcW w:w="3878" w:type="pct"/>
                  <w:gridSpan w:val="10"/>
                  <w:tcBorders>
                    <w:tl2br w:val="nil"/>
                    <w:tr2bl w:val="nil"/>
                  </w:tcBorders>
                  <w:noWrap w:val="0"/>
                  <w:vAlign w:val="center"/>
                </w:tcPr>
                <w:p w14:paraId="3E4796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侵入途径：</w:t>
                  </w:r>
                  <w:r>
                    <w:rPr>
                      <w:rFonts w:hint="default" w:ascii="Times New Roman" w:hAnsi="Times New Roman" w:eastAsia="宋体" w:cs="Times New Roman"/>
                      <w:color w:val="auto"/>
                      <w:sz w:val="18"/>
                      <w:szCs w:val="18"/>
                      <w:lang w:eastAsia="zh-CN"/>
                    </w:rPr>
                    <w:t>吸入</w:t>
                  </w:r>
                  <w:r>
                    <w:rPr>
                      <w:rFonts w:hint="default" w:ascii="Times New Roman" w:hAnsi="Times New Roman" w:eastAsia="宋体" w:cs="Times New Roman"/>
                      <w:color w:val="auto"/>
                      <w:sz w:val="18"/>
                      <w:szCs w:val="18"/>
                    </w:rPr>
                    <w:t>、食入</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经皮吸收</w:t>
                  </w:r>
                  <w:r>
                    <w:rPr>
                      <w:rFonts w:hint="default" w:ascii="Times New Roman" w:hAnsi="Times New Roman" w:eastAsia="宋体" w:cs="Times New Roman"/>
                      <w:color w:val="auto"/>
                      <w:sz w:val="18"/>
                      <w:szCs w:val="18"/>
                    </w:rPr>
                    <w:t>；</w:t>
                  </w:r>
                </w:p>
                <w:p w14:paraId="439D9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急性</w:t>
                  </w:r>
                  <w:r>
                    <w:rPr>
                      <w:rFonts w:hint="eastAsia" w:ascii="Times New Roman" w:hAnsi="Times New Roman" w:eastAsia="宋体" w:cs="Times New Roman"/>
                      <w:color w:val="auto"/>
                      <w:sz w:val="18"/>
                      <w:szCs w:val="18"/>
                      <w:lang w:val="en-US" w:eastAsia="zh-CN"/>
                    </w:rPr>
                    <w:t>中毒</w:t>
                  </w:r>
                  <w:r>
                    <w:rPr>
                      <w:rFonts w:hint="eastAsia" w:ascii="Times New Roman" w:hAnsi="Times New Roman" w:eastAsia="宋体" w:cs="Times New Roman"/>
                      <w:color w:val="auto"/>
                      <w:sz w:val="18"/>
                      <w:szCs w:val="18"/>
                      <w:lang w:eastAsia="zh-CN"/>
                    </w:rPr>
                    <w:t>：</w:t>
                  </w:r>
                </w:p>
                <w:p w14:paraId="2A038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口服：恶心、呕吐、腹痛、腹泻、紫绀、呼吸困难，重者休克、死亡。</w:t>
                  </w:r>
                </w:p>
                <w:p w14:paraId="05563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皮肤/眼接触：严重灼伤、溃疡、永久损伤。</w:t>
                  </w:r>
                </w:p>
                <w:p w14:paraId="49E4C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吸入粉尘或遇酸产生的H₂S：头痛、头晕、恶心，高浓度可电击样死亡。</w:t>
                  </w:r>
                </w:p>
              </w:tc>
            </w:tr>
          </w:tbl>
          <w:p w14:paraId="31AD68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表4-</w:t>
            </w:r>
            <w:r>
              <w:rPr>
                <w:rFonts w:hint="eastAsia" w:eastAsia="黑体" w:cs="Times New Roman"/>
                <w:color w:val="auto"/>
                <w:sz w:val="21"/>
                <w:szCs w:val="21"/>
                <w:lang w:val="en-US" w:eastAsia="zh-CN"/>
              </w:rPr>
              <w:t>20</w:t>
            </w:r>
            <w:r>
              <w:rPr>
                <w:rFonts w:hint="default" w:ascii="Times New Roman" w:hAnsi="Times New Roman" w:eastAsia="黑体" w:cs="Times New Roman"/>
                <w:color w:val="auto"/>
                <w:sz w:val="21"/>
                <w:szCs w:val="21"/>
              </w:rPr>
              <w:t xml:space="preserve"> </w:t>
            </w:r>
            <w:r>
              <w:rPr>
                <w:rFonts w:hint="eastAsia" w:ascii="Times New Roman" w:hAnsi="Times New Roman" w:eastAsia="黑体" w:cs="Times New Roman"/>
                <w:color w:val="auto"/>
                <w:sz w:val="21"/>
                <w:szCs w:val="21"/>
              </w:rPr>
              <w:t>2#油</w:t>
            </w:r>
            <w:r>
              <w:rPr>
                <w:rFonts w:hint="eastAsia" w:ascii="Times New Roman" w:hAnsi="Times New Roman" w:eastAsia="黑体" w:cs="Times New Roman"/>
                <w:color w:val="auto"/>
                <w:sz w:val="21"/>
                <w:szCs w:val="21"/>
                <w:lang w:val="en-US" w:eastAsia="zh-CN"/>
              </w:rPr>
              <w:t>理化性质及</w:t>
            </w:r>
            <w:r>
              <w:rPr>
                <w:rFonts w:hint="default" w:ascii="Times New Roman" w:hAnsi="Times New Roman" w:eastAsia="黑体" w:cs="Times New Roman"/>
                <w:color w:val="auto"/>
                <w:sz w:val="21"/>
                <w:szCs w:val="21"/>
              </w:rPr>
              <w:t>危险特性一览表</w:t>
            </w:r>
          </w:p>
          <w:tbl>
            <w:tblPr>
              <w:tblStyle w:val="21"/>
              <w:tblW w:w="4996"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96"/>
              <w:gridCol w:w="1029"/>
              <w:gridCol w:w="320"/>
              <w:gridCol w:w="502"/>
              <w:gridCol w:w="868"/>
              <w:gridCol w:w="1078"/>
              <w:gridCol w:w="8"/>
              <w:gridCol w:w="856"/>
              <w:gridCol w:w="115"/>
              <w:gridCol w:w="744"/>
              <w:gridCol w:w="669"/>
              <w:gridCol w:w="294"/>
              <w:gridCol w:w="966"/>
            </w:tblGrid>
            <w:tr w14:paraId="59045AA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6" w:hRule="atLeast"/>
                <w:jc w:val="center"/>
              </w:trPr>
              <w:tc>
                <w:tcPr>
                  <w:tcW w:w="249" w:type="pct"/>
                  <w:vMerge w:val="restart"/>
                  <w:tcBorders>
                    <w:tl2br w:val="nil"/>
                    <w:tr2bl w:val="nil"/>
                  </w:tcBorders>
                  <w:noWrap w:val="0"/>
                  <w:vAlign w:val="center"/>
                </w:tcPr>
                <w:p w14:paraId="4DE183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标识</w:t>
                  </w:r>
                </w:p>
              </w:tc>
              <w:tc>
                <w:tcPr>
                  <w:tcW w:w="662" w:type="pct"/>
                  <w:tcBorders>
                    <w:tl2br w:val="nil"/>
                    <w:tr2bl w:val="nil"/>
                  </w:tcBorders>
                  <w:noWrap w:val="0"/>
                  <w:vAlign w:val="center"/>
                </w:tcPr>
                <w:p w14:paraId="7D0DC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中文名</w:t>
                  </w:r>
                </w:p>
              </w:tc>
              <w:tc>
                <w:tcPr>
                  <w:tcW w:w="536" w:type="pct"/>
                  <w:gridSpan w:val="2"/>
                  <w:tcBorders>
                    <w:tl2br w:val="nil"/>
                    <w:tr2bl w:val="nil"/>
                  </w:tcBorders>
                  <w:noWrap w:val="0"/>
                  <w:vAlign w:val="center"/>
                </w:tcPr>
                <w:p w14:paraId="5E763A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松醇油</w:t>
                  </w:r>
                </w:p>
              </w:tc>
              <w:tc>
                <w:tcPr>
                  <w:tcW w:w="559" w:type="pct"/>
                  <w:tcBorders>
                    <w:tl2br w:val="nil"/>
                    <w:tr2bl w:val="nil"/>
                  </w:tcBorders>
                  <w:noWrap w:val="0"/>
                  <w:vAlign w:val="center"/>
                </w:tcPr>
                <w:p w14:paraId="78020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英文名</w:t>
                  </w:r>
                </w:p>
              </w:tc>
              <w:tc>
                <w:tcPr>
                  <w:tcW w:w="1333" w:type="pct"/>
                  <w:gridSpan w:val="4"/>
                  <w:tcBorders>
                    <w:tl2br w:val="nil"/>
                    <w:tr2bl w:val="nil"/>
                  </w:tcBorders>
                  <w:noWrap w:val="0"/>
                  <w:vAlign w:val="center"/>
                </w:tcPr>
                <w:p w14:paraId="797BB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Flotation Oil</w:t>
                  </w:r>
                </w:p>
              </w:tc>
              <w:tc>
                <w:tcPr>
                  <w:tcW w:w="1104" w:type="pct"/>
                  <w:gridSpan w:val="3"/>
                  <w:tcBorders>
                    <w:tl2br w:val="nil"/>
                    <w:tr2bl w:val="nil"/>
                  </w:tcBorders>
                  <w:noWrap w:val="0"/>
                  <w:vAlign w:val="center"/>
                </w:tcPr>
                <w:p w14:paraId="206F6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危险货物编号</w:t>
                  </w:r>
                </w:p>
              </w:tc>
              <w:tc>
                <w:tcPr>
                  <w:tcW w:w="554" w:type="pct"/>
                  <w:tcBorders>
                    <w:tl2br w:val="nil"/>
                    <w:tr2bl w:val="nil"/>
                  </w:tcBorders>
                  <w:noWrap w:val="0"/>
                  <w:vAlign w:val="center"/>
                </w:tcPr>
                <w:p w14:paraId="4643DD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382B524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7" w:hRule="exact"/>
                <w:jc w:val="center"/>
              </w:trPr>
              <w:tc>
                <w:tcPr>
                  <w:tcW w:w="249" w:type="pct"/>
                  <w:vMerge w:val="continue"/>
                  <w:tcBorders>
                    <w:tl2br w:val="nil"/>
                    <w:tr2bl w:val="nil"/>
                  </w:tcBorders>
                  <w:noWrap w:val="0"/>
                  <w:vAlign w:val="center"/>
                </w:tcPr>
                <w:p w14:paraId="16AEA9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662" w:type="pct"/>
                  <w:tcBorders>
                    <w:tl2br w:val="nil"/>
                    <w:tr2bl w:val="nil"/>
                  </w:tcBorders>
                  <w:noWrap w:val="0"/>
                  <w:vAlign w:val="center"/>
                </w:tcPr>
                <w:p w14:paraId="78EF1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分子式</w:t>
                  </w:r>
                </w:p>
              </w:tc>
              <w:tc>
                <w:tcPr>
                  <w:tcW w:w="536" w:type="pct"/>
                  <w:gridSpan w:val="2"/>
                  <w:tcBorders>
                    <w:tl2br w:val="nil"/>
                    <w:tr2bl w:val="nil"/>
                  </w:tcBorders>
                  <w:noWrap w:val="0"/>
                  <w:vAlign w:val="center"/>
                </w:tcPr>
                <w:p w14:paraId="2A97F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C₁₀H₁₈O</w:t>
                  </w:r>
                </w:p>
              </w:tc>
              <w:tc>
                <w:tcPr>
                  <w:tcW w:w="559" w:type="pct"/>
                  <w:tcBorders>
                    <w:tl2br w:val="nil"/>
                    <w:tr2bl w:val="nil"/>
                  </w:tcBorders>
                  <w:noWrap w:val="0"/>
                  <w:vAlign w:val="center"/>
                </w:tcPr>
                <w:p w14:paraId="4F4F8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分子量</w:t>
                  </w:r>
                </w:p>
              </w:tc>
              <w:tc>
                <w:tcPr>
                  <w:tcW w:w="700" w:type="pct"/>
                  <w:gridSpan w:val="2"/>
                  <w:tcBorders>
                    <w:tl2br w:val="nil"/>
                    <w:tr2bl w:val="nil"/>
                  </w:tcBorders>
                  <w:noWrap w:val="0"/>
                  <w:vAlign w:val="center"/>
                </w:tcPr>
                <w:p w14:paraId="09C7D9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154.25</w:t>
                  </w:r>
                </w:p>
              </w:tc>
              <w:tc>
                <w:tcPr>
                  <w:tcW w:w="633" w:type="pct"/>
                  <w:gridSpan w:val="2"/>
                  <w:tcBorders>
                    <w:tl2br w:val="nil"/>
                    <w:tr2bl w:val="nil"/>
                  </w:tcBorders>
                  <w:noWrap w:val="0"/>
                  <w:vAlign w:val="center"/>
                </w:tcPr>
                <w:p w14:paraId="023E24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UN编号</w:t>
                  </w:r>
                </w:p>
              </w:tc>
              <w:tc>
                <w:tcPr>
                  <w:tcW w:w="479" w:type="pct"/>
                  <w:tcBorders>
                    <w:tl2br w:val="nil"/>
                    <w:tr2bl w:val="nil"/>
                  </w:tcBorders>
                  <w:noWrap w:val="0"/>
                  <w:vAlign w:val="center"/>
                </w:tcPr>
                <w:p w14:paraId="611D20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1272</w:t>
                  </w:r>
                </w:p>
              </w:tc>
              <w:tc>
                <w:tcPr>
                  <w:tcW w:w="624" w:type="pct"/>
                  <w:gridSpan w:val="2"/>
                  <w:tcBorders>
                    <w:tl2br w:val="nil"/>
                    <w:tr2bl w:val="nil"/>
                  </w:tcBorders>
                  <w:noWrap w:val="0"/>
                  <w:vAlign w:val="center"/>
                </w:tcPr>
                <w:p w14:paraId="10643B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CAS编号</w:t>
                  </w:r>
                </w:p>
              </w:tc>
              <w:tc>
                <w:tcPr>
                  <w:tcW w:w="554" w:type="pct"/>
                  <w:tcBorders>
                    <w:tl2br w:val="nil"/>
                    <w:tr2bl w:val="nil"/>
                  </w:tcBorders>
                  <w:noWrap w:val="0"/>
                  <w:vAlign w:val="center"/>
                </w:tcPr>
                <w:p w14:paraId="373A70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8002-09-3</w:t>
                  </w:r>
                </w:p>
              </w:tc>
            </w:tr>
            <w:tr w14:paraId="6BE91A5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4EAA90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662" w:type="pct"/>
                  <w:tcBorders>
                    <w:tl2br w:val="nil"/>
                    <w:tr2bl w:val="nil"/>
                  </w:tcBorders>
                  <w:noWrap w:val="0"/>
                  <w:vAlign w:val="center"/>
                </w:tcPr>
                <w:p w14:paraId="0AD967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危险类别</w:t>
                  </w:r>
                </w:p>
              </w:tc>
              <w:tc>
                <w:tcPr>
                  <w:tcW w:w="4088" w:type="pct"/>
                  <w:gridSpan w:val="11"/>
                  <w:tcBorders>
                    <w:tl2br w:val="nil"/>
                    <w:tr2bl w:val="nil"/>
                  </w:tcBorders>
                  <w:noWrap w:val="0"/>
                  <w:vAlign w:val="center"/>
                </w:tcPr>
                <w:p w14:paraId="3462F0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易燃</w:t>
                  </w:r>
                </w:p>
              </w:tc>
            </w:tr>
            <w:tr w14:paraId="4086233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restart"/>
                  <w:tcBorders>
                    <w:tl2br w:val="nil"/>
                    <w:tr2bl w:val="nil"/>
                  </w:tcBorders>
                  <w:noWrap w:val="0"/>
                  <w:vAlign w:val="center"/>
                </w:tcPr>
                <w:p w14:paraId="777E05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理化性质</w:t>
                  </w:r>
                </w:p>
              </w:tc>
              <w:tc>
                <w:tcPr>
                  <w:tcW w:w="662" w:type="pct"/>
                  <w:tcBorders>
                    <w:tl2br w:val="nil"/>
                    <w:tr2bl w:val="nil"/>
                  </w:tcBorders>
                  <w:noWrap w:val="0"/>
                  <w:vAlign w:val="center"/>
                </w:tcPr>
                <w:p w14:paraId="5418FB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性  状</w:t>
                  </w:r>
                </w:p>
              </w:tc>
              <w:tc>
                <w:tcPr>
                  <w:tcW w:w="4088" w:type="pct"/>
                  <w:gridSpan w:val="11"/>
                  <w:tcBorders>
                    <w:tl2br w:val="nil"/>
                    <w:tr2bl w:val="nil"/>
                  </w:tcBorders>
                  <w:noWrap w:val="0"/>
                  <w:vAlign w:val="center"/>
                </w:tcPr>
                <w:p w14:paraId="09137B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淡黄色至棕黄色油状透明液体，具松醇萜烯类刺激性气味。</w:t>
                  </w:r>
                </w:p>
              </w:tc>
            </w:tr>
            <w:tr w14:paraId="07358D4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7BCC6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209C4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熔点（℃）</w:t>
                  </w:r>
                </w:p>
              </w:tc>
              <w:tc>
                <w:tcPr>
                  <w:tcW w:w="1586" w:type="pct"/>
                  <w:gridSpan w:val="4"/>
                  <w:tcBorders>
                    <w:tl2br w:val="nil"/>
                    <w:tr2bl w:val="nil"/>
                  </w:tcBorders>
                  <w:noWrap w:val="0"/>
                  <w:vAlign w:val="center"/>
                </w:tcPr>
                <w:p w14:paraId="4B399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w:t>
                  </w:r>
                  <w:r>
                    <w:rPr>
                      <w:rFonts w:hint="default"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lang w:val="en-US" w:eastAsia="zh-CN"/>
                    </w:rPr>
                    <w:t>35</w:t>
                  </w:r>
                </w:p>
              </w:tc>
              <w:tc>
                <w:tcPr>
                  <w:tcW w:w="1544" w:type="pct"/>
                  <w:gridSpan w:val="4"/>
                  <w:tcBorders>
                    <w:tl2br w:val="nil"/>
                    <w:tr2bl w:val="nil"/>
                  </w:tcBorders>
                  <w:noWrap w:val="0"/>
                  <w:vAlign w:val="center"/>
                </w:tcPr>
                <w:p w14:paraId="2F4A0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临界压力（Mpa）</w:t>
                  </w:r>
                </w:p>
              </w:tc>
              <w:tc>
                <w:tcPr>
                  <w:tcW w:w="747" w:type="pct"/>
                  <w:gridSpan w:val="2"/>
                  <w:tcBorders>
                    <w:tl2br w:val="nil"/>
                    <w:tr2bl w:val="nil"/>
                  </w:tcBorders>
                  <w:noWrap w:val="0"/>
                  <w:vAlign w:val="center"/>
                </w:tcPr>
                <w:p w14:paraId="552393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2.7MPa</w:t>
                  </w:r>
                </w:p>
              </w:tc>
            </w:tr>
            <w:tr w14:paraId="563354E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077458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7B5823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沸点（℃）</w:t>
                  </w:r>
                </w:p>
              </w:tc>
              <w:tc>
                <w:tcPr>
                  <w:tcW w:w="1586" w:type="pct"/>
                  <w:gridSpan w:val="4"/>
                  <w:tcBorders>
                    <w:tl2br w:val="nil"/>
                    <w:tr2bl w:val="nil"/>
                  </w:tcBorders>
                  <w:noWrap w:val="0"/>
                  <w:vAlign w:val="center"/>
                </w:tcPr>
                <w:p w14:paraId="1F208E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153-175</w:t>
                  </w:r>
                </w:p>
              </w:tc>
              <w:tc>
                <w:tcPr>
                  <w:tcW w:w="1544" w:type="pct"/>
                  <w:gridSpan w:val="4"/>
                  <w:tcBorders>
                    <w:tl2br w:val="nil"/>
                    <w:tr2bl w:val="nil"/>
                  </w:tcBorders>
                  <w:noWrap w:val="0"/>
                  <w:vAlign w:val="center"/>
                </w:tcPr>
                <w:p w14:paraId="25023A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相对密度（水＝1）</w:t>
                  </w:r>
                </w:p>
              </w:tc>
              <w:tc>
                <w:tcPr>
                  <w:tcW w:w="747" w:type="pct"/>
                  <w:gridSpan w:val="2"/>
                  <w:tcBorders>
                    <w:tl2br w:val="nil"/>
                    <w:tr2bl w:val="nil"/>
                  </w:tcBorders>
                  <w:noWrap w:val="0"/>
                  <w:vAlign w:val="center"/>
                </w:tcPr>
                <w:p w14:paraId="7BF16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&lt;</w:t>
                  </w:r>
                  <w:r>
                    <w:rPr>
                      <w:rFonts w:hint="default" w:ascii="Times New Roman" w:hAnsi="Times New Roman" w:eastAsia="宋体" w:cs="Times New Roman"/>
                      <w:color w:val="auto"/>
                      <w:sz w:val="18"/>
                      <w:szCs w:val="18"/>
                    </w:rPr>
                    <w:t>1</w:t>
                  </w:r>
                </w:p>
              </w:tc>
            </w:tr>
            <w:tr w14:paraId="6F00891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6B02D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458B7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溶解性</w:t>
                  </w:r>
                </w:p>
              </w:tc>
              <w:tc>
                <w:tcPr>
                  <w:tcW w:w="3878" w:type="pct"/>
                  <w:gridSpan w:val="10"/>
                  <w:tcBorders>
                    <w:tl2br w:val="nil"/>
                    <w:tr2bl w:val="nil"/>
                  </w:tcBorders>
                  <w:noWrap w:val="0"/>
                  <w:vAlign w:val="center"/>
                </w:tcPr>
                <w:p w14:paraId="689CB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易溶于水</w:t>
                  </w:r>
                </w:p>
              </w:tc>
            </w:tr>
            <w:tr w14:paraId="149417A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restart"/>
                  <w:tcBorders>
                    <w:tl2br w:val="nil"/>
                    <w:tr2bl w:val="nil"/>
                  </w:tcBorders>
                  <w:noWrap w:val="0"/>
                  <w:vAlign w:val="center"/>
                </w:tcPr>
                <w:p w14:paraId="788655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燃烧爆炸危险性</w:t>
                  </w:r>
                </w:p>
              </w:tc>
              <w:tc>
                <w:tcPr>
                  <w:tcW w:w="872" w:type="pct"/>
                  <w:gridSpan w:val="2"/>
                  <w:tcBorders>
                    <w:tl2br w:val="nil"/>
                    <w:tr2bl w:val="nil"/>
                  </w:tcBorders>
                  <w:noWrap w:val="0"/>
                  <w:vAlign w:val="center"/>
                </w:tcPr>
                <w:p w14:paraId="2CC9A4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燃烧性</w:t>
                  </w:r>
                </w:p>
              </w:tc>
              <w:tc>
                <w:tcPr>
                  <w:tcW w:w="1586" w:type="pct"/>
                  <w:gridSpan w:val="4"/>
                  <w:tcBorders>
                    <w:tl2br w:val="nil"/>
                    <w:tr2bl w:val="nil"/>
                  </w:tcBorders>
                  <w:noWrap w:val="0"/>
                  <w:vAlign w:val="center"/>
                </w:tcPr>
                <w:p w14:paraId="625CD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易燃</w:t>
                  </w:r>
                </w:p>
              </w:tc>
              <w:tc>
                <w:tcPr>
                  <w:tcW w:w="1544" w:type="pct"/>
                  <w:gridSpan w:val="4"/>
                  <w:tcBorders>
                    <w:tl2br w:val="nil"/>
                    <w:tr2bl w:val="nil"/>
                  </w:tcBorders>
                  <w:noWrap w:val="0"/>
                  <w:vAlign w:val="center"/>
                </w:tcPr>
                <w:p w14:paraId="05DDD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闪点（℃）</w:t>
                  </w:r>
                </w:p>
              </w:tc>
              <w:tc>
                <w:tcPr>
                  <w:tcW w:w="747" w:type="pct"/>
                  <w:gridSpan w:val="2"/>
                  <w:tcBorders>
                    <w:tl2br w:val="nil"/>
                    <w:tr2bl w:val="nil"/>
                  </w:tcBorders>
                  <w:noWrap w:val="0"/>
                  <w:vAlign w:val="center"/>
                </w:tcPr>
                <w:p w14:paraId="3BE284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30-35</w:t>
                  </w:r>
                </w:p>
              </w:tc>
            </w:tr>
            <w:tr w14:paraId="772368A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089CC6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3CC21D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爆炸极限（％）</w:t>
                  </w:r>
                </w:p>
              </w:tc>
              <w:tc>
                <w:tcPr>
                  <w:tcW w:w="1586" w:type="pct"/>
                  <w:gridSpan w:val="4"/>
                  <w:tcBorders>
                    <w:tl2br w:val="nil"/>
                    <w:tr2bl w:val="nil"/>
                  </w:tcBorders>
                  <w:noWrap w:val="0"/>
                  <w:vAlign w:val="center"/>
                </w:tcPr>
                <w:p w14:paraId="2EF85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1544" w:type="pct"/>
                  <w:gridSpan w:val="4"/>
                  <w:tcBorders>
                    <w:tl2br w:val="nil"/>
                    <w:tr2bl w:val="nil"/>
                  </w:tcBorders>
                  <w:noWrap w:val="0"/>
                  <w:vAlign w:val="center"/>
                </w:tcPr>
                <w:p w14:paraId="4E686C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最小点火能（MJ）</w:t>
                  </w:r>
                </w:p>
              </w:tc>
              <w:tc>
                <w:tcPr>
                  <w:tcW w:w="747" w:type="pct"/>
                  <w:gridSpan w:val="2"/>
                  <w:tcBorders>
                    <w:tl2br w:val="nil"/>
                    <w:tr2bl w:val="nil"/>
                  </w:tcBorders>
                  <w:noWrap w:val="0"/>
                  <w:vAlign w:val="center"/>
                </w:tcPr>
                <w:p w14:paraId="17C6EC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08751DE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49" w:type="pct"/>
                  <w:vMerge w:val="continue"/>
                  <w:tcBorders>
                    <w:tl2br w:val="nil"/>
                    <w:tr2bl w:val="nil"/>
                  </w:tcBorders>
                  <w:noWrap w:val="0"/>
                  <w:vAlign w:val="center"/>
                </w:tcPr>
                <w:p w14:paraId="0F34B9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6AE171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引燃温度（℃）</w:t>
                  </w:r>
                </w:p>
              </w:tc>
              <w:tc>
                <w:tcPr>
                  <w:tcW w:w="1586" w:type="pct"/>
                  <w:gridSpan w:val="4"/>
                  <w:tcBorders>
                    <w:tl2br w:val="nil"/>
                    <w:tr2bl w:val="nil"/>
                  </w:tcBorders>
                  <w:noWrap w:val="0"/>
                  <w:vAlign w:val="center"/>
                </w:tcPr>
                <w:p w14:paraId="5ED6D1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w:t>
                  </w:r>
                </w:p>
              </w:tc>
              <w:tc>
                <w:tcPr>
                  <w:tcW w:w="1544" w:type="pct"/>
                  <w:gridSpan w:val="4"/>
                  <w:tcBorders>
                    <w:tl2br w:val="nil"/>
                    <w:tr2bl w:val="nil"/>
                  </w:tcBorders>
                  <w:noWrap w:val="0"/>
                  <w:vAlign w:val="center"/>
                </w:tcPr>
                <w:p w14:paraId="1F50B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最大爆炸压力（Mpa）</w:t>
                  </w:r>
                </w:p>
              </w:tc>
              <w:tc>
                <w:tcPr>
                  <w:tcW w:w="747" w:type="pct"/>
                  <w:gridSpan w:val="2"/>
                  <w:tcBorders>
                    <w:tl2br w:val="nil"/>
                    <w:tr2bl w:val="nil"/>
                  </w:tcBorders>
                  <w:noWrap w:val="0"/>
                  <w:vAlign w:val="center"/>
                </w:tcPr>
                <w:p w14:paraId="67185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0164DCD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2" w:hRule="exact"/>
                <w:jc w:val="center"/>
              </w:trPr>
              <w:tc>
                <w:tcPr>
                  <w:tcW w:w="249" w:type="pct"/>
                  <w:vMerge w:val="continue"/>
                  <w:tcBorders>
                    <w:tl2br w:val="nil"/>
                    <w:tr2bl w:val="nil"/>
                  </w:tcBorders>
                  <w:noWrap w:val="0"/>
                  <w:vAlign w:val="center"/>
                </w:tcPr>
                <w:p w14:paraId="383FB9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4150D8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危险特性</w:t>
                  </w:r>
                </w:p>
              </w:tc>
              <w:tc>
                <w:tcPr>
                  <w:tcW w:w="3878" w:type="pct"/>
                  <w:gridSpan w:val="10"/>
                  <w:tcBorders>
                    <w:tl2br w:val="nil"/>
                    <w:tr2bl w:val="nil"/>
                  </w:tcBorders>
                  <w:noWrap w:val="0"/>
                  <w:vAlign w:val="center"/>
                </w:tcPr>
                <w:p w14:paraId="2A6A8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其蒸气与空气可形成爆炸性混合物。遇明火、高热能引起燃烧爆炸。与氧化剂能发生强烈反应。与硝酸发生剧烈反应或立即燃烧。</w:t>
                  </w:r>
                </w:p>
              </w:tc>
            </w:tr>
            <w:tr w14:paraId="1AC2F68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84" w:hRule="atLeast"/>
                <w:jc w:val="center"/>
              </w:trPr>
              <w:tc>
                <w:tcPr>
                  <w:tcW w:w="249" w:type="pct"/>
                  <w:vMerge w:val="continue"/>
                  <w:tcBorders>
                    <w:tl2br w:val="nil"/>
                    <w:tr2bl w:val="nil"/>
                  </w:tcBorders>
                  <w:noWrap w:val="0"/>
                  <w:vAlign w:val="center"/>
                </w:tcPr>
                <w:p w14:paraId="25F0F3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048A56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灭火方法</w:t>
                  </w:r>
                </w:p>
              </w:tc>
              <w:tc>
                <w:tcPr>
                  <w:tcW w:w="3878" w:type="pct"/>
                  <w:gridSpan w:val="10"/>
                  <w:tcBorders>
                    <w:tl2br w:val="nil"/>
                    <w:tr2bl w:val="nil"/>
                  </w:tcBorders>
                  <w:noWrap w:val="0"/>
                  <w:vAlign w:val="center"/>
                </w:tcPr>
                <w:p w14:paraId="17C408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70AC59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灭火剂：</w:t>
                  </w:r>
                  <w:r>
                    <w:rPr>
                      <w:rFonts w:hint="eastAsia" w:ascii="Times New Roman" w:hAnsi="Times New Roman" w:eastAsia="宋体" w:cs="Times New Roman"/>
                      <w:color w:val="auto"/>
                      <w:sz w:val="18"/>
                      <w:szCs w:val="18"/>
                      <w:lang w:val="en-US" w:eastAsia="zh-CN"/>
                    </w:rPr>
                    <w:t>水、雾状水、砂土、干粉、二氧化碳。</w:t>
                  </w:r>
                </w:p>
              </w:tc>
            </w:tr>
            <w:tr w14:paraId="412B3EB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9" w:hRule="exact"/>
                <w:jc w:val="center"/>
              </w:trPr>
              <w:tc>
                <w:tcPr>
                  <w:tcW w:w="249" w:type="pct"/>
                  <w:vMerge w:val="continue"/>
                  <w:tcBorders>
                    <w:tl2br w:val="nil"/>
                    <w:tr2bl w:val="nil"/>
                  </w:tcBorders>
                  <w:noWrap w:val="0"/>
                  <w:vAlign w:val="center"/>
                </w:tcPr>
                <w:p w14:paraId="453BFC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34F479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禁忌物</w:t>
                  </w:r>
                </w:p>
              </w:tc>
              <w:tc>
                <w:tcPr>
                  <w:tcW w:w="2699" w:type="pct"/>
                  <w:gridSpan w:val="7"/>
                  <w:tcBorders>
                    <w:tl2br w:val="nil"/>
                    <w:tr2bl w:val="nil"/>
                  </w:tcBorders>
                  <w:noWrap w:val="0"/>
                  <w:vAlign w:val="center"/>
                </w:tcPr>
                <w:p w14:paraId="2A5F7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24" w:type="pct"/>
                  <w:gridSpan w:val="2"/>
                  <w:tcBorders>
                    <w:tl2br w:val="nil"/>
                    <w:tr2bl w:val="nil"/>
                  </w:tcBorders>
                  <w:noWrap w:val="0"/>
                  <w:vAlign w:val="center"/>
                </w:tcPr>
                <w:p w14:paraId="609C6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稳定性</w:t>
                  </w:r>
                </w:p>
              </w:tc>
              <w:tc>
                <w:tcPr>
                  <w:tcW w:w="554" w:type="pct"/>
                  <w:tcBorders>
                    <w:tl2br w:val="nil"/>
                    <w:tr2bl w:val="nil"/>
                  </w:tcBorders>
                  <w:noWrap w:val="0"/>
                  <w:vAlign w:val="center"/>
                </w:tcPr>
                <w:p w14:paraId="3A8271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稳定</w:t>
                  </w:r>
                </w:p>
              </w:tc>
            </w:tr>
            <w:tr w14:paraId="0146357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9" w:hRule="exact"/>
                <w:jc w:val="center"/>
              </w:trPr>
              <w:tc>
                <w:tcPr>
                  <w:tcW w:w="249" w:type="pct"/>
                  <w:vMerge w:val="continue"/>
                  <w:tcBorders>
                    <w:tl2br w:val="nil"/>
                    <w:tr2bl w:val="nil"/>
                  </w:tcBorders>
                  <w:noWrap w:val="0"/>
                  <w:vAlign w:val="center"/>
                </w:tcPr>
                <w:p w14:paraId="151FE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0DDDB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燃烧产物</w:t>
                  </w:r>
                </w:p>
              </w:tc>
              <w:tc>
                <w:tcPr>
                  <w:tcW w:w="2699" w:type="pct"/>
                  <w:gridSpan w:val="7"/>
                  <w:tcBorders>
                    <w:tl2br w:val="nil"/>
                    <w:tr2bl w:val="nil"/>
                  </w:tcBorders>
                  <w:noWrap w:val="0"/>
                  <w:vAlign w:val="center"/>
                </w:tcPr>
                <w:p w14:paraId="6AE112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一氧化碳、二氧化碳</w:t>
                  </w:r>
                </w:p>
              </w:tc>
              <w:tc>
                <w:tcPr>
                  <w:tcW w:w="624" w:type="pct"/>
                  <w:gridSpan w:val="2"/>
                  <w:tcBorders>
                    <w:tl2br w:val="nil"/>
                    <w:tr2bl w:val="nil"/>
                  </w:tcBorders>
                  <w:noWrap w:val="0"/>
                  <w:vAlign w:val="center"/>
                </w:tcPr>
                <w:p w14:paraId="0D49E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聚合危害</w:t>
                  </w:r>
                </w:p>
              </w:tc>
              <w:tc>
                <w:tcPr>
                  <w:tcW w:w="554" w:type="pct"/>
                  <w:tcBorders>
                    <w:tl2br w:val="nil"/>
                    <w:tr2bl w:val="nil"/>
                  </w:tcBorders>
                  <w:noWrap w:val="0"/>
                  <w:vAlign w:val="center"/>
                </w:tcPr>
                <w:p w14:paraId="32D71A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不聚合</w:t>
                  </w:r>
                </w:p>
              </w:tc>
            </w:tr>
            <w:tr w14:paraId="2B99E23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4" w:hRule="exact"/>
                <w:jc w:val="center"/>
              </w:trPr>
              <w:tc>
                <w:tcPr>
                  <w:tcW w:w="249" w:type="pct"/>
                  <w:vMerge w:val="restart"/>
                  <w:tcBorders>
                    <w:tl2br w:val="nil"/>
                    <w:tr2bl w:val="nil"/>
                  </w:tcBorders>
                  <w:noWrap w:val="0"/>
                  <w:vAlign w:val="center"/>
                </w:tcPr>
                <w:p w14:paraId="5A9081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毒性及健康危害</w:t>
                  </w:r>
                </w:p>
              </w:tc>
              <w:tc>
                <w:tcPr>
                  <w:tcW w:w="872" w:type="pct"/>
                  <w:gridSpan w:val="2"/>
                  <w:tcBorders>
                    <w:tl2br w:val="nil"/>
                    <w:tr2bl w:val="nil"/>
                  </w:tcBorders>
                  <w:noWrap w:val="0"/>
                  <w:vAlign w:val="center"/>
                </w:tcPr>
                <w:p w14:paraId="5798B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急性毒性</w:t>
                  </w:r>
                </w:p>
              </w:tc>
              <w:tc>
                <w:tcPr>
                  <w:tcW w:w="1578" w:type="pct"/>
                  <w:gridSpan w:val="3"/>
                  <w:tcBorders>
                    <w:tl2br w:val="nil"/>
                    <w:tr2bl w:val="nil"/>
                  </w:tcBorders>
                  <w:noWrap w:val="0"/>
                  <w:vAlign w:val="center"/>
                </w:tcPr>
                <w:p w14:paraId="6F1CC1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LD50（mg/kg，大鼠经口）</w:t>
                  </w:r>
                </w:p>
              </w:tc>
              <w:tc>
                <w:tcPr>
                  <w:tcW w:w="562" w:type="pct"/>
                  <w:gridSpan w:val="2"/>
                  <w:tcBorders>
                    <w:tl2br w:val="nil"/>
                    <w:tr2bl w:val="nil"/>
                  </w:tcBorders>
                  <w:noWrap w:val="0"/>
                  <w:vAlign w:val="center"/>
                </w:tcPr>
                <w:p w14:paraId="451FF7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1183" w:type="pct"/>
                  <w:gridSpan w:val="4"/>
                  <w:tcBorders>
                    <w:tl2br w:val="nil"/>
                    <w:tr2bl w:val="nil"/>
                  </w:tcBorders>
                  <w:noWrap w:val="0"/>
                  <w:vAlign w:val="center"/>
                </w:tcPr>
                <w:p w14:paraId="49979C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LC50（mg/kg）</w:t>
                  </w:r>
                </w:p>
              </w:tc>
              <w:tc>
                <w:tcPr>
                  <w:tcW w:w="554" w:type="pct"/>
                  <w:tcBorders>
                    <w:tl2br w:val="nil"/>
                    <w:tr2bl w:val="nil"/>
                  </w:tcBorders>
                  <w:noWrap w:val="0"/>
                  <w:vAlign w:val="center"/>
                </w:tcPr>
                <w:p w14:paraId="374175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r>
            <w:tr w14:paraId="17A5749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9" w:hRule="atLeast"/>
                <w:jc w:val="center"/>
              </w:trPr>
              <w:tc>
                <w:tcPr>
                  <w:tcW w:w="249" w:type="pct"/>
                  <w:vMerge w:val="continue"/>
                  <w:tcBorders>
                    <w:tl2br w:val="nil"/>
                    <w:tr2bl w:val="nil"/>
                  </w:tcBorders>
                  <w:noWrap w:val="0"/>
                  <w:vAlign w:val="center"/>
                </w:tcPr>
                <w:p w14:paraId="777CC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872" w:type="pct"/>
                  <w:gridSpan w:val="2"/>
                  <w:tcBorders>
                    <w:tl2br w:val="nil"/>
                    <w:tr2bl w:val="nil"/>
                  </w:tcBorders>
                  <w:noWrap w:val="0"/>
                  <w:vAlign w:val="center"/>
                </w:tcPr>
                <w:p w14:paraId="1B769C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健康危害</w:t>
                  </w:r>
                </w:p>
              </w:tc>
              <w:tc>
                <w:tcPr>
                  <w:tcW w:w="3878" w:type="pct"/>
                  <w:gridSpan w:val="10"/>
                  <w:tcBorders>
                    <w:tl2br w:val="nil"/>
                    <w:tr2bl w:val="nil"/>
                  </w:tcBorders>
                  <w:noWrap w:val="0"/>
                  <w:vAlign w:val="center"/>
                </w:tcPr>
                <w:p w14:paraId="72565F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急性中毒高浓度蒸气可引起麻醉作用，出现平衡矢调、四肢痉挛性抽搐、流涎、头痛、眩晕。可引起膀胱炎，有时有肾损害。还可出现眼及上呼吸道刺激症状。液体溅入眼内，可引起结膜炎及角膜灼伤。长期接触可发生呼吸道刺激症状及乏力、嗜睡、头痛、眩晕、食欲减退等。还可能有尿频</w:t>
                  </w:r>
                </w:p>
                <w:p w14:paraId="7BEAB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及蛋白尿。对皮肤有原发性刺激作用，引起脱脂、干燥发红等。可引起过敏性皮炎，表现为红斑或丘疹，有瘙痒感；重者可发生水疱或脓疱；特别敏感者可发生全身性皮炎。</w:t>
                  </w:r>
                </w:p>
              </w:tc>
            </w:tr>
          </w:tbl>
          <w:p w14:paraId="1347AE8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（2）环境风险识别</w:t>
            </w:r>
            <w:r>
              <w:rPr>
                <w:rFonts w:hint="eastAsia" w:ascii="Times New Roman" w:hAnsi="Times New Roman" w:eastAsia="宋体" w:cs="Times New Roman"/>
                <w:color w:val="auto"/>
                <w:sz w:val="24"/>
                <w:szCs w:val="24"/>
                <w:lang w:val="en-US" w:eastAsia="zh-CN"/>
              </w:rPr>
              <w:t>及潜势初判</w:t>
            </w:r>
          </w:p>
          <w:p w14:paraId="5953F92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本项目环境风险主要来自于运营期机修产生的</w:t>
            </w:r>
            <w:r>
              <w:rPr>
                <w:rFonts w:hint="default" w:ascii="Times New Roman" w:hAnsi="Times New Roman" w:eastAsia="宋体" w:cs="Times New Roman"/>
                <w:color w:val="auto"/>
                <w:sz w:val="24"/>
                <w:szCs w:val="24"/>
                <w:lang w:eastAsia="zh-CN"/>
              </w:rPr>
              <w:t>废</w:t>
            </w:r>
            <w:r>
              <w:rPr>
                <w:rFonts w:hint="eastAsia" w:cs="Times New Roman"/>
                <w:color w:val="auto"/>
                <w:sz w:val="24"/>
                <w:szCs w:val="24"/>
                <w:lang w:val="en-US" w:eastAsia="zh-CN"/>
              </w:rPr>
              <w:t>润滑油</w:t>
            </w:r>
            <w:r>
              <w:rPr>
                <w:rFonts w:hint="eastAsia" w:ascii="Times New Roman" w:hAnsi="Times New Roman" w:eastAsia="宋体" w:cs="Times New Roman"/>
                <w:color w:val="auto"/>
                <w:sz w:val="24"/>
                <w:szCs w:val="24"/>
                <w:lang w:val="en-US" w:eastAsia="zh-CN"/>
              </w:rPr>
              <w:t>和浮选过程中使用的药剂</w:t>
            </w:r>
            <w:r>
              <w:rPr>
                <w:rFonts w:hint="default" w:ascii="Times New Roman" w:hAnsi="Times New Roman" w:eastAsia="宋体" w:cs="Times New Roman"/>
                <w:color w:val="auto"/>
                <w:sz w:val="24"/>
                <w:szCs w:val="24"/>
              </w:rPr>
              <w:t>。</w:t>
            </w:r>
          </w:p>
          <w:p w14:paraId="77CB595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按照《建设项目环境风险评价技术导则》（HJ169-2018）的规定，环境风险评价工作等级划分为一级、二级、三级。根据建设项目涉及的物质及工艺系统危险性和所在地的环境敏感性确定环境风险潜势，风险潜势为IV及以上，进行一级评价；风险潜势为III，进行二级评价；风险潜势为II，进行三级评价；风险潜势为I，可开展简单分析。根据下表确定评价工作等级。</w:t>
            </w:r>
          </w:p>
          <w:p w14:paraId="47BF3114">
            <w:pPr>
              <w:pStyle w:val="54"/>
              <w:bidi w:val="0"/>
              <w:rPr>
                <w:rFonts w:hint="default"/>
                <w:color w:val="auto"/>
                <w:highlight w:val="none"/>
                <w:lang w:val="en-US" w:eastAsia="zh-CN"/>
              </w:rPr>
            </w:pPr>
            <w:r>
              <w:rPr>
                <w:rFonts w:hint="eastAsia"/>
                <w:color w:val="auto"/>
                <w:highlight w:val="none"/>
                <w:lang w:val="en-US" w:eastAsia="zh-CN"/>
              </w:rPr>
              <w:t>表4-21  环境风险评价工作等级划分表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1460"/>
              <w:gridCol w:w="1353"/>
              <w:gridCol w:w="1389"/>
              <w:gridCol w:w="1690"/>
            </w:tblGrid>
            <w:tr w14:paraId="1FB5B3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246" w:type="pct"/>
                  <w:tcBorders>
                    <w:tl2br w:val="nil"/>
                    <w:tr2bl w:val="nil"/>
                  </w:tcBorders>
                  <w:vAlign w:val="center"/>
                </w:tcPr>
                <w:p w14:paraId="0E6423A6">
                  <w:pPr>
                    <w:pStyle w:val="53"/>
                    <w:bidi w:val="0"/>
                    <w:jc w:val="center"/>
                    <w:rPr>
                      <w:rFonts w:hint="default"/>
                      <w:color w:val="auto"/>
                      <w:sz w:val="18"/>
                      <w:szCs w:val="18"/>
                      <w:highlight w:val="none"/>
                      <w:lang w:val="en-US" w:eastAsia="zh-CN"/>
                    </w:rPr>
                  </w:pPr>
                  <w:r>
                    <w:rPr>
                      <w:rFonts w:hint="eastAsia"/>
                      <w:color w:val="auto"/>
                      <w:sz w:val="18"/>
                      <w:szCs w:val="18"/>
                      <w:highlight w:val="none"/>
                      <w:lang w:val="en-US" w:eastAsia="zh-CN"/>
                    </w:rPr>
                    <w:t>环境风险潜势</w:t>
                  </w:r>
                </w:p>
              </w:tc>
              <w:tc>
                <w:tcPr>
                  <w:tcW w:w="930" w:type="pct"/>
                  <w:tcBorders>
                    <w:tl2br w:val="nil"/>
                    <w:tr2bl w:val="nil"/>
                  </w:tcBorders>
                  <w:vAlign w:val="center"/>
                </w:tcPr>
                <w:p w14:paraId="63C1C001">
                  <w:pPr>
                    <w:pStyle w:val="53"/>
                    <w:bidi w:val="0"/>
                    <w:jc w:val="center"/>
                    <w:rPr>
                      <w:rFonts w:hint="default"/>
                      <w:color w:val="auto"/>
                      <w:sz w:val="18"/>
                      <w:szCs w:val="18"/>
                      <w:highlight w:val="none"/>
                      <w:lang w:val="en-US" w:eastAsia="zh-CN"/>
                    </w:rPr>
                  </w:pPr>
                  <w:r>
                    <w:rPr>
                      <w:rFonts w:hint="default"/>
                      <w:color w:val="auto"/>
                      <w:sz w:val="18"/>
                      <w:szCs w:val="18"/>
                      <w:highlight w:val="none"/>
                      <w:lang w:val="en-US" w:eastAsia="zh-CN"/>
                    </w:rPr>
                    <w:t>Ⅳ、Ⅳ</w:t>
                  </w:r>
                  <w:r>
                    <w:rPr>
                      <w:rFonts w:hint="default"/>
                      <w:color w:val="auto"/>
                      <w:sz w:val="18"/>
                      <w:szCs w:val="18"/>
                      <w:highlight w:val="none"/>
                      <w:vertAlign w:val="superscript"/>
                      <w:lang w:val="en-US" w:eastAsia="zh-CN"/>
                    </w:rPr>
                    <w:t>+</w:t>
                  </w:r>
                </w:p>
              </w:tc>
              <w:tc>
                <w:tcPr>
                  <w:tcW w:w="862" w:type="pct"/>
                  <w:tcBorders>
                    <w:tl2br w:val="nil"/>
                    <w:tr2bl w:val="nil"/>
                  </w:tcBorders>
                  <w:vAlign w:val="center"/>
                </w:tcPr>
                <w:p w14:paraId="6837B5C0">
                  <w:pPr>
                    <w:pStyle w:val="53"/>
                    <w:bidi w:val="0"/>
                    <w:jc w:val="center"/>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885" w:type="pct"/>
                  <w:tcBorders>
                    <w:tl2br w:val="nil"/>
                    <w:tr2bl w:val="nil"/>
                  </w:tcBorders>
                  <w:vAlign w:val="center"/>
                </w:tcPr>
                <w:p w14:paraId="4AE03CD2">
                  <w:pPr>
                    <w:pStyle w:val="53"/>
                    <w:bidi w:val="0"/>
                    <w:jc w:val="center"/>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1075" w:type="pct"/>
                  <w:tcBorders>
                    <w:tl2br w:val="nil"/>
                    <w:tr2bl w:val="nil"/>
                  </w:tcBorders>
                  <w:vAlign w:val="center"/>
                </w:tcPr>
                <w:p w14:paraId="1AD0C6E9">
                  <w:pPr>
                    <w:pStyle w:val="53"/>
                    <w:bidi w:val="0"/>
                    <w:jc w:val="center"/>
                    <w:rPr>
                      <w:rFonts w:hint="default"/>
                      <w:color w:val="auto"/>
                      <w:sz w:val="18"/>
                      <w:szCs w:val="18"/>
                      <w:highlight w:val="none"/>
                      <w:lang w:val="en-US" w:eastAsia="zh-CN"/>
                    </w:rPr>
                  </w:pPr>
                  <w:r>
                    <w:rPr>
                      <w:rFonts w:hint="default"/>
                      <w:color w:val="auto"/>
                      <w:sz w:val="18"/>
                      <w:szCs w:val="18"/>
                      <w:highlight w:val="none"/>
                      <w:lang w:val="en-US" w:eastAsia="zh-CN"/>
                    </w:rPr>
                    <w:t>Ⅰ</w:t>
                  </w:r>
                </w:p>
              </w:tc>
            </w:tr>
            <w:tr w14:paraId="22F0AA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6" w:type="pct"/>
                  <w:tcBorders>
                    <w:tl2br w:val="nil"/>
                    <w:tr2bl w:val="nil"/>
                  </w:tcBorders>
                  <w:vAlign w:val="center"/>
                </w:tcPr>
                <w:p w14:paraId="1C32D097">
                  <w:pPr>
                    <w:pStyle w:val="53"/>
                    <w:bidi w:val="0"/>
                    <w:jc w:val="center"/>
                    <w:rPr>
                      <w:rFonts w:hint="default"/>
                      <w:color w:val="auto"/>
                      <w:sz w:val="18"/>
                      <w:szCs w:val="18"/>
                      <w:highlight w:val="none"/>
                      <w:lang w:val="en-US" w:eastAsia="zh-CN"/>
                    </w:rPr>
                  </w:pPr>
                  <w:r>
                    <w:rPr>
                      <w:rFonts w:hint="eastAsia"/>
                      <w:color w:val="auto"/>
                      <w:sz w:val="18"/>
                      <w:szCs w:val="18"/>
                      <w:highlight w:val="none"/>
                      <w:lang w:val="en-US" w:eastAsia="zh-CN"/>
                    </w:rPr>
                    <w:t>评价工作等级</w:t>
                  </w:r>
                </w:p>
              </w:tc>
              <w:tc>
                <w:tcPr>
                  <w:tcW w:w="930" w:type="pct"/>
                  <w:tcBorders>
                    <w:tl2br w:val="nil"/>
                    <w:tr2bl w:val="nil"/>
                  </w:tcBorders>
                  <w:vAlign w:val="center"/>
                </w:tcPr>
                <w:p w14:paraId="05472459">
                  <w:pPr>
                    <w:pStyle w:val="53"/>
                    <w:bidi w:val="0"/>
                    <w:jc w:val="center"/>
                    <w:rPr>
                      <w:rFonts w:hint="default"/>
                      <w:color w:val="auto"/>
                      <w:sz w:val="18"/>
                      <w:szCs w:val="18"/>
                      <w:highlight w:val="none"/>
                      <w:lang w:val="en-US" w:eastAsia="zh-CN"/>
                    </w:rPr>
                  </w:pPr>
                  <w:r>
                    <w:rPr>
                      <w:rFonts w:hint="eastAsia"/>
                      <w:color w:val="auto"/>
                      <w:sz w:val="18"/>
                      <w:szCs w:val="18"/>
                      <w:highlight w:val="none"/>
                      <w:lang w:val="en-US" w:eastAsia="zh-CN"/>
                    </w:rPr>
                    <w:t>一</w:t>
                  </w:r>
                </w:p>
              </w:tc>
              <w:tc>
                <w:tcPr>
                  <w:tcW w:w="862" w:type="pct"/>
                  <w:tcBorders>
                    <w:tl2br w:val="nil"/>
                    <w:tr2bl w:val="nil"/>
                  </w:tcBorders>
                  <w:vAlign w:val="center"/>
                </w:tcPr>
                <w:p w14:paraId="23B1D700">
                  <w:pPr>
                    <w:pStyle w:val="53"/>
                    <w:bidi w:val="0"/>
                    <w:jc w:val="center"/>
                    <w:rPr>
                      <w:rFonts w:hint="default"/>
                      <w:color w:val="auto"/>
                      <w:sz w:val="18"/>
                      <w:szCs w:val="18"/>
                      <w:highlight w:val="none"/>
                      <w:lang w:val="en-US" w:eastAsia="zh-CN"/>
                    </w:rPr>
                  </w:pPr>
                  <w:r>
                    <w:rPr>
                      <w:rFonts w:hint="eastAsia"/>
                      <w:color w:val="auto"/>
                      <w:sz w:val="18"/>
                      <w:szCs w:val="18"/>
                      <w:highlight w:val="none"/>
                      <w:lang w:val="en-US" w:eastAsia="zh-CN"/>
                    </w:rPr>
                    <w:t>二</w:t>
                  </w:r>
                </w:p>
              </w:tc>
              <w:tc>
                <w:tcPr>
                  <w:tcW w:w="885" w:type="pct"/>
                  <w:tcBorders>
                    <w:tl2br w:val="nil"/>
                    <w:tr2bl w:val="nil"/>
                  </w:tcBorders>
                  <w:vAlign w:val="center"/>
                </w:tcPr>
                <w:p w14:paraId="43E4FEAE">
                  <w:pPr>
                    <w:pStyle w:val="53"/>
                    <w:bidi w:val="0"/>
                    <w:jc w:val="center"/>
                    <w:rPr>
                      <w:rFonts w:hint="default"/>
                      <w:color w:val="auto"/>
                      <w:sz w:val="18"/>
                      <w:szCs w:val="18"/>
                      <w:highlight w:val="none"/>
                      <w:lang w:val="en-US" w:eastAsia="zh-CN"/>
                    </w:rPr>
                  </w:pPr>
                  <w:r>
                    <w:rPr>
                      <w:rFonts w:hint="eastAsia"/>
                      <w:color w:val="auto"/>
                      <w:sz w:val="18"/>
                      <w:szCs w:val="18"/>
                      <w:highlight w:val="none"/>
                      <w:lang w:val="en-US" w:eastAsia="zh-CN"/>
                    </w:rPr>
                    <w:t>三</w:t>
                  </w:r>
                </w:p>
              </w:tc>
              <w:tc>
                <w:tcPr>
                  <w:tcW w:w="1075" w:type="pct"/>
                  <w:tcBorders>
                    <w:tl2br w:val="nil"/>
                    <w:tr2bl w:val="nil"/>
                  </w:tcBorders>
                  <w:vAlign w:val="center"/>
                </w:tcPr>
                <w:p w14:paraId="578C6EB0">
                  <w:pPr>
                    <w:pStyle w:val="53"/>
                    <w:bidi w:val="0"/>
                    <w:jc w:val="center"/>
                    <w:rPr>
                      <w:rFonts w:hint="default"/>
                      <w:color w:val="auto"/>
                      <w:sz w:val="18"/>
                      <w:szCs w:val="18"/>
                      <w:highlight w:val="none"/>
                      <w:lang w:val="en-US" w:eastAsia="zh-CN"/>
                    </w:rPr>
                  </w:pPr>
                  <w:r>
                    <w:rPr>
                      <w:rFonts w:hint="eastAsia"/>
                      <w:color w:val="auto"/>
                      <w:sz w:val="18"/>
                      <w:szCs w:val="18"/>
                      <w:highlight w:val="none"/>
                      <w:lang w:val="en-US" w:eastAsia="zh-CN"/>
                    </w:rPr>
                    <w:t>简单分析</w:t>
                  </w:r>
                  <w:r>
                    <w:rPr>
                      <w:rFonts w:hint="eastAsia"/>
                      <w:color w:val="auto"/>
                      <w:sz w:val="18"/>
                      <w:szCs w:val="18"/>
                      <w:highlight w:val="none"/>
                      <w:vertAlign w:val="superscript"/>
                      <w:lang w:val="en-US" w:eastAsia="zh-CN"/>
                    </w:rPr>
                    <w:t>a</w:t>
                  </w:r>
                </w:p>
              </w:tc>
            </w:tr>
            <w:tr w14:paraId="35051C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7D468498">
                  <w:pPr>
                    <w:pStyle w:val="53"/>
                    <w:bidi w:val="0"/>
                    <w:jc w:val="center"/>
                    <w:rPr>
                      <w:rFonts w:hint="default"/>
                      <w:color w:val="auto"/>
                      <w:sz w:val="18"/>
                      <w:szCs w:val="18"/>
                      <w:highlight w:val="none"/>
                      <w:lang w:val="en-US" w:eastAsia="zh-CN"/>
                    </w:rPr>
                  </w:pPr>
                  <w:r>
                    <w:rPr>
                      <w:rFonts w:hint="eastAsia"/>
                      <w:color w:val="auto"/>
                      <w:sz w:val="18"/>
                      <w:szCs w:val="18"/>
                      <w:highlight w:val="none"/>
                      <w:vertAlign w:val="superscript"/>
                      <w:lang w:val="en-US" w:eastAsia="zh-CN"/>
                    </w:rPr>
                    <w:t>a</w:t>
                  </w:r>
                  <w:r>
                    <w:rPr>
                      <w:rFonts w:hint="default"/>
                      <w:color w:val="auto"/>
                      <w:sz w:val="18"/>
                      <w:szCs w:val="18"/>
                      <w:highlight w:val="none"/>
                      <w:lang w:val="en-US" w:eastAsia="zh-CN"/>
                    </w:rPr>
                    <w:t>是相对于详细评价工作内容而言，在描述危险物质、环境影响途径、环境危害后果、风险防范措施等方面给出定性的说明。</w:t>
                  </w:r>
                </w:p>
              </w:tc>
            </w:tr>
          </w:tbl>
          <w:p w14:paraId="778CD4D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单元内存在的危险物质为单一品种，则该物质的数量即为单元内危险物质的总量，若等于或超过相应的临界量，则定为重大危险源。</w:t>
            </w:r>
          </w:p>
          <w:p w14:paraId="57297D6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当存在多种危险物质时，则按下式计算物质总量与其临界量比值（</w:t>
            </w:r>
            <w:r>
              <w:rPr>
                <w:rFonts w:hint="default" w:ascii="Times New Roman" w:hAnsi="Times New Roman" w:eastAsia="宋体" w:cs="Times New Roman"/>
                <w:color w:val="auto"/>
                <w:sz w:val="24"/>
                <w:szCs w:val="24"/>
                <w:lang w:val="en-US" w:eastAsia="zh-CN"/>
              </w:rPr>
              <w:t>Q</w:t>
            </w:r>
            <w:r>
              <w:rPr>
                <w:rFonts w:hint="eastAsia" w:ascii="Times New Roman" w:hAnsi="Times New Roman" w:eastAsia="宋体" w:cs="Times New Roman"/>
                <w:color w:val="auto"/>
                <w:sz w:val="24"/>
                <w:szCs w:val="24"/>
                <w:lang w:val="en-US" w:eastAsia="zh-CN"/>
              </w:rPr>
              <w:t>）</w:t>
            </w:r>
          </w:p>
          <w:p w14:paraId="000C6713">
            <w:pPr>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1966595" cy="559435"/>
                  <wp:effectExtent l="0" t="0" r="14605" b="1206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6"/>
                          <a:stretch>
                            <a:fillRect/>
                          </a:stretch>
                        </pic:blipFill>
                        <pic:spPr>
                          <a:xfrm>
                            <a:off x="0" y="0"/>
                            <a:ext cx="1966595" cy="559435"/>
                          </a:xfrm>
                          <a:prstGeom prst="rect">
                            <a:avLst/>
                          </a:prstGeom>
                          <a:noFill/>
                          <a:ln>
                            <a:noFill/>
                          </a:ln>
                        </pic:spPr>
                      </pic:pic>
                    </a:graphicData>
                  </a:graphic>
                </wp:inline>
              </w:drawing>
            </w:r>
          </w:p>
          <w:p w14:paraId="30E7A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····qn—每种危险物质最大存在总量（t）。</w:t>
            </w:r>
          </w:p>
          <w:p w14:paraId="2C89DC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Q</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····Qn—每种物质的临界量（t）。</w:t>
            </w:r>
          </w:p>
          <w:p w14:paraId="0E737F5A">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当Q＜1时，该项目环境风险潜势划为Ⅰ。</w:t>
            </w:r>
          </w:p>
          <w:p w14:paraId="17835F46">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当Q≥1时，将Q值划分为：（1）1≤Q＜10；（2）10≤Q＜100；（2）Q≥100。</w:t>
            </w:r>
          </w:p>
          <w:p w14:paraId="2A61DB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根据《建设项目环境风险评价技术导则》（HJ/T169-2018）附录B，项目涉及的风险物质为</w:t>
            </w:r>
            <w:r>
              <w:rPr>
                <w:rFonts w:hint="default" w:ascii="Times New Roman" w:hAnsi="Times New Roman" w:eastAsia="宋体" w:cs="Times New Roman"/>
                <w:color w:val="auto"/>
                <w:sz w:val="24"/>
                <w:szCs w:val="24"/>
                <w:lang w:eastAsia="zh-CN"/>
              </w:rPr>
              <w:t>废</w:t>
            </w:r>
            <w:r>
              <w:rPr>
                <w:rFonts w:hint="eastAsia" w:cs="Times New Roman"/>
                <w:color w:val="auto"/>
                <w:sz w:val="24"/>
                <w:szCs w:val="24"/>
                <w:lang w:val="en-US" w:eastAsia="zh-CN"/>
              </w:rPr>
              <w:t>润滑油</w:t>
            </w:r>
            <w:r>
              <w:rPr>
                <w:rFonts w:hint="default" w:ascii="Times New Roman" w:hAnsi="Times New Roman" w:eastAsia="宋体" w:cs="Times New Roman"/>
                <w:color w:val="auto"/>
                <w:sz w:val="24"/>
                <w:szCs w:val="24"/>
              </w:rPr>
              <w:t>。项目风险物质Q值计算结果见表4-</w:t>
            </w:r>
            <w:r>
              <w:rPr>
                <w:rFonts w:hint="eastAsia" w:cs="Times New Roman"/>
                <w:color w:val="auto"/>
                <w:sz w:val="24"/>
                <w:szCs w:val="24"/>
                <w:lang w:val="en-US" w:eastAsia="zh-CN"/>
              </w:rPr>
              <w:t>22</w:t>
            </w:r>
            <w:r>
              <w:rPr>
                <w:rFonts w:hint="default" w:ascii="Times New Roman" w:hAnsi="Times New Roman" w:eastAsia="宋体" w:cs="Times New Roman"/>
                <w:color w:val="auto"/>
                <w:sz w:val="24"/>
                <w:szCs w:val="24"/>
              </w:rPr>
              <w:t>。</w:t>
            </w:r>
          </w:p>
          <w:p w14:paraId="7CB14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表4-</w:t>
            </w:r>
            <w:r>
              <w:rPr>
                <w:rFonts w:hint="eastAsia" w:eastAsia="黑体" w:cs="Times New Roman"/>
                <w:color w:val="auto"/>
                <w:sz w:val="21"/>
                <w:szCs w:val="21"/>
                <w:lang w:val="en-US" w:eastAsia="zh-CN"/>
              </w:rPr>
              <w:t>22</w:t>
            </w:r>
            <w:r>
              <w:rPr>
                <w:rFonts w:hint="default" w:ascii="Times New Roman" w:hAnsi="Times New Roman" w:eastAsia="黑体" w:cs="Times New Roman"/>
                <w:color w:val="auto"/>
                <w:sz w:val="21"/>
                <w:szCs w:val="21"/>
              </w:rPr>
              <w:t xml:space="preserve">  项目风险物质最大储存量及临界量情况一览表</w:t>
            </w:r>
          </w:p>
          <w:tbl>
            <w:tblPr>
              <w:tblStyle w:val="22"/>
              <w:tblW w:w="790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581"/>
              <w:gridCol w:w="1581"/>
              <w:gridCol w:w="1582"/>
              <w:gridCol w:w="1582"/>
            </w:tblGrid>
            <w:tr w14:paraId="418CD8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534B3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rPr>
                    <w:t>风险物质</w:t>
                  </w:r>
                </w:p>
              </w:tc>
              <w:tc>
                <w:tcPr>
                  <w:tcW w:w="1581" w:type="dxa"/>
                  <w:tcBorders>
                    <w:tl2br w:val="nil"/>
                    <w:tr2bl w:val="nil"/>
                  </w:tcBorders>
                  <w:vAlign w:val="center"/>
                </w:tcPr>
                <w:p w14:paraId="4A8B1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rPr>
                    <w:t>CAS号</w:t>
                  </w:r>
                </w:p>
              </w:tc>
              <w:tc>
                <w:tcPr>
                  <w:tcW w:w="1581" w:type="dxa"/>
                  <w:tcBorders>
                    <w:tl2br w:val="nil"/>
                    <w:tr2bl w:val="nil"/>
                  </w:tcBorders>
                  <w:vAlign w:val="center"/>
                </w:tcPr>
                <w:p w14:paraId="4557DC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rPr>
                    <w:t>最大储存量（t）</w:t>
                  </w:r>
                </w:p>
              </w:tc>
              <w:tc>
                <w:tcPr>
                  <w:tcW w:w="1582" w:type="dxa"/>
                  <w:tcBorders>
                    <w:tl2br w:val="nil"/>
                    <w:tr2bl w:val="nil"/>
                  </w:tcBorders>
                  <w:vAlign w:val="center"/>
                </w:tcPr>
                <w:p w14:paraId="56A95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rPr>
                    <w:t>临界量（t）</w:t>
                  </w:r>
                </w:p>
              </w:tc>
              <w:tc>
                <w:tcPr>
                  <w:tcW w:w="1582" w:type="dxa"/>
                  <w:tcBorders>
                    <w:tl2br w:val="nil"/>
                    <w:tr2bl w:val="nil"/>
                  </w:tcBorders>
                  <w:vAlign w:val="center"/>
                </w:tcPr>
                <w:p w14:paraId="12E4D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rPr>
                    <w:t>Q</w:t>
                  </w:r>
                </w:p>
              </w:tc>
            </w:tr>
            <w:tr w14:paraId="11F49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5F944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lang w:val="en-US" w:eastAsia="zh-CN"/>
                    </w:rPr>
                    <w:t>废</w:t>
                  </w:r>
                  <w:r>
                    <w:rPr>
                      <w:rFonts w:hint="eastAsia" w:cs="Times New Roman"/>
                      <w:color w:val="auto"/>
                      <w:sz w:val="18"/>
                      <w:szCs w:val="18"/>
                      <w:lang w:val="en-US" w:eastAsia="zh-CN"/>
                    </w:rPr>
                    <w:t>润滑油</w:t>
                  </w:r>
                </w:p>
              </w:tc>
              <w:tc>
                <w:tcPr>
                  <w:tcW w:w="1581" w:type="dxa"/>
                  <w:tcBorders>
                    <w:tl2br w:val="nil"/>
                    <w:tr2bl w:val="nil"/>
                  </w:tcBorders>
                  <w:vAlign w:val="center"/>
                </w:tcPr>
                <w:p w14:paraId="12821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rPr>
                    <w:t>/</w:t>
                  </w:r>
                </w:p>
              </w:tc>
              <w:tc>
                <w:tcPr>
                  <w:tcW w:w="1581" w:type="dxa"/>
                  <w:tcBorders>
                    <w:tl2br w:val="nil"/>
                    <w:tr2bl w:val="nil"/>
                  </w:tcBorders>
                  <w:vAlign w:val="center"/>
                </w:tcPr>
                <w:p w14:paraId="59BB9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rPr>
                    <w:t>0.0</w:t>
                  </w:r>
                  <w:r>
                    <w:rPr>
                      <w:rFonts w:hint="eastAsia" w:ascii="Times New Roman" w:hAnsi="Times New Roman" w:eastAsia="宋体" w:cs="Times New Roman"/>
                      <w:color w:val="auto"/>
                      <w:sz w:val="18"/>
                      <w:szCs w:val="18"/>
                      <w:lang w:val="en-US" w:eastAsia="zh-CN"/>
                    </w:rPr>
                    <w:t>2</w:t>
                  </w:r>
                </w:p>
              </w:tc>
              <w:tc>
                <w:tcPr>
                  <w:tcW w:w="1582" w:type="dxa"/>
                  <w:tcBorders>
                    <w:tl2br w:val="nil"/>
                    <w:tr2bl w:val="nil"/>
                  </w:tcBorders>
                  <w:vAlign w:val="center"/>
                </w:tcPr>
                <w:p w14:paraId="2CBC15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rPr>
                    <w:t>2500</w:t>
                  </w:r>
                </w:p>
              </w:tc>
              <w:tc>
                <w:tcPr>
                  <w:tcW w:w="1582" w:type="dxa"/>
                  <w:tcBorders>
                    <w:tl2br w:val="nil"/>
                    <w:tr2bl w:val="nil"/>
                  </w:tcBorders>
                  <w:vAlign w:val="center"/>
                </w:tcPr>
                <w:p w14:paraId="413089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rPr>
                    <w:t>0.00000</w:t>
                  </w:r>
                  <w:r>
                    <w:rPr>
                      <w:rFonts w:hint="eastAsia" w:ascii="Times New Roman" w:hAnsi="Times New Roman" w:eastAsia="宋体" w:cs="Times New Roman"/>
                      <w:color w:val="auto"/>
                      <w:sz w:val="18"/>
                      <w:szCs w:val="18"/>
                      <w:lang w:val="en-US" w:eastAsia="zh-CN"/>
                    </w:rPr>
                    <w:t>8</w:t>
                  </w:r>
                </w:p>
              </w:tc>
            </w:tr>
            <w:tr w14:paraId="20213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3F56A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硫化钠</w:t>
                  </w:r>
                </w:p>
              </w:tc>
              <w:tc>
                <w:tcPr>
                  <w:tcW w:w="1581" w:type="dxa"/>
                  <w:tcBorders>
                    <w:tl2br w:val="nil"/>
                    <w:tr2bl w:val="nil"/>
                  </w:tcBorders>
                  <w:shd w:val="clear" w:color="auto" w:fill="auto"/>
                  <w:vAlign w:val="center"/>
                </w:tcPr>
                <w:p w14:paraId="5A3DF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1313-82-2</w:t>
                  </w:r>
                </w:p>
              </w:tc>
              <w:tc>
                <w:tcPr>
                  <w:tcW w:w="1581" w:type="dxa"/>
                  <w:tcBorders>
                    <w:tl2br w:val="nil"/>
                    <w:tr2bl w:val="nil"/>
                  </w:tcBorders>
                  <w:vAlign w:val="center"/>
                </w:tcPr>
                <w:p w14:paraId="5DCDD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1582" w:type="dxa"/>
                  <w:tcBorders>
                    <w:tl2br w:val="nil"/>
                    <w:tr2bl w:val="nil"/>
                  </w:tcBorders>
                  <w:vAlign w:val="center"/>
                </w:tcPr>
                <w:p w14:paraId="35D39C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200</w:t>
                  </w:r>
                </w:p>
              </w:tc>
              <w:tc>
                <w:tcPr>
                  <w:tcW w:w="1582" w:type="dxa"/>
                  <w:tcBorders>
                    <w:tl2br w:val="nil"/>
                    <w:tr2bl w:val="nil"/>
                  </w:tcBorders>
                  <w:vAlign w:val="center"/>
                </w:tcPr>
                <w:p w14:paraId="121722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0.05</w:t>
                  </w:r>
                </w:p>
              </w:tc>
            </w:tr>
            <w:tr w14:paraId="00E316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6FEF1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2#油</w:t>
                  </w:r>
                </w:p>
              </w:tc>
              <w:tc>
                <w:tcPr>
                  <w:tcW w:w="1581" w:type="dxa"/>
                  <w:tcBorders>
                    <w:tl2br w:val="nil"/>
                    <w:tr2bl w:val="nil"/>
                  </w:tcBorders>
                  <w:vAlign w:val="center"/>
                </w:tcPr>
                <w:p w14:paraId="2E7086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581" w:type="dxa"/>
                  <w:tcBorders>
                    <w:tl2br w:val="nil"/>
                    <w:tr2bl w:val="nil"/>
                  </w:tcBorders>
                  <w:vAlign w:val="center"/>
                </w:tcPr>
                <w:p w14:paraId="04D643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1582" w:type="dxa"/>
                  <w:tcBorders>
                    <w:tl2br w:val="nil"/>
                    <w:tr2bl w:val="nil"/>
                  </w:tcBorders>
                  <w:vAlign w:val="center"/>
                </w:tcPr>
                <w:p w14:paraId="325122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1000</w:t>
                  </w:r>
                </w:p>
              </w:tc>
              <w:tc>
                <w:tcPr>
                  <w:tcW w:w="1582" w:type="dxa"/>
                  <w:tcBorders>
                    <w:tl2br w:val="nil"/>
                    <w:tr2bl w:val="nil"/>
                  </w:tcBorders>
                  <w:vAlign w:val="center"/>
                </w:tcPr>
                <w:p w14:paraId="15B8D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0.005</w:t>
                  </w:r>
                </w:p>
              </w:tc>
            </w:tr>
            <w:tr w14:paraId="4A2DA7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25" w:type="dxa"/>
                  <w:gridSpan w:val="4"/>
                  <w:tcBorders>
                    <w:tl2br w:val="nil"/>
                    <w:tr2bl w:val="nil"/>
                  </w:tcBorders>
                  <w:vAlign w:val="center"/>
                </w:tcPr>
                <w:p w14:paraId="5841D6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合计</w:t>
                  </w:r>
                </w:p>
              </w:tc>
              <w:tc>
                <w:tcPr>
                  <w:tcW w:w="1582" w:type="dxa"/>
                  <w:tcBorders>
                    <w:tl2br w:val="nil"/>
                    <w:tr2bl w:val="nil"/>
                  </w:tcBorders>
                  <w:vAlign w:val="center"/>
                </w:tcPr>
                <w:p w14:paraId="6F74CB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0.055008</w:t>
                  </w:r>
                </w:p>
              </w:tc>
            </w:tr>
          </w:tbl>
          <w:p w14:paraId="5ADC3E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根据上表中Q计算结果，并结合《建设项目环境风险评价技术导则》（HJ/T169-2018）附录C确定，当Q＜1时，可直接判定本项目环境风险潜势为I。因此，本项目环境风险评价仅进行简单分析</w:t>
            </w:r>
            <w:r>
              <w:rPr>
                <w:rFonts w:hint="default" w:ascii="Times New Roman" w:hAnsi="Times New Roman" w:eastAsia="宋体" w:cs="Times New Roman"/>
                <w:color w:val="auto"/>
                <w:kern w:val="2"/>
                <w:sz w:val="24"/>
                <w:szCs w:val="24"/>
                <w:highlight w:val="none"/>
                <w:lang w:val="en-US" w:eastAsia="zh-CN" w:bidi="ar-SA"/>
              </w:rPr>
              <w:t>，不需要开展环境风险专项评价。</w:t>
            </w:r>
          </w:p>
          <w:p w14:paraId="2164C4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（3）环境风险</w:t>
            </w:r>
            <w:r>
              <w:rPr>
                <w:rFonts w:hint="default" w:ascii="Times New Roman" w:hAnsi="Times New Roman" w:eastAsia="宋体" w:cs="Times New Roman"/>
                <w:color w:val="auto"/>
                <w:sz w:val="24"/>
                <w:szCs w:val="24"/>
                <w:highlight w:val="none"/>
                <w:lang w:val="en-US" w:eastAsia="zh-CN"/>
              </w:rPr>
              <w:t>影响及防范</w:t>
            </w:r>
            <w:r>
              <w:rPr>
                <w:rFonts w:hint="default" w:ascii="Times New Roman" w:hAnsi="Times New Roman" w:eastAsia="宋体" w:cs="Times New Roman"/>
                <w:color w:val="auto"/>
                <w:sz w:val="24"/>
                <w:szCs w:val="24"/>
                <w:highlight w:val="none"/>
              </w:rPr>
              <w:t>措施</w:t>
            </w:r>
          </w:p>
          <w:p w14:paraId="6230CF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val="en-US" w:eastAsia="zh-CN"/>
              </w:rPr>
              <w:t>废润滑油环境风险防范措施</w:t>
            </w:r>
          </w:p>
          <w:p w14:paraId="58E133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废</w:t>
            </w:r>
            <w:r>
              <w:rPr>
                <w:rFonts w:hint="eastAsia" w:ascii="Times New Roman" w:hAnsi="Times New Roman" w:eastAsia="宋体" w:cs="Times New Roman"/>
                <w:color w:val="auto"/>
                <w:sz w:val="24"/>
                <w:szCs w:val="24"/>
                <w:lang w:val="en-US" w:eastAsia="zh-CN"/>
              </w:rPr>
              <w:t>润滑油</w:t>
            </w:r>
            <w:r>
              <w:rPr>
                <w:rFonts w:hint="default" w:ascii="Times New Roman" w:hAnsi="Times New Roman" w:eastAsia="宋体" w:cs="Times New Roman"/>
                <w:color w:val="auto"/>
                <w:sz w:val="24"/>
                <w:szCs w:val="24"/>
              </w:rPr>
              <w:t>采用专用的储油桶，定期对储油桶进行检修，避免发生跑、冒、滴、漏现象，油品泄漏时，使用消防砂吸附，沾油消防砂统一收集后，委托</w:t>
            </w:r>
            <w:r>
              <w:rPr>
                <w:rFonts w:hint="eastAsia" w:ascii="Times New Roman" w:hAnsi="Times New Roman" w:eastAsia="宋体" w:cs="Times New Roman"/>
                <w:color w:val="auto"/>
                <w:sz w:val="24"/>
                <w:szCs w:val="24"/>
                <w:lang w:val="en-US" w:eastAsia="zh-CN"/>
              </w:rPr>
              <w:t>云南广莱再生资源回收有限公司</w:t>
            </w:r>
            <w:r>
              <w:rPr>
                <w:rFonts w:hint="default" w:ascii="Times New Roman" w:hAnsi="Times New Roman" w:eastAsia="宋体" w:cs="Times New Roman"/>
                <w:color w:val="auto"/>
                <w:sz w:val="24"/>
                <w:szCs w:val="24"/>
              </w:rPr>
              <w:t>清运、处置。</w:t>
            </w:r>
            <w:r>
              <w:rPr>
                <w:rFonts w:hint="default" w:ascii="Times New Roman" w:hAnsi="Times New Roman" w:eastAsia="宋体" w:cs="Times New Roman"/>
                <w:color w:val="auto"/>
                <w:sz w:val="24"/>
                <w:szCs w:val="24"/>
                <w:lang w:eastAsia="zh-CN"/>
              </w:rPr>
              <w:t>废</w:t>
            </w:r>
            <w:r>
              <w:rPr>
                <w:rFonts w:hint="eastAsia" w:ascii="Times New Roman" w:hAnsi="Times New Roman" w:eastAsia="宋体" w:cs="Times New Roman"/>
                <w:color w:val="auto"/>
                <w:sz w:val="24"/>
                <w:szCs w:val="24"/>
                <w:lang w:val="en-US" w:eastAsia="zh-CN"/>
              </w:rPr>
              <w:t>润滑油</w:t>
            </w:r>
            <w:r>
              <w:rPr>
                <w:rFonts w:hint="default" w:ascii="Times New Roman" w:hAnsi="Times New Roman" w:eastAsia="宋体" w:cs="Times New Roman"/>
                <w:color w:val="auto"/>
                <w:sz w:val="24"/>
                <w:szCs w:val="24"/>
              </w:rPr>
              <w:t>必须按规定设置警示标志；配备必要的危险品事故防范和应急技术装备。盛装</w:t>
            </w:r>
            <w:r>
              <w:rPr>
                <w:rFonts w:hint="eastAsia" w:cs="Times New Roman"/>
                <w:color w:val="auto"/>
                <w:sz w:val="24"/>
                <w:szCs w:val="24"/>
                <w:lang w:val="en-US" w:eastAsia="zh-CN"/>
              </w:rPr>
              <w:t>废润滑油</w:t>
            </w:r>
            <w:r>
              <w:rPr>
                <w:rFonts w:hint="default" w:ascii="Times New Roman" w:hAnsi="Times New Roman" w:eastAsia="宋体" w:cs="Times New Roman"/>
                <w:color w:val="auto"/>
                <w:sz w:val="24"/>
                <w:szCs w:val="24"/>
              </w:rPr>
              <w:t>容器上必须贴相应的危险废物标志。危险废物贮存设施都必须按环境保护图形《固体废物贮存（处置）场》（GB15562.2-1995）的规定设置警示标志。</w:t>
            </w:r>
          </w:p>
          <w:p w14:paraId="293261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eastAsia" w:cs="Times New Roman"/>
                <w:color w:val="auto"/>
                <w:sz w:val="24"/>
                <w:szCs w:val="24"/>
                <w:lang w:val="en-US" w:eastAsia="zh-CN"/>
              </w:rPr>
              <w:t>危险废物贮存库</w:t>
            </w:r>
            <w:r>
              <w:rPr>
                <w:rFonts w:hint="eastAsia" w:ascii="Times New Roman" w:hAnsi="Times New Roman" w:eastAsia="宋体" w:cs="Times New Roman"/>
                <w:color w:val="auto"/>
                <w:sz w:val="24"/>
                <w:szCs w:val="24"/>
              </w:rPr>
              <w:t>严格按照《危险废物贮存污染控制标准》（GB18597-</w:t>
            </w:r>
            <w:r>
              <w:rPr>
                <w:rFonts w:hint="eastAsia" w:ascii="Times New Roman" w:hAnsi="Times New Roman" w:eastAsia="宋体" w:cs="Times New Roman"/>
                <w:color w:val="auto"/>
                <w:sz w:val="24"/>
                <w:szCs w:val="24"/>
                <w:lang w:val="en-US" w:eastAsia="zh-CN"/>
              </w:rPr>
              <w:t>2023</w:t>
            </w:r>
            <w:r>
              <w:rPr>
                <w:rFonts w:hint="eastAsia" w:ascii="Times New Roman" w:hAnsi="Times New Roman" w:eastAsia="宋体" w:cs="Times New Roman"/>
                <w:color w:val="auto"/>
                <w:sz w:val="24"/>
                <w:szCs w:val="24"/>
              </w:rPr>
              <w:t>）进行建设，</w:t>
            </w:r>
            <w:r>
              <w:rPr>
                <w:rFonts w:hint="eastAsia" w:cs="Times New Roman"/>
                <w:color w:val="auto"/>
                <w:sz w:val="24"/>
                <w:szCs w:val="24"/>
                <w:lang w:val="en-US" w:eastAsia="zh-CN"/>
              </w:rPr>
              <w:t>危险废物贮存库</w:t>
            </w:r>
            <w:r>
              <w:rPr>
                <w:rFonts w:hint="eastAsia" w:ascii="Times New Roman" w:hAnsi="Times New Roman" w:eastAsia="宋体" w:cs="Times New Roman"/>
                <w:color w:val="auto"/>
                <w:sz w:val="24"/>
                <w:szCs w:val="24"/>
              </w:rPr>
              <w:t>内设置围堰池，地面、围堰池采用“抗渗混凝土+防渗膜或防渗环氧树脂漆”进行防渗，使其达到渗透系数≤1×10</w:t>
            </w:r>
            <w:r>
              <w:rPr>
                <w:rFonts w:hint="eastAsia" w:ascii="Times New Roman" w:hAnsi="Times New Roman" w:eastAsia="宋体" w:cs="Times New Roman"/>
                <w:color w:val="auto"/>
                <w:sz w:val="24"/>
                <w:szCs w:val="24"/>
                <w:vertAlign w:val="superscript"/>
              </w:rPr>
              <w:t>-10</w:t>
            </w:r>
            <w:r>
              <w:rPr>
                <w:rFonts w:hint="eastAsia" w:ascii="Times New Roman" w:hAnsi="Times New Roman" w:eastAsia="宋体" w:cs="Times New Roman"/>
                <w:color w:val="auto"/>
                <w:sz w:val="24"/>
                <w:szCs w:val="24"/>
              </w:rPr>
              <w:t>cm/s的防渗性。避免因地防渗工作不到位导致的地下水环境污染。</w:t>
            </w:r>
          </w:p>
          <w:p w14:paraId="7EC44C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②</w:t>
            </w:r>
            <w:r>
              <w:rPr>
                <w:rFonts w:hint="eastAsia" w:ascii="Times New Roman" w:hAnsi="Times New Roman" w:eastAsia="宋体" w:cs="Times New Roman"/>
                <w:color w:val="auto"/>
                <w:sz w:val="24"/>
                <w:szCs w:val="24"/>
                <w:lang w:val="en-US" w:eastAsia="zh-CN"/>
              </w:rPr>
              <w:t>选矿药剂环境风险防范措施</w:t>
            </w:r>
          </w:p>
          <w:p w14:paraId="631B73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硫化钠库应遵守防火、防爆等安全规范、标准的规定，建筑物按《建筑防火设计规范》的规定进行设计。根据火灾危险性等级和防火、防爆要求，建筑物严格按耐火等级设计，必须满足建筑防火要求。硫化钠库周围设置消火栓（由给水管网直接供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、水泵结合器、灭火器，设置火灾自动报警及消防联动系统。严格按照操作规程进行卸载，轻卸轻放，严禁携带火种进入库房，库内及周围设置明显的严禁火种标志。</w:t>
            </w:r>
            <w:r>
              <w:rPr>
                <w:rFonts w:hint="eastAsia" w:ascii="Times New Roman" w:hAnsi="Times New Roman" w:eastAsia="宋体" w:cs="Times New Roman"/>
                <w:color w:val="auto"/>
                <w:sz w:val="24"/>
                <w:szCs w:val="24"/>
                <w:lang w:val="en-US" w:eastAsia="zh-CN"/>
              </w:rPr>
              <w:t>储存间</w:t>
            </w:r>
            <w:r>
              <w:rPr>
                <w:rFonts w:hint="eastAsia" w:ascii="Times New Roman" w:hAnsi="Times New Roman" w:eastAsia="宋体" w:cs="Times New Roman"/>
                <w:color w:val="auto"/>
                <w:sz w:val="24"/>
                <w:szCs w:val="24"/>
              </w:rPr>
              <w:t>采取全面通风或局部通风，使粉尘不易积聚，降低粉尘在空气中的浓度。加强对仓库、拆包、投料、输送等区域的卫生清扫力度，及时清除积聚在设备、钢架、防护栏杆、梯子、仓库屋顶、墙体等部位的粉尘。因为可燃固体与空气接触的表面积越大，其化学活性亦越大，容易燃烧并且燃烧速度也越快。电气设备和线路必须符合防火防爆要求，避免产生电气火花、电弧火花等火源。划定禁火区域，严格执行动火审批制度，在禁烟火区域设置安全标识。</w:t>
            </w:r>
          </w:p>
          <w:p w14:paraId="21BD88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储存于高燥清洁的仓间内。远离火种、热源。避免光照。包装必须密封，切勿受潮。应与氧化剂、酸类分开存放。不宜久存，以免变质。分装和搬运作业要注意个人防护。搬运时要轻装轻卸，防止包装及容器损坏。</w:t>
            </w:r>
          </w:p>
          <w:p w14:paraId="768CA8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泄漏时</w:t>
            </w:r>
            <w:r>
              <w:rPr>
                <w:rFonts w:hint="eastAsia" w:ascii="Times New Roman" w:hAnsi="Times New Roman" w:eastAsia="宋体" w:cs="Times New Roman"/>
                <w:color w:val="auto"/>
                <w:sz w:val="24"/>
                <w:szCs w:val="24"/>
              </w:rPr>
              <w:t>隔离泄漏污染区，周围设警告标志，建议应急处理人员戴好防毒面具，穿化学防护服。不要直接接触泄漏物，避免扬尘，用清洁的铲子收集于干燥净洁有盖的容器中，运至废物处理场所。也可以用大量水冲洗，经稀释的洗水放入废水系统。如大量泄漏，收集回收或无害处理后废弃。</w:t>
            </w:r>
          </w:p>
          <w:p w14:paraId="017EDC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有效防范突发环境事件的发生，及时、合理处置可能发生的各类重大、特大环境污染事故，保障人民群众身心健康及正常生产、生活活动，建设单位应依据《中华人民共和国环境保护法》的规定，编写环境风险应急预案，并报当地环保部门备案。</w:t>
            </w:r>
          </w:p>
          <w:p w14:paraId="204EF6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）环境风险评价结论</w:t>
            </w:r>
          </w:p>
          <w:p w14:paraId="2F70E2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本项目的建设，不可避免会存在一定的环境风险，对此，建设单位必须高度重视，做到风险防范警钟常鸣，环境安全管理常抓不懈；严格落实各项风险防范措施，不断完善风险管理体系。只有这样，才能有效降低风险事故发生概率、杜绝特大事故的发生隐患</w:t>
            </w:r>
            <w:r>
              <w:rPr>
                <w:rFonts w:hint="eastAsia"/>
                <w:color w:val="auto"/>
                <w:sz w:val="24"/>
                <w:szCs w:val="24"/>
                <w:lang w:eastAsia="zh-CN"/>
              </w:rPr>
              <w:t>，</w:t>
            </w:r>
            <w:r>
              <w:rPr>
                <w:rFonts w:hint="eastAsia"/>
                <w:color w:val="auto"/>
                <w:sz w:val="24"/>
                <w:szCs w:val="24"/>
                <w:lang w:val="en-US" w:eastAsia="zh-CN"/>
              </w:rPr>
              <w:t>本项目主要风险事故为</w:t>
            </w:r>
            <w:r>
              <w:rPr>
                <w:rFonts w:hint="default" w:ascii="Times New Roman" w:hAnsi="Times New Roman" w:eastAsia="宋体" w:cs="Times New Roman"/>
                <w:color w:val="auto"/>
                <w:sz w:val="24"/>
                <w:szCs w:val="24"/>
                <w:lang w:eastAsia="zh-CN"/>
              </w:rPr>
              <w:t>废</w:t>
            </w:r>
            <w:r>
              <w:rPr>
                <w:rFonts w:hint="eastAsia" w:cs="Times New Roman"/>
                <w:color w:val="auto"/>
                <w:sz w:val="24"/>
                <w:szCs w:val="24"/>
                <w:lang w:val="en-US" w:eastAsia="zh-CN"/>
              </w:rPr>
              <w:t>润滑油</w:t>
            </w:r>
            <w:r>
              <w:rPr>
                <w:rFonts w:hint="eastAsia"/>
                <w:color w:val="auto"/>
                <w:sz w:val="24"/>
                <w:szCs w:val="24"/>
                <w:lang w:val="en-US" w:eastAsia="zh-CN"/>
              </w:rPr>
              <w:t>泄漏对土壤、地下水的污染风险</w:t>
            </w:r>
            <w:r>
              <w:rPr>
                <w:rFonts w:hint="eastAsia"/>
                <w:color w:val="auto"/>
                <w:sz w:val="24"/>
                <w:szCs w:val="24"/>
                <w:highlight w:val="none"/>
              </w:rPr>
              <w:t>。</w:t>
            </w:r>
            <w:r>
              <w:rPr>
                <w:rFonts w:hint="eastAsia"/>
                <w:color w:val="auto"/>
                <w:sz w:val="24"/>
                <w:szCs w:val="24"/>
              </w:rPr>
              <w:t>因此，只要严格遵守各项安全操作规程和制度，加强安全管理，本项目的环境风险是</w:t>
            </w:r>
            <w:r>
              <w:rPr>
                <w:rFonts w:hint="eastAsia"/>
                <w:color w:val="auto"/>
                <w:sz w:val="24"/>
                <w:szCs w:val="24"/>
                <w:lang w:val="en-US" w:eastAsia="zh-CN"/>
              </w:rPr>
              <w:t>可控</w:t>
            </w:r>
            <w:r>
              <w:rPr>
                <w:rFonts w:hint="eastAsia"/>
                <w:color w:val="auto"/>
                <w:sz w:val="24"/>
                <w:szCs w:val="24"/>
              </w:rPr>
              <w:t>的。</w:t>
            </w:r>
          </w:p>
          <w:p w14:paraId="7975DC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风险总结评价内容见下表：</w:t>
            </w:r>
          </w:p>
          <w:p w14:paraId="592C8FF7">
            <w:pPr>
              <w:pStyle w:val="54"/>
              <w:bidi w:val="0"/>
              <w:rPr>
                <w:color w:val="auto"/>
                <w:highlight w:val="none"/>
              </w:rPr>
            </w:pPr>
            <w:r>
              <w:rPr>
                <w:rFonts w:hint="eastAsia"/>
                <w:color w:val="auto"/>
                <w:highlight w:val="none"/>
                <w:lang w:val="en-US" w:eastAsia="zh-CN"/>
              </w:rPr>
              <w:t>表4-23  建设项目环境风险简单分析内容表</w:t>
            </w:r>
          </w:p>
          <w:tbl>
            <w:tblPr>
              <w:tblStyle w:val="22"/>
              <w:tblW w:w="776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821"/>
              <w:gridCol w:w="1029"/>
              <w:gridCol w:w="1500"/>
              <w:gridCol w:w="1015"/>
              <w:gridCol w:w="2322"/>
            </w:tblGrid>
            <w:tr w14:paraId="564A9D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gridSpan w:val="2"/>
                  <w:tcBorders>
                    <w:tl2br w:val="nil"/>
                    <w:tr2bl w:val="nil"/>
                  </w:tcBorders>
                  <w:vAlign w:val="center"/>
                </w:tcPr>
                <w:p w14:paraId="640FA9EF">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建设项目名称</w:t>
                  </w:r>
                </w:p>
              </w:tc>
              <w:tc>
                <w:tcPr>
                  <w:tcW w:w="5866" w:type="dxa"/>
                  <w:gridSpan w:val="4"/>
                  <w:tcBorders>
                    <w:tl2br w:val="nil"/>
                    <w:tr2bl w:val="nil"/>
                  </w:tcBorders>
                  <w:vAlign w:val="center"/>
                </w:tcPr>
                <w:p w14:paraId="5E89C5BA">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易门铜业渣选工艺流程提效升级改造项目</w:t>
                  </w:r>
                </w:p>
              </w:tc>
            </w:tr>
            <w:tr w14:paraId="75096A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gridSpan w:val="2"/>
                  <w:tcBorders>
                    <w:tl2br w:val="nil"/>
                    <w:tr2bl w:val="nil"/>
                  </w:tcBorders>
                  <w:vAlign w:val="center"/>
                </w:tcPr>
                <w:p w14:paraId="351E9B1A">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建设地点</w:t>
                  </w:r>
                </w:p>
              </w:tc>
              <w:tc>
                <w:tcPr>
                  <w:tcW w:w="1029" w:type="dxa"/>
                  <w:tcBorders>
                    <w:tl2br w:val="nil"/>
                    <w:tr2bl w:val="nil"/>
                  </w:tcBorders>
                  <w:vAlign w:val="center"/>
                </w:tcPr>
                <w:p w14:paraId="1BD813A4">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云南省</w:t>
                  </w:r>
                </w:p>
              </w:tc>
              <w:tc>
                <w:tcPr>
                  <w:tcW w:w="1500" w:type="dxa"/>
                  <w:tcBorders>
                    <w:tl2br w:val="nil"/>
                    <w:tr2bl w:val="nil"/>
                  </w:tcBorders>
                  <w:vAlign w:val="center"/>
                </w:tcPr>
                <w:p w14:paraId="021906FE">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玉溪市</w:t>
                  </w:r>
                </w:p>
              </w:tc>
              <w:tc>
                <w:tcPr>
                  <w:tcW w:w="1015" w:type="dxa"/>
                  <w:tcBorders>
                    <w:tl2br w:val="nil"/>
                    <w:tr2bl w:val="nil"/>
                  </w:tcBorders>
                  <w:vAlign w:val="center"/>
                </w:tcPr>
                <w:p w14:paraId="0EA7B38D">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易门县</w:t>
                  </w:r>
                </w:p>
              </w:tc>
              <w:tc>
                <w:tcPr>
                  <w:tcW w:w="2322" w:type="dxa"/>
                  <w:tcBorders>
                    <w:tl2br w:val="nil"/>
                    <w:tr2bl w:val="nil"/>
                  </w:tcBorders>
                  <w:vAlign w:val="center"/>
                </w:tcPr>
                <w:p w14:paraId="18B02F01">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云南易门产业园区大椿树片区</w:t>
                  </w:r>
                </w:p>
              </w:tc>
            </w:tr>
            <w:tr w14:paraId="184AA7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gridSpan w:val="2"/>
                  <w:tcBorders>
                    <w:tl2br w:val="nil"/>
                    <w:tr2bl w:val="nil"/>
                  </w:tcBorders>
                  <w:vAlign w:val="center"/>
                </w:tcPr>
                <w:p w14:paraId="1AF05343">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地理坐标</w:t>
                  </w:r>
                </w:p>
              </w:tc>
              <w:tc>
                <w:tcPr>
                  <w:tcW w:w="1029" w:type="dxa"/>
                  <w:tcBorders>
                    <w:tl2br w:val="nil"/>
                    <w:tr2bl w:val="nil"/>
                  </w:tcBorders>
                  <w:vAlign w:val="center"/>
                </w:tcPr>
                <w:p w14:paraId="6E678DE3">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经度</w:t>
                  </w:r>
                </w:p>
              </w:tc>
              <w:tc>
                <w:tcPr>
                  <w:tcW w:w="1500" w:type="dxa"/>
                  <w:tcBorders>
                    <w:tl2br w:val="nil"/>
                    <w:tr2bl w:val="nil"/>
                  </w:tcBorders>
                  <w:vAlign w:val="center"/>
                </w:tcPr>
                <w:p w14:paraId="32304D73">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102°</w:t>
                  </w:r>
                  <w:r>
                    <w:rPr>
                      <w:rFonts w:hint="eastAsia" w:ascii="Times New Roman" w:hAnsi="Times New Roman" w:cs="Times New Roman" w:eastAsiaTheme="minorEastAsia"/>
                      <w:color w:val="auto"/>
                      <w:sz w:val="18"/>
                      <w:szCs w:val="18"/>
                      <w:highlight w:val="none"/>
                      <w:lang w:val="en-US" w:eastAsia="zh-CN"/>
                    </w:rPr>
                    <w:t>10</w:t>
                  </w:r>
                  <w:r>
                    <w:rPr>
                      <w:rFonts w:hint="default" w:ascii="Times New Roman" w:hAnsi="Times New Roman" w:cs="Times New Roman" w:eastAsiaTheme="minorEastAsia"/>
                      <w:color w:val="auto"/>
                      <w:sz w:val="18"/>
                      <w:szCs w:val="18"/>
                      <w:highlight w:val="none"/>
                      <w:lang w:val="en-US" w:eastAsia="zh-CN"/>
                    </w:rPr>
                    <w:t>′</w:t>
                  </w:r>
                  <w:r>
                    <w:rPr>
                      <w:rFonts w:hint="eastAsia" w:ascii="Times New Roman" w:hAnsi="Times New Roman" w:cs="Times New Roman" w:eastAsiaTheme="minorEastAsia"/>
                      <w:color w:val="auto"/>
                      <w:sz w:val="18"/>
                      <w:szCs w:val="18"/>
                      <w:highlight w:val="none"/>
                      <w:lang w:val="en-US" w:eastAsia="zh-CN"/>
                    </w:rPr>
                    <w:t>4.795</w:t>
                  </w:r>
                  <w:r>
                    <w:rPr>
                      <w:rFonts w:hint="default" w:ascii="Times New Roman" w:hAnsi="Times New Roman" w:cs="Times New Roman" w:eastAsiaTheme="minorEastAsia"/>
                      <w:color w:val="auto"/>
                      <w:sz w:val="18"/>
                      <w:szCs w:val="18"/>
                      <w:highlight w:val="none"/>
                      <w:lang w:val="en-US" w:eastAsia="zh-CN"/>
                    </w:rPr>
                    <w:t>″</w:t>
                  </w:r>
                </w:p>
              </w:tc>
              <w:tc>
                <w:tcPr>
                  <w:tcW w:w="1015" w:type="dxa"/>
                  <w:tcBorders>
                    <w:tl2br w:val="nil"/>
                    <w:tr2bl w:val="nil"/>
                  </w:tcBorders>
                  <w:vAlign w:val="center"/>
                </w:tcPr>
                <w:p w14:paraId="53687AC5">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纬度</w:t>
                  </w:r>
                </w:p>
              </w:tc>
              <w:tc>
                <w:tcPr>
                  <w:tcW w:w="2322" w:type="dxa"/>
                  <w:tcBorders>
                    <w:tl2br w:val="nil"/>
                    <w:tr2bl w:val="nil"/>
                  </w:tcBorders>
                  <w:vAlign w:val="center"/>
                </w:tcPr>
                <w:p w14:paraId="3AA9E984">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24°42′</w:t>
                  </w:r>
                  <w:r>
                    <w:rPr>
                      <w:rFonts w:hint="eastAsia" w:ascii="Times New Roman" w:hAnsi="Times New Roman" w:cs="Times New Roman" w:eastAsiaTheme="minorEastAsia"/>
                      <w:color w:val="auto"/>
                      <w:sz w:val="18"/>
                      <w:szCs w:val="18"/>
                      <w:highlight w:val="none"/>
                      <w:lang w:val="en-US" w:eastAsia="zh-CN"/>
                    </w:rPr>
                    <w:t>32.923</w:t>
                  </w:r>
                  <w:r>
                    <w:rPr>
                      <w:rFonts w:hint="default" w:ascii="Times New Roman" w:hAnsi="Times New Roman" w:cs="Times New Roman" w:eastAsiaTheme="minorEastAsia"/>
                      <w:color w:val="auto"/>
                      <w:sz w:val="18"/>
                      <w:szCs w:val="18"/>
                      <w:highlight w:val="none"/>
                      <w:lang w:val="en-US" w:eastAsia="zh-CN"/>
                    </w:rPr>
                    <w:t>″</w:t>
                  </w:r>
                </w:p>
              </w:tc>
            </w:tr>
            <w:tr w14:paraId="5FC2F5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gridSpan w:val="2"/>
                  <w:tcBorders>
                    <w:tl2br w:val="nil"/>
                    <w:tr2bl w:val="nil"/>
                  </w:tcBorders>
                  <w:vAlign w:val="center"/>
                </w:tcPr>
                <w:p w14:paraId="1093C737">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主要危险物质及分布</w:t>
                  </w:r>
                </w:p>
              </w:tc>
              <w:tc>
                <w:tcPr>
                  <w:tcW w:w="5866" w:type="dxa"/>
                  <w:gridSpan w:val="4"/>
                  <w:tcBorders>
                    <w:tl2br w:val="nil"/>
                    <w:tr2bl w:val="nil"/>
                  </w:tcBorders>
                  <w:vAlign w:val="center"/>
                </w:tcPr>
                <w:p w14:paraId="5D83E14E">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项目涉及的主要危险物质为</w:t>
                  </w:r>
                  <w:r>
                    <w:rPr>
                      <w:rFonts w:hint="eastAsia" w:ascii="Times New Roman" w:hAnsi="Times New Roman" w:cs="Times New Roman" w:eastAsiaTheme="minorEastAsia"/>
                      <w:color w:val="auto"/>
                      <w:sz w:val="18"/>
                      <w:szCs w:val="18"/>
                      <w:highlight w:val="none"/>
                      <w:lang w:val="en-US" w:eastAsia="zh-CN"/>
                    </w:rPr>
                    <w:t>废润滑油、硫化钠以及</w:t>
                  </w:r>
                  <w:r>
                    <w:rPr>
                      <w:rFonts w:hint="eastAsia" w:ascii="Times New Roman" w:hAnsi="Times New Roman" w:eastAsia="宋体" w:cs="Times New Roman"/>
                      <w:color w:val="auto"/>
                      <w:sz w:val="18"/>
                      <w:szCs w:val="18"/>
                    </w:rPr>
                    <w:t>2#油</w:t>
                  </w:r>
                  <w:r>
                    <w:rPr>
                      <w:rFonts w:hint="default" w:ascii="Times New Roman" w:hAnsi="Times New Roman" w:cs="Times New Roman" w:eastAsiaTheme="minorEastAsia"/>
                      <w:color w:val="auto"/>
                      <w:sz w:val="18"/>
                      <w:szCs w:val="18"/>
                      <w:highlight w:val="none"/>
                      <w:lang w:val="en-US" w:eastAsia="zh-CN"/>
                    </w:rPr>
                    <w:t>。</w:t>
                  </w:r>
                </w:p>
              </w:tc>
            </w:tr>
            <w:tr w14:paraId="02D7AF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79" w:type="dxa"/>
                  <w:tcBorders>
                    <w:tl2br w:val="nil"/>
                    <w:tr2bl w:val="nil"/>
                  </w:tcBorders>
                  <w:vAlign w:val="center"/>
                </w:tcPr>
                <w:p w14:paraId="52E23C39">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环境影响途径及危害后果</w:t>
                  </w:r>
                </w:p>
              </w:tc>
              <w:tc>
                <w:tcPr>
                  <w:tcW w:w="6687" w:type="dxa"/>
                  <w:gridSpan w:val="5"/>
                  <w:tcBorders>
                    <w:tl2br w:val="nil"/>
                    <w:tr2bl w:val="nil"/>
                  </w:tcBorders>
                  <w:vAlign w:val="center"/>
                </w:tcPr>
                <w:p w14:paraId="322D91EC">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废润滑油</w:t>
                  </w:r>
                  <w:r>
                    <w:rPr>
                      <w:rFonts w:hint="default" w:ascii="Times New Roman" w:hAnsi="Times New Roman" w:cs="Times New Roman" w:eastAsiaTheme="minorEastAsia"/>
                      <w:color w:val="auto"/>
                      <w:sz w:val="18"/>
                      <w:szCs w:val="18"/>
                      <w:highlight w:val="none"/>
                      <w:lang w:val="en-US" w:eastAsia="zh-CN"/>
                    </w:rPr>
                    <w:t>泄漏事故污染地表水、地下水及土壤环境</w:t>
                  </w:r>
                  <w:r>
                    <w:rPr>
                      <w:rFonts w:hint="eastAsia" w:ascii="Times New Roman" w:hAnsi="Times New Roman" w:cs="Times New Roman" w:eastAsiaTheme="minorEastAsia"/>
                      <w:color w:val="auto"/>
                      <w:sz w:val="18"/>
                      <w:szCs w:val="18"/>
                      <w:highlight w:val="none"/>
                      <w:lang w:val="en-US" w:eastAsia="zh-CN"/>
                    </w:rPr>
                    <w:t>；2#油</w:t>
                  </w:r>
                  <w:r>
                    <w:rPr>
                      <w:rFonts w:hint="default" w:ascii="Times New Roman" w:hAnsi="Times New Roman" w:cs="Times New Roman" w:eastAsiaTheme="minorEastAsia"/>
                      <w:color w:val="auto"/>
                      <w:sz w:val="18"/>
                      <w:szCs w:val="18"/>
                      <w:highlight w:val="none"/>
                      <w:lang w:val="en-US" w:eastAsia="zh-CN"/>
                    </w:rPr>
                    <w:t>泄漏事故污染地表水、地下水及土壤环境</w:t>
                  </w:r>
                  <w:r>
                    <w:rPr>
                      <w:rFonts w:hint="eastAsia" w:ascii="Times New Roman" w:hAnsi="Times New Roman" w:cs="Times New Roman" w:eastAsiaTheme="minorEastAsia"/>
                      <w:color w:val="auto"/>
                      <w:sz w:val="18"/>
                      <w:szCs w:val="18"/>
                      <w:highlight w:val="none"/>
                      <w:lang w:val="en-US" w:eastAsia="zh-CN"/>
                    </w:rPr>
                    <w:t>，</w:t>
                  </w:r>
                  <w:r>
                    <w:rPr>
                      <w:rFonts w:hint="default" w:ascii="Times New Roman" w:hAnsi="Times New Roman" w:cs="Times New Roman" w:eastAsiaTheme="minorEastAsia"/>
                      <w:color w:val="auto"/>
                      <w:sz w:val="18"/>
                      <w:szCs w:val="18"/>
                      <w:highlight w:val="none"/>
                      <w:lang w:val="en-US" w:eastAsia="zh-CN"/>
                    </w:rPr>
                    <w:t>遇明火、高热能引起燃烧爆炸</w:t>
                  </w:r>
                  <w:r>
                    <w:rPr>
                      <w:rFonts w:hint="eastAsia" w:ascii="Times New Roman" w:hAnsi="Times New Roman" w:cs="Times New Roman" w:eastAsiaTheme="minorEastAsia"/>
                      <w:color w:val="auto"/>
                      <w:sz w:val="18"/>
                      <w:szCs w:val="18"/>
                      <w:highlight w:val="none"/>
                      <w:lang w:val="en-US" w:eastAsia="zh-CN"/>
                    </w:rPr>
                    <w:t>；硫化钠遇酸、遇水易分解，释放硫化氢（H</w:t>
                  </w:r>
                  <w:r>
                    <w:rPr>
                      <w:rFonts w:hint="eastAsia" w:ascii="Times New Roman" w:hAnsi="Times New Roman" w:cs="Times New Roman" w:eastAsiaTheme="minorEastAsia"/>
                      <w:color w:val="auto"/>
                      <w:sz w:val="18"/>
                      <w:szCs w:val="18"/>
                      <w:highlight w:val="none"/>
                      <w:vertAlign w:val="subscript"/>
                      <w:lang w:val="en-US" w:eastAsia="zh-CN"/>
                    </w:rPr>
                    <w:t>2</w:t>
                  </w:r>
                  <w:r>
                    <w:rPr>
                      <w:rFonts w:hint="eastAsia" w:ascii="Times New Roman" w:hAnsi="Times New Roman" w:cs="Times New Roman" w:eastAsiaTheme="minorEastAsia"/>
                      <w:color w:val="auto"/>
                      <w:sz w:val="18"/>
                      <w:szCs w:val="18"/>
                      <w:highlight w:val="none"/>
                      <w:lang w:val="en-US" w:eastAsia="zh-CN"/>
                    </w:rPr>
                    <w:t>S）有毒恶臭气体无组织逸散，污染空气。</w:t>
                  </w:r>
                </w:p>
              </w:tc>
            </w:tr>
            <w:tr w14:paraId="2FA25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tcBorders>
                    <w:tl2br w:val="nil"/>
                    <w:tr2bl w:val="nil"/>
                  </w:tcBorders>
                  <w:vAlign w:val="center"/>
                </w:tcPr>
                <w:p w14:paraId="4F12370B">
                  <w:pPr>
                    <w:pStyle w:val="53"/>
                    <w:bidi w:val="0"/>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风险防范措施要求</w:t>
                  </w:r>
                </w:p>
              </w:tc>
              <w:tc>
                <w:tcPr>
                  <w:tcW w:w="6687" w:type="dxa"/>
                  <w:gridSpan w:val="5"/>
                  <w:tcBorders>
                    <w:tl2br w:val="nil"/>
                    <w:tr2bl w:val="nil"/>
                  </w:tcBorders>
                  <w:vAlign w:val="center"/>
                </w:tcPr>
                <w:p w14:paraId="23924BAC">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eastAsia="zh-CN"/>
                    </w:rPr>
                    <w:t>①</w:t>
                  </w:r>
                  <w:r>
                    <w:rPr>
                      <w:rFonts w:hint="default" w:ascii="Times New Roman" w:hAnsi="Times New Roman" w:cs="Times New Roman" w:eastAsiaTheme="minorEastAsia"/>
                      <w:color w:val="auto"/>
                      <w:sz w:val="18"/>
                      <w:szCs w:val="18"/>
                      <w:lang w:val="en-US" w:eastAsia="zh-CN"/>
                    </w:rPr>
                    <w:t>废润滑油环境风险防范措施</w:t>
                  </w:r>
                </w:p>
                <w:p w14:paraId="33E3B4C2">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废</w:t>
                  </w:r>
                  <w:r>
                    <w:rPr>
                      <w:rFonts w:hint="default" w:ascii="Times New Roman" w:hAnsi="Times New Roman" w:cs="Times New Roman" w:eastAsiaTheme="minorEastAsia"/>
                      <w:color w:val="auto"/>
                      <w:sz w:val="18"/>
                      <w:szCs w:val="18"/>
                      <w:lang w:val="en-US" w:eastAsia="zh-CN"/>
                    </w:rPr>
                    <w:t>润滑油</w:t>
                  </w:r>
                  <w:r>
                    <w:rPr>
                      <w:rFonts w:hint="default" w:ascii="Times New Roman" w:hAnsi="Times New Roman" w:cs="Times New Roman" w:eastAsiaTheme="minorEastAsia"/>
                      <w:color w:val="auto"/>
                      <w:sz w:val="18"/>
                      <w:szCs w:val="18"/>
                    </w:rPr>
                    <w:t>采用专用的储油桶，定期对储油桶进行检修，避免发生跑、冒、滴、漏现象，油品泄漏时，使用消防砂吸附，沾油消防砂统一收集后，委托</w:t>
                  </w:r>
                  <w:r>
                    <w:rPr>
                      <w:rFonts w:hint="default" w:ascii="Times New Roman" w:hAnsi="Times New Roman" w:cs="Times New Roman" w:eastAsiaTheme="minorEastAsia"/>
                      <w:color w:val="auto"/>
                      <w:sz w:val="18"/>
                      <w:szCs w:val="18"/>
                      <w:lang w:val="en-US" w:eastAsia="zh-CN"/>
                    </w:rPr>
                    <w:t>云南广莱再生资源回收有限公司</w:t>
                  </w:r>
                  <w:r>
                    <w:rPr>
                      <w:rFonts w:hint="default" w:ascii="Times New Roman" w:hAnsi="Times New Roman" w:cs="Times New Roman" w:eastAsiaTheme="minorEastAsia"/>
                      <w:color w:val="auto"/>
                      <w:sz w:val="18"/>
                      <w:szCs w:val="18"/>
                    </w:rPr>
                    <w:t>清运、处置。</w:t>
                  </w:r>
                  <w:r>
                    <w:rPr>
                      <w:rFonts w:hint="default" w:ascii="Times New Roman" w:hAnsi="Times New Roman" w:cs="Times New Roman" w:eastAsiaTheme="minorEastAsia"/>
                      <w:color w:val="auto"/>
                      <w:sz w:val="18"/>
                      <w:szCs w:val="18"/>
                      <w:lang w:eastAsia="zh-CN"/>
                    </w:rPr>
                    <w:t>废</w:t>
                  </w:r>
                  <w:r>
                    <w:rPr>
                      <w:rFonts w:hint="default" w:ascii="Times New Roman" w:hAnsi="Times New Roman" w:cs="Times New Roman" w:eastAsiaTheme="minorEastAsia"/>
                      <w:color w:val="auto"/>
                      <w:sz w:val="18"/>
                      <w:szCs w:val="18"/>
                      <w:lang w:val="en-US" w:eastAsia="zh-CN"/>
                    </w:rPr>
                    <w:t>润滑油</w:t>
                  </w:r>
                  <w:r>
                    <w:rPr>
                      <w:rFonts w:hint="default" w:ascii="Times New Roman" w:hAnsi="Times New Roman" w:cs="Times New Roman" w:eastAsiaTheme="minorEastAsia"/>
                      <w:color w:val="auto"/>
                      <w:sz w:val="18"/>
                      <w:szCs w:val="18"/>
                    </w:rPr>
                    <w:t>必须按规定设置警示标志；配备必要的危险品事故防范和应急技术装备。盛装</w:t>
                  </w:r>
                  <w:r>
                    <w:rPr>
                      <w:rFonts w:hint="default" w:ascii="Times New Roman" w:hAnsi="Times New Roman" w:cs="Times New Roman" w:eastAsiaTheme="minorEastAsia"/>
                      <w:color w:val="auto"/>
                      <w:sz w:val="18"/>
                      <w:szCs w:val="18"/>
                      <w:lang w:val="en-US" w:eastAsia="zh-CN"/>
                    </w:rPr>
                    <w:t>废润滑油</w:t>
                  </w:r>
                  <w:r>
                    <w:rPr>
                      <w:rFonts w:hint="default" w:ascii="Times New Roman" w:hAnsi="Times New Roman" w:cs="Times New Roman" w:eastAsiaTheme="minorEastAsia"/>
                      <w:color w:val="auto"/>
                      <w:sz w:val="18"/>
                      <w:szCs w:val="18"/>
                    </w:rPr>
                    <w:t>容器上必须贴相应的危险废物标志。危险废物贮存设施都必须按环境保护图形《固体废物贮存（处置）场》（GB15562.2-1995）的规定设置警示标志。</w:t>
                  </w:r>
                </w:p>
                <w:p w14:paraId="06C5FFE2">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危险废物贮存库</w:t>
                  </w:r>
                  <w:r>
                    <w:rPr>
                      <w:rFonts w:hint="default" w:ascii="Times New Roman" w:hAnsi="Times New Roman" w:cs="Times New Roman" w:eastAsiaTheme="minorEastAsia"/>
                      <w:color w:val="auto"/>
                      <w:sz w:val="18"/>
                      <w:szCs w:val="18"/>
                    </w:rPr>
                    <w:t>严格按照《危险废物贮存污染控制标准》（GB18597-</w:t>
                  </w:r>
                  <w:r>
                    <w:rPr>
                      <w:rFonts w:hint="default" w:ascii="Times New Roman" w:hAnsi="Times New Roman" w:cs="Times New Roman" w:eastAsiaTheme="minorEastAsia"/>
                      <w:color w:val="auto"/>
                      <w:sz w:val="18"/>
                      <w:szCs w:val="18"/>
                      <w:lang w:val="en-US" w:eastAsia="zh-CN"/>
                    </w:rPr>
                    <w:t>2023</w:t>
                  </w:r>
                  <w:r>
                    <w:rPr>
                      <w:rFonts w:hint="default" w:ascii="Times New Roman" w:hAnsi="Times New Roman" w:cs="Times New Roman" w:eastAsiaTheme="minorEastAsia"/>
                      <w:color w:val="auto"/>
                      <w:sz w:val="18"/>
                      <w:szCs w:val="18"/>
                    </w:rPr>
                    <w:t>）进行建设，</w:t>
                  </w:r>
                  <w:r>
                    <w:rPr>
                      <w:rFonts w:hint="default" w:ascii="Times New Roman" w:hAnsi="Times New Roman" w:cs="Times New Roman" w:eastAsiaTheme="minorEastAsia"/>
                      <w:color w:val="auto"/>
                      <w:sz w:val="18"/>
                      <w:szCs w:val="18"/>
                      <w:lang w:val="en-US" w:eastAsia="zh-CN"/>
                    </w:rPr>
                    <w:t>危险废物贮存库</w:t>
                  </w:r>
                  <w:r>
                    <w:rPr>
                      <w:rFonts w:hint="default" w:ascii="Times New Roman" w:hAnsi="Times New Roman" w:cs="Times New Roman" w:eastAsiaTheme="minorEastAsia"/>
                      <w:color w:val="auto"/>
                      <w:sz w:val="18"/>
                      <w:szCs w:val="18"/>
                    </w:rPr>
                    <w:t>内设置围堰池，地面、围堰池采用“抗渗混凝土+防渗膜或防渗环氧树脂漆”进行防渗，使其达到渗透系数≤1×10</w:t>
                  </w:r>
                  <w:r>
                    <w:rPr>
                      <w:rFonts w:hint="default" w:ascii="Times New Roman" w:hAnsi="Times New Roman" w:cs="Times New Roman" w:eastAsiaTheme="minorEastAsia"/>
                      <w:color w:val="auto"/>
                      <w:sz w:val="18"/>
                      <w:szCs w:val="18"/>
                      <w:vertAlign w:val="superscript"/>
                    </w:rPr>
                    <w:t>-10</w:t>
                  </w:r>
                  <w:r>
                    <w:rPr>
                      <w:rFonts w:hint="default" w:ascii="Times New Roman" w:hAnsi="Times New Roman" w:cs="Times New Roman" w:eastAsiaTheme="minorEastAsia"/>
                      <w:color w:val="auto"/>
                      <w:sz w:val="18"/>
                      <w:szCs w:val="18"/>
                    </w:rPr>
                    <w:t>cm/s的防渗性。避免因地防渗工作不到位导致的地下水环境污染。</w:t>
                  </w:r>
                </w:p>
                <w:p w14:paraId="361B4A1B">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②</w:t>
                  </w:r>
                  <w:r>
                    <w:rPr>
                      <w:rFonts w:hint="default" w:ascii="Times New Roman" w:hAnsi="Times New Roman" w:cs="Times New Roman" w:eastAsiaTheme="minorEastAsia"/>
                      <w:color w:val="auto"/>
                      <w:sz w:val="18"/>
                      <w:szCs w:val="18"/>
                      <w:lang w:val="en-US" w:eastAsia="zh-CN"/>
                    </w:rPr>
                    <w:t>选矿药剂环境风险防范措施</w:t>
                  </w:r>
                </w:p>
                <w:p w14:paraId="260524D2">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硫化钠库应遵守防火、防爆等安全规范、标准的规定，建筑物按《建筑防火设计规范》的规定进行设计。根据火灾危险性等级和防火、防爆要求，建筑物严格按耐火等级设计，必须满足建筑防火要求。硫化钠库周围设置消火栓（由给水管网直接供水</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、水泵结合器、灭火器，设置火灾自动报警及消防联动系统。严格按照操作规程进行卸载，轻卸轻放，严禁携带火种进入库房，库内及周围设置明显的严禁火种标志。</w:t>
                  </w:r>
                  <w:r>
                    <w:rPr>
                      <w:rFonts w:hint="default" w:ascii="Times New Roman" w:hAnsi="Times New Roman" w:cs="Times New Roman" w:eastAsiaTheme="minorEastAsia"/>
                      <w:color w:val="auto"/>
                      <w:sz w:val="18"/>
                      <w:szCs w:val="18"/>
                      <w:lang w:val="en-US" w:eastAsia="zh-CN"/>
                    </w:rPr>
                    <w:t>储存间</w:t>
                  </w:r>
                  <w:r>
                    <w:rPr>
                      <w:rFonts w:hint="default" w:ascii="Times New Roman" w:hAnsi="Times New Roman" w:cs="Times New Roman" w:eastAsiaTheme="minorEastAsia"/>
                      <w:color w:val="auto"/>
                      <w:sz w:val="18"/>
                      <w:szCs w:val="18"/>
                    </w:rPr>
                    <w:t>采取全面通风或局部通风，使粉尘不易积聚，降低粉尘在空气中的浓度。加强对仓库、拆包、投料、输送等区域的卫生清扫力度，及时清除积聚在设备、钢架、防护栏杆、梯子、仓库屋顶、墙体等部位的粉尘。因为可燃固体与空气接触的表面积越大，其化学活性亦越大，容易燃烧并且燃烧速度也越快。电气设备和线路必须符合防火防爆要求，避免产生电气火花、电弧火花等火源。划定禁火区域，严格执行动火审批制度，在禁烟火区域设置安全标识。</w:t>
                  </w:r>
                </w:p>
                <w:p w14:paraId="5B744343">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储存于高燥清洁的仓间内。远离火种、热源。避免光照。包装必须密封，切勿受潮。应与氧化剂、酸类分开存放。不宜久存，以免变质。分装和搬运作业要注意个人防护。搬运时要轻装轻卸，防止包装及容器损坏。</w:t>
                  </w:r>
                </w:p>
                <w:p w14:paraId="4E2DBA15">
                  <w:pPr>
                    <w:pStyle w:val="53"/>
                    <w:keepNext w:val="0"/>
                    <w:keepLines w:val="0"/>
                    <w:pageBreakBefore w:val="0"/>
                    <w:widowControl w:val="0"/>
                    <w:kinsoku/>
                    <w:wordWrap/>
                    <w:topLinePunct w:val="0"/>
                    <w:autoSpaceDE/>
                    <w:autoSpaceDN/>
                    <w:bidi w:val="0"/>
                    <w:adjustRightInd/>
                    <w:snapToGrid/>
                    <w:spacing w:line="240" w:lineRule="auto"/>
                    <w:ind w:firstLine="360" w:firstLineChars="200"/>
                    <w:jc w:val="left"/>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lang w:val="en-US" w:eastAsia="zh-CN"/>
                    </w:rPr>
                    <w:t>泄漏时</w:t>
                  </w:r>
                  <w:r>
                    <w:rPr>
                      <w:rFonts w:hint="default" w:ascii="Times New Roman" w:hAnsi="Times New Roman" w:cs="Times New Roman" w:eastAsiaTheme="minorEastAsia"/>
                      <w:color w:val="auto"/>
                      <w:sz w:val="18"/>
                      <w:szCs w:val="18"/>
                    </w:rPr>
                    <w:t>隔离泄漏污染区，周围设警告标志，建议应急处理人员戴好防毒面具，穿化学防护服。不要直接接触泄漏物，避免扬尘，用清洁的铲子收集于干燥净洁有盖的容器中，运至废物处理场所。也可以用大量水冲洗，经稀释的洗水放入废水系统。如大量泄漏，收集回收或无害处理后废弃。</w:t>
                  </w:r>
                </w:p>
              </w:tc>
            </w:tr>
          </w:tbl>
          <w:p w14:paraId="45FE7E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8</w:t>
            </w: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“三本账”核算</w:t>
            </w:r>
          </w:p>
          <w:p w14:paraId="12F25B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本次改扩建在原有工业场地</w:t>
            </w:r>
            <w:r>
              <w:rPr>
                <w:rFonts w:hint="eastAsia" w:ascii="Times New Roman" w:hAnsi="Times New Roman" w:eastAsia="宋体" w:cs="Times New Roman"/>
                <w:color w:val="auto"/>
                <w:sz w:val="24"/>
                <w:szCs w:val="24"/>
                <w:lang w:val="en-US" w:eastAsia="zh-CN"/>
              </w:rPr>
              <w:t>新增</w:t>
            </w:r>
            <w:r>
              <w:rPr>
                <w:rFonts w:hint="eastAsia" w:cs="Times New Roman"/>
                <w:color w:val="auto"/>
                <w:sz w:val="24"/>
                <w:szCs w:val="24"/>
                <w:lang w:val="en-US" w:eastAsia="zh-CN"/>
              </w:rPr>
              <w:t>部分</w:t>
            </w:r>
            <w:r>
              <w:rPr>
                <w:rFonts w:hint="eastAsia" w:ascii="Times New Roman" w:hAnsi="Times New Roman" w:eastAsia="宋体" w:cs="Times New Roman"/>
                <w:color w:val="auto"/>
                <w:sz w:val="24"/>
                <w:szCs w:val="24"/>
                <w:lang w:val="en-US" w:eastAsia="zh-CN"/>
              </w:rPr>
              <w:t>设备和新建塔磨机车间</w:t>
            </w:r>
            <w:r>
              <w:rPr>
                <w:rFonts w:hint="default" w:ascii="Times New Roman" w:hAnsi="Times New Roman" w:eastAsia="宋体" w:cs="Times New Roman"/>
                <w:color w:val="auto"/>
                <w:sz w:val="24"/>
                <w:szCs w:val="24"/>
                <w:lang w:val="en-US" w:eastAsia="zh-CN"/>
              </w:rPr>
              <w:t>，规模由</w:t>
            </w:r>
            <w:r>
              <w:rPr>
                <w:rFonts w:hint="eastAsia" w:ascii="Times New Roman" w:hAnsi="Times New Roman" w:eastAsia="宋体" w:cs="Times New Roman"/>
                <w:color w:val="auto"/>
                <w:sz w:val="24"/>
                <w:szCs w:val="24"/>
                <w:lang w:val="en-US" w:eastAsia="zh-CN"/>
              </w:rPr>
              <w:t>1300</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扩大至</w:t>
            </w:r>
            <w:r>
              <w:rPr>
                <w:rFonts w:hint="eastAsia" w:ascii="Times New Roman" w:hAnsi="Times New Roman" w:eastAsia="宋体" w:cs="Times New Roman"/>
                <w:color w:val="auto"/>
                <w:sz w:val="24"/>
                <w:szCs w:val="24"/>
                <w:lang w:val="en-US" w:eastAsia="zh-CN"/>
              </w:rPr>
              <w:t>1700</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，因此，本项目建成后，会使全厂的污染物排放量发生变化，项目完成后“三本帐”汇总详见表4-</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w:t>
            </w:r>
          </w:p>
          <w:p w14:paraId="341178D2">
            <w:pPr>
              <w:pStyle w:val="15"/>
              <w:spacing w:line="360" w:lineRule="auto"/>
              <w:jc w:val="center"/>
              <w:outlineLvl w:val="9"/>
              <w:rPr>
                <w:rFonts w:hint="default" w:ascii="Times New Roman" w:hAnsi="Times New Roman" w:eastAsia="黑体" w:cs="Times New Roman"/>
                <w:b w:val="0"/>
                <w:bCs/>
                <w:color w:val="auto"/>
                <w:kern w:val="2"/>
                <w:sz w:val="21"/>
                <w:szCs w:val="21"/>
                <w:lang w:val="en-US" w:eastAsia="zh-CN" w:bidi="ar-SA"/>
              </w:rPr>
            </w:pPr>
            <w:r>
              <w:rPr>
                <w:rFonts w:hint="default" w:ascii="Times New Roman" w:hAnsi="Times New Roman" w:eastAsia="黑体" w:cs="Times New Roman"/>
                <w:b w:val="0"/>
                <w:bCs/>
                <w:color w:val="auto"/>
                <w:kern w:val="2"/>
                <w:sz w:val="21"/>
                <w:szCs w:val="21"/>
                <w:lang w:val="en-US" w:eastAsia="zh-CN" w:bidi="ar-SA"/>
              </w:rPr>
              <w:t>表4</w:t>
            </w:r>
            <w:r>
              <w:rPr>
                <w:rFonts w:hint="eastAsia" w:ascii="Times New Roman" w:hAnsi="Times New Roman" w:eastAsia="黑体" w:cs="Times New Roman"/>
                <w:b w:val="0"/>
                <w:bCs/>
                <w:color w:val="auto"/>
                <w:kern w:val="2"/>
                <w:sz w:val="21"/>
                <w:szCs w:val="21"/>
                <w:lang w:val="en-US" w:eastAsia="zh-CN" w:bidi="ar-SA"/>
              </w:rPr>
              <w:t>-24</w:t>
            </w:r>
            <w:r>
              <w:rPr>
                <w:rFonts w:hint="default" w:ascii="Times New Roman" w:hAnsi="Times New Roman" w:eastAsia="黑体" w:cs="Times New Roman"/>
                <w:b w:val="0"/>
                <w:bCs/>
                <w:color w:val="auto"/>
                <w:kern w:val="2"/>
                <w:sz w:val="21"/>
                <w:szCs w:val="21"/>
                <w:lang w:val="en-US" w:eastAsia="zh-CN" w:bidi="ar-SA"/>
              </w:rPr>
              <w:t xml:space="preserve">   </w:t>
            </w:r>
            <w:r>
              <w:rPr>
                <w:rFonts w:hint="eastAsia" w:ascii="Times New Roman" w:hAnsi="Times New Roman" w:eastAsia="黑体" w:cs="Times New Roman"/>
                <w:b w:val="0"/>
                <w:bCs/>
                <w:color w:val="auto"/>
                <w:kern w:val="2"/>
                <w:sz w:val="21"/>
                <w:szCs w:val="21"/>
                <w:lang w:val="en-US" w:eastAsia="zh-CN" w:bidi="ar-SA"/>
              </w:rPr>
              <w:t>本项目建成后</w:t>
            </w:r>
            <w:r>
              <w:rPr>
                <w:rFonts w:hint="default" w:ascii="Times New Roman" w:hAnsi="Times New Roman" w:eastAsia="黑体" w:cs="Times New Roman"/>
                <w:b w:val="0"/>
                <w:bCs/>
                <w:color w:val="auto"/>
                <w:kern w:val="2"/>
                <w:sz w:val="21"/>
                <w:szCs w:val="21"/>
                <w:lang w:val="en-US" w:eastAsia="zh-CN" w:bidi="ar-SA"/>
              </w:rPr>
              <w:t>污染物排放</w:t>
            </w:r>
            <w:r>
              <w:rPr>
                <w:rFonts w:hint="eastAsia" w:ascii="Times New Roman" w:hAnsi="Times New Roman" w:eastAsia="黑体" w:cs="Times New Roman"/>
                <w:b w:val="0"/>
                <w:bCs/>
                <w:color w:val="auto"/>
                <w:kern w:val="2"/>
                <w:sz w:val="21"/>
                <w:szCs w:val="21"/>
                <w:lang w:val="en-US" w:eastAsia="zh-CN" w:bidi="ar-SA"/>
              </w:rPr>
              <w:t>“三本账”</w:t>
            </w:r>
            <w:r>
              <w:rPr>
                <w:rFonts w:hint="default" w:ascii="Times New Roman" w:hAnsi="Times New Roman" w:eastAsia="黑体" w:cs="Times New Roman"/>
                <w:b w:val="0"/>
                <w:bCs/>
                <w:color w:val="auto"/>
                <w:kern w:val="2"/>
                <w:sz w:val="21"/>
                <w:szCs w:val="21"/>
                <w:lang w:val="en-US" w:eastAsia="zh-CN" w:bidi="ar-SA"/>
              </w:rPr>
              <w:t>核算一览表  单位：t/a</w:t>
            </w:r>
          </w:p>
          <w:tbl>
            <w:tblPr>
              <w:tblStyle w:val="21"/>
              <w:tblW w:w="4996" w:type="pct"/>
              <w:tblInd w:w="1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587"/>
              <w:gridCol w:w="1271"/>
              <w:gridCol w:w="1075"/>
              <w:gridCol w:w="981"/>
              <w:gridCol w:w="1033"/>
              <w:gridCol w:w="994"/>
            </w:tblGrid>
            <w:tr w14:paraId="502C68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76" w:type="pct"/>
                  <w:tcBorders>
                    <w:tl2br w:val="nil"/>
                    <w:tr2bl w:val="nil"/>
                  </w:tcBorders>
                  <w:noWrap w:val="0"/>
                  <w:tcMar>
                    <w:left w:w="28" w:type="dxa"/>
                    <w:right w:w="28" w:type="dxa"/>
                  </w:tcMar>
                  <w:vAlign w:val="center"/>
                </w:tcPr>
                <w:p w14:paraId="5ED12E8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center"/>
                    <w:outlineLvl w:val="9"/>
                    <w:rPr>
                      <w:rFonts w:hint="default" w:ascii="Times New Roman" w:hAnsi="Times New Roman" w:eastAsia="宋体" w:cs="Times New Roman"/>
                      <w:snapToGrid w:val="0"/>
                      <w:color w:val="auto"/>
                      <w:spacing w:val="-6"/>
                      <w:kern w:val="21"/>
                      <w:sz w:val="18"/>
                      <w:szCs w:val="18"/>
                      <w:highlight w:val="none"/>
                      <w:lang w:val="en-US" w:eastAsia="zh-CN"/>
                    </w:rPr>
                  </w:pPr>
                  <w:r>
                    <w:rPr>
                      <w:rFonts w:hint="eastAsia" w:ascii="Times New Roman" w:hAnsi="Times New Roman" w:eastAsia="宋体" w:cs="Times New Roman"/>
                      <w:snapToGrid w:val="0"/>
                      <w:color w:val="auto"/>
                      <w:spacing w:val="-6"/>
                      <w:kern w:val="21"/>
                      <w:sz w:val="18"/>
                      <w:szCs w:val="18"/>
                      <w:highlight w:val="none"/>
                      <w:lang w:val="en-US" w:eastAsia="zh-CN"/>
                    </w:rPr>
                    <w:t>类别</w:t>
                  </w:r>
                </w:p>
              </w:tc>
              <w:tc>
                <w:tcPr>
                  <w:tcW w:w="1011" w:type="pct"/>
                  <w:tcBorders>
                    <w:tl2br w:val="nil"/>
                    <w:tr2bl w:val="nil"/>
                  </w:tcBorders>
                  <w:noWrap w:val="0"/>
                  <w:tcMar>
                    <w:left w:w="28" w:type="dxa"/>
                    <w:right w:w="28" w:type="dxa"/>
                  </w:tcMar>
                  <w:vAlign w:val="center"/>
                </w:tcPr>
                <w:p w14:paraId="23CED22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center"/>
                    <w:outlineLvl w:val="9"/>
                    <w:rPr>
                      <w:rFonts w:hint="default" w:ascii="Times New Roman" w:hAnsi="Times New Roman" w:eastAsia="宋体" w:cs="Times New Roman"/>
                      <w:snapToGrid w:val="0"/>
                      <w:color w:val="auto"/>
                      <w:spacing w:val="-6"/>
                      <w:kern w:val="21"/>
                      <w:sz w:val="18"/>
                      <w:szCs w:val="18"/>
                    </w:rPr>
                  </w:pPr>
                  <w:r>
                    <w:rPr>
                      <w:rFonts w:hint="default" w:ascii="Times New Roman" w:hAnsi="Times New Roman" w:eastAsia="宋体" w:cs="Times New Roman"/>
                      <w:snapToGrid w:val="0"/>
                      <w:color w:val="auto"/>
                      <w:spacing w:val="-6"/>
                      <w:kern w:val="21"/>
                      <w:sz w:val="18"/>
                      <w:szCs w:val="18"/>
                      <w:highlight w:val="none"/>
                      <w:lang w:val="en-US" w:eastAsia="zh-CN"/>
                    </w:rPr>
                    <w:t>污染物名称</w:t>
                  </w:r>
                </w:p>
              </w:tc>
              <w:tc>
                <w:tcPr>
                  <w:tcW w:w="810" w:type="pct"/>
                  <w:tcBorders>
                    <w:tl2br w:val="nil"/>
                    <w:tr2bl w:val="nil"/>
                  </w:tcBorders>
                  <w:noWrap w:val="0"/>
                  <w:tcMar>
                    <w:left w:w="28" w:type="dxa"/>
                    <w:right w:w="28" w:type="dxa"/>
                  </w:tcMar>
                  <w:vAlign w:val="center"/>
                </w:tcPr>
                <w:p w14:paraId="1F5BB487">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现有项目</w:t>
                  </w:r>
                </w:p>
                <w:p w14:paraId="65CF8D5D">
                  <w:pPr>
                    <w:adjustRightInd w:val="0"/>
                    <w:snapToGrid w:val="0"/>
                    <w:jc w:val="center"/>
                    <w:rPr>
                      <w:rFonts w:hint="default" w:ascii="Times New Roman" w:hAnsi="Times New Roman" w:eastAsia="宋体" w:cs="Times New Roman"/>
                      <w:snapToGrid w:val="0"/>
                      <w:color w:val="auto"/>
                      <w:spacing w:val="-6"/>
                      <w:kern w:val="21"/>
                      <w:sz w:val="18"/>
                      <w:szCs w:val="18"/>
                    </w:rPr>
                  </w:pPr>
                  <w:r>
                    <w:rPr>
                      <w:rFonts w:hint="default" w:ascii="Times New Roman" w:hAnsi="Times New Roman" w:cs="Times New Roman"/>
                      <w:color w:val="auto"/>
                      <w:sz w:val="18"/>
                      <w:szCs w:val="18"/>
                      <w:highlight w:val="none"/>
                    </w:rPr>
                    <w:t>核定排放量</w:t>
                  </w:r>
                </w:p>
              </w:tc>
              <w:tc>
                <w:tcPr>
                  <w:tcW w:w="685" w:type="pct"/>
                  <w:tcBorders>
                    <w:tl2br w:val="nil"/>
                    <w:tr2bl w:val="nil"/>
                  </w:tcBorders>
                  <w:noWrap w:val="0"/>
                  <w:tcMar>
                    <w:left w:w="28" w:type="dxa"/>
                    <w:right w:w="28" w:type="dxa"/>
                  </w:tcMar>
                  <w:vAlign w:val="center"/>
                </w:tcPr>
                <w:p w14:paraId="6ADC08AE">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以新代</w:t>
                  </w:r>
                </w:p>
                <w:p w14:paraId="08AF2D28">
                  <w:pPr>
                    <w:adjustRightInd w:val="0"/>
                    <w:snapToGrid w:val="0"/>
                    <w:jc w:val="center"/>
                    <w:rPr>
                      <w:rFonts w:hint="default" w:ascii="Times New Roman" w:hAnsi="Times New Roman" w:eastAsia="宋体" w:cs="Times New Roman"/>
                      <w:snapToGrid w:val="0"/>
                      <w:color w:val="auto"/>
                      <w:spacing w:val="-6"/>
                      <w:kern w:val="21"/>
                      <w:sz w:val="18"/>
                      <w:szCs w:val="18"/>
                      <w:highlight w:val="none"/>
                      <w:lang w:val="en-US" w:eastAsia="zh-CN"/>
                    </w:rPr>
                  </w:pPr>
                  <w:r>
                    <w:rPr>
                      <w:rFonts w:hint="default" w:ascii="Times New Roman" w:hAnsi="Times New Roman" w:cs="Times New Roman"/>
                      <w:color w:val="auto"/>
                      <w:sz w:val="18"/>
                      <w:szCs w:val="18"/>
                      <w:highlight w:val="none"/>
                    </w:rPr>
                    <w:t>老消减量</w:t>
                  </w:r>
                </w:p>
              </w:tc>
              <w:tc>
                <w:tcPr>
                  <w:tcW w:w="625" w:type="pct"/>
                  <w:tcBorders>
                    <w:tl2br w:val="nil"/>
                    <w:tr2bl w:val="nil"/>
                  </w:tcBorders>
                  <w:noWrap w:val="0"/>
                  <w:tcMar>
                    <w:left w:w="28" w:type="dxa"/>
                    <w:right w:w="28" w:type="dxa"/>
                  </w:tcMar>
                  <w:vAlign w:val="center"/>
                </w:tcPr>
                <w:p w14:paraId="08BC0B36">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w:t>
                  </w:r>
                </w:p>
                <w:p w14:paraId="3E408C41">
                  <w:pPr>
                    <w:adjustRightInd w:val="0"/>
                    <w:snapToGrid w:val="0"/>
                    <w:jc w:val="center"/>
                    <w:rPr>
                      <w:rFonts w:hint="default" w:ascii="Times New Roman" w:hAnsi="Times New Roman" w:eastAsia="宋体" w:cs="Times New Roman"/>
                      <w:snapToGrid w:val="0"/>
                      <w:color w:val="auto"/>
                      <w:spacing w:val="-16"/>
                      <w:kern w:val="21"/>
                      <w:sz w:val="18"/>
                      <w:szCs w:val="18"/>
                    </w:rPr>
                  </w:pPr>
                  <w:r>
                    <w:rPr>
                      <w:rFonts w:hint="default" w:ascii="Times New Roman" w:hAnsi="Times New Roman" w:cs="Times New Roman"/>
                      <w:color w:val="auto"/>
                      <w:sz w:val="18"/>
                      <w:szCs w:val="18"/>
                      <w:highlight w:val="none"/>
                    </w:rPr>
                    <w:t>排放量</w:t>
                  </w:r>
                </w:p>
              </w:tc>
              <w:tc>
                <w:tcPr>
                  <w:tcW w:w="658" w:type="pct"/>
                  <w:tcBorders>
                    <w:tl2br w:val="nil"/>
                    <w:tr2bl w:val="nil"/>
                  </w:tcBorders>
                  <w:noWrap w:val="0"/>
                  <w:tcMar>
                    <w:left w:w="28" w:type="dxa"/>
                    <w:right w:w="28" w:type="dxa"/>
                  </w:tcMar>
                  <w:vAlign w:val="center"/>
                </w:tcPr>
                <w:p w14:paraId="5009E086">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改建后全</w:t>
                  </w:r>
                </w:p>
                <w:p w14:paraId="27D0091B">
                  <w:pPr>
                    <w:adjustRightInd w:val="0"/>
                    <w:snapToGrid w:val="0"/>
                    <w:jc w:val="center"/>
                    <w:rPr>
                      <w:rFonts w:hint="default" w:ascii="Times New Roman" w:hAnsi="Times New Roman" w:eastAsia="宋体" w:cs="Times New Roman"/>
                      <w:snapToGrid w:val="0"/>
                      <w:color w:val="auto"/>
                      <w:spacing w:val="-16"/>
                      <w:kern w:val="21"/>
                      <w:sz w:val="18"/>
                      <w:szCs w:val="18"/>
                    </w:rPr>
                  </w:pPr>
                  <w:r>
                    <w:rPr>
                      <w:rFonts w:hint="default" w:ascii="Times New Roman" w:hAnsi="Times New Roman" w:cs="Times New Roman"/>
                      <w:color w:val="auto"/>
                      <w:sz w:val="18"/>
                      <w:szCs w:val="18"/>
                      <w:highlight w:val="none"/>
                    </w:rPr>
                    <w:t>厂排放量</w:t>
                  </w:r>
                </w:p>
              </w:tc>
              <w:tc>
                <w:tcPr>
                  <w:tcW w:w="633" w:type="pct"/>
                  <w:tcBorders>
                    <w:tl2br w:val="nil"/>
                    <w:tr2bl w:val="nil"/>
                  </w:tcBorders>
                  <w:noWrap w:val="0"/>
                  <w:tcMar>
                    <w:left w:w="28" w:type="dxa"/>
                    <w:right w:w="28" w:type="dxa"/>
                  </w:tcMar>
                  <w:vAlign w:val="center"/>
                </w:tcPr>
                <w:p w14:paraId="7FB46C1E">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排放量</w:t>
                  </w:r>
                </w:p>
                <w:p w14:paraId="6430B3E0">
                  <w:pPr>
                    <w:adjustRightInd w:val="0"/>
                    <w:snapToGrid w:val="0"/>
                    <w:jc w:val="center"/>
                    <w:rPr>
                      <w:rFonts w:hint="default" w:ascii="Times New Roman" w:hAnsi="Times New Roman" w:eastAsia="宋体" w:cs="Times New Roman"/>
                      <w:snapToGrid w:val="0"/>
                      <w:color w:val="auto"/>
                      <w:spacing w:val="-6"/>
                      <w:kern w:val="21"/>
                      <w:sz w:val="18"/>
                      <w:szCs w:val="18"/>
                    </w:rPr>
                  </w:pPr>
                  <w:r>
                    <w:rPr>
                      <w:rFonts w:hint="default" w:ascii="Times New Roman" w:hAnsi="Times New Roman" w:cs="Times New Roman"/>
                      <w:color w:val="auto"/>
                      <w:sz w:val="18"/>
                      <w:szCs w:val="18"/>
                      <w:highlight w:val="none"/>
                    </w:rPr>
                    <w:t>增减量</w:t>
                  </w:r>
                </w:p>
              </w:tc>
            </w:tr>
            <w:tr w14:paraId="533BD0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pct"/>
                  <w:tcBorders>
                    <w:tl2br w:val="nil"/>
                    <w:tr2bl w:val="nil"/>
                  </w:tcBorders>
                  <w:noWrap w:val="0"/>
                  <w:vAlign w:val="center"/>
                </w:tcPr>
                <w:p w14:paraId="29008B5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rPr>
                  </w:pPr>
                  <w:r>
                    <w:rPr>
                      <w:rFonts w:hint="eastAsia" w:ascii="Times New Roman" w:hAnsi="Times New Roman" w:eastAsia="宋体" w:cs="Times New Roman"/>
                      <w:snapToGrid w:val="0"/>
                      <w:color w:val="auto"/>
                      <w:kern w:val="21"/>
                      <w:sz w:val="18"/>
                      <w:szCs w:val="18"/>
                      <w:lang w:val="en-US" w:eastAsia="zh-CN"/>
                    </w:rPr>
                    <w:t>废水</w:t>
                  </w:r>
                  <w:r>
                    <w:rPr>
                      <w:rFonts w:hint="eastAsia" w:ascii="Times New Roman" w:hAnsi="Times New Roman" w:cs="Times New Roman"/>
                      <w:color w:val="auto"/>
                      <w:sz w:val="18"/>
                      <w:szCs w:val="18"/>
                      <w:highlight w:val="none"/>
                      <w:lang w:val="en-US" w:eastAsia="zh-CN"/>
                    </w:rPr>
                    <w:t>（</w:t>
                  </w:r>
                  <w:r>
                    <w:rPr>
                      <w:rFonts w:hint="eastAsia" w:ascii="Times New Roman" w:hAnsi="Times New Roman" w:cs="Times New Roman"/>
                      <w:bCs/>
                      <w:color w:val="auto"/>
                      <w:kern w:val="0"/>
                      <w:sz w:val="18"/>
                      <w:szCs w:val="18"/>
                      <w:highlight w:val="none"/>
                      <w:lang w:val="en-US" w:eastAsia="zh-CN"/>
                    </w:rPr>
                    <w:t>m</w:t>
                  </w:r>
                  <w:r>
                    <w:rPr>
                      <w:rFonts w:hint="eastAsia" w:ascii="Times New Roman" w:hAnsi="Times New Roman" w:cs="Times New Roman"/>
                      <w:bCs/>
                      <w:color w:val="auto"/>
                      <w:kern w:val="0"/>
                      <w:sz w:val="18"/>
                      <w:szCs w:val="18"/>
                      <w:highlight w:val="none"/>
                      <w:vertAlign w:val="superscript"/>
                      <w:lang w:val="en-US" w:eastAsia="zh-CN"/>
                    </w:rPr>
                    <w:t>3</w:t>
                  </w:r>
                  <w:r>
                    <w:rPr>
                      <w:rFonts w:hint="eastAsia" w:ascii="Times New Roman" w:hAnsi="Times New Roman" w:cs="Times New Roman"/>
                      <w:bCs/>
                      <w:color w:val="auto"/>
                      <w:kern w:val="0"/>
                      <w:sz w:val="18"/>
                      <w:szCs w:val="18"/>
                      <w:highlight w:val="none"/>
                      <w:lang w:val="en-US" w:eastAsia="zh-CN"/>
                    </w:rPr>
                    <w:t>/a</w:t>
                  </w:r>
                  <w:r>
                    <w:rPr>
                      <w:rFonts w:hint="eastAsia" w:ascii="Times New Roman" w:hAnsi="Times New Roman" w:cs="Times New Roman"/>
                      <w:color w:val="auto"/>
                      <w:sz w:val="18"/>
                      <w:szCs w:val="18"/>
                      <w:highlight w:val="none"/>
                      <w:lang w:val="en-US" w:eastAsia="zh-CN"/>
                    </w:rPr>
                    <w:t>）</w:t>
                  </w:r>
                </w:p>
              </w:tc>
              <w:tc>
                <w:tcPr>
                  <w:tcW w:w="1011" w:type="pct"/>
                  <w:tcBorders>
                    <w:tl2br w:val="nil"/>
                    <w:tr2bl w:val="nil"/>
                  </w:tcBorders>
                  <w:noWrap w:val="0"/>
                  <w:vAlign w:val="center"/>
                </w:tcPr>
                <w:p w14:paraId="687837E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rPr>
                  </w:pPr>
                  <w:r>
                    <w:rPr>
                      <w:rFonts w:hint="eastAsia" w:ascii="Times New Roman" w:hAnsi="Times New Roman" w:eastAsia="宋体" w:cs="Times New Roman"/>
                      <w:snapToGrid w:val="0"/>
                      <w:color w:val="auto"/>
                      <w:kern w:val="21"/>
                      <w:sz w:val="18"/>
                      <w:szCs w:val="18"/>
                      <w:lang w:val="en-US" w:eastAsia="zh-CN"/>
                    </w:rPr>
                    <w:t>生产废水</w:t>
                  </w:r>
                </w:p>
              </w:tc>
              <w:tc>
                <w:tcPr>
                  <w:tcW w:w="810" w:type="pct"/>
                  <w:tcBorders>
                    <w:tl2br w:val="nil"/>
                    <w:tr2bl w:val="nil"/>
                  </w:tcBorders>
                  <w:noWrap w:val="0"/>
                  <w:vAlign w:val="center"/>
                </w:tcPr>
                <w:p w14:paraId="68D58EC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0</w:t>
                  </w:r>
                </w:p>
              </w:tc>
              <w:tc>
                <w:tcPr>
                  <w:tcW w:w="685" w:type="pct"/>
                  <w:tcBorders>
                    <w:tl2br w:val="nil"/>
                    <w:tr2bl w:val="nil"/>
                  </w:tcBorders>
                  <w:noWrap w:val="0"/>
                  <w:vAlign w:val="center"/>
                </w:tcPr>
                <w:p w14:paraId="732F94A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0</w:t>
                  </w:r>
                </w:p>
              </w:tc>
              <w:tc>
                <w:tcPr>
                  <w:tcW w:w="625" w:type="pct"/>
                  <w:tcBorders>
                    <w:tl2br w:val="nil"/>
                    <w:tr2bl w:val="nil"/>
                  </w:tcBorders>
                  <w:noWrap w:val="0"/>
                  <w:vAlign w:val="center"/>
                </w:tcPr>
                <w:p w14:paraId="7C097DE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0</w:t>
                  </w:r>
                </w:p>
              </w:tc>
              <w:tc>
                <w:tcPr>
                  <w:tcW w:w="658" w:type="pct"/>
                  <w:tcBorders>
                    <w:tl2br w:val="nil"/>
                    <w:tr2bl w:val="nil"/>
                  </w:tcBorders>
                  <w:noWrap w:val="0"/>
                  <w:vAlign w:val="center"/>
                </w:tcPr>
                <w:p w14:paraId="6E40122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0</w:t>
                  </w:r>
                </w:p>
              </w:tc>
              <w:tc>
                <w:tcPr>
                  <w:tcW w:w="633" w:type="pct"/>
                  <w:tcBorders>
                    <w:tl2br w:val="nil"/>
                    <w:tr2bl w:val="nil"/>
                  </w:tcBorders>
                  <w:noWrap w:val="0"/>
                  <w:vAlign w:val="center"/>
                </w:tcPr>
                <w:p w14:paraId="1D185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r>
            <w:tr w14:paraId="48CAF3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pct"/>
                  <w:vMerge w:val="restart"/>
                  <w:tcBorders>
                    <w:tl2br w:val="nil"/>
                    <w:tr2bl w:val="nil"/>
                  </w:tcBorders>
                  <w:noWrap w:val="0"/>
                  <w:vAlign w:val="center"/>
                </w:tcPr>
                <w:p w14:paraId="4C719E3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rPr>
                  </w:pPr>
                  <w:r>
                    <w:rPr>
                      <w:rFonts w:hint="default" w:ascii="Times New Roman" w:hAnsi="Times New Roman" w:eastAsia="宋体" w:cs="Times New Roman"/>
                      <w:snapToGrid w:val="0"/>
                      <w:color w:val="auto"/>
                      <w:kern w:val="21"/>
                      <w:sz w:val="18"/>
                      <w:szCs w:val="18"/>
                      <w:lang w:val="en-US" w:eastAsia="zh-CN"/>
                    </w:rPr>
                    <w:t>废气</w:t>
                  </w:r>
                  <w:r>
                    <w:rPr>
                      <w:rFonts w:hint="default" w:ascii="Times New Roman" w:hAnsi="Times New Roman" w:eastAsia="宋体" w:cs="Times New Roman"/>
                      <w:snapToGrid w:val="0"/>
                      <w:color w:val="auto"/>
                      <w:kern w:val="21"/>
                      <w:sz w:val="18"/>
                      <w:szCs w:val="18"/>
                    </w:rPr>
                    <w:t>（t/a）</w:t>
                  </w:r>
                </w:p>
              </w:tc>
              <w:tc>
                <w:tcPr>
                  <w:tcW w:w="1011" w:type="pct"/>
                  <w:tcBorders>
                    <w:tl2br w:val="nil"/>
                    <w:tr2bl w:val="nil"/>
                  </w:tcBorders>
                  <w:noWrap w:val="0"/>
                  <w:vAlign w:val="center"/>
                </w:tcPr>
                <w:p w14:paraId="2FDD98F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rPr>
                    <w:t>有组织</w:t>
                  </w:r>
                  <w:r>
                    <w:rPr>
                      <w:rFonts w:hint="eastAsia" w:ascii="Times New Roman" w:hAnsi="Times New Roman" w:eastAsia="宋体" w:cs="Times New Roman"/>
                      <w:snapToGrid w:val="0"/>
                      <w:color w:val="auto"/>
                      <w:kern w:val="21"/>
                      <w:sz w:val="18"/>
                      <w:szCs w:val="18"/>
                      <w:lang w:val="en-US" w:eastAsia="zh-CN"/>
                    </w:rPr>
                    <w:t>颗粒物</w:t>
                  </w:r>
                </w:p>
              </w:tc>
              <w:tc>
                <w:tcPr>
                  <w:tcW w:w="810" w:type="pct"/>
                  <w:tcBorders>
                    <w:tl2br w:val="nil"/>
                    <w:tr2bl w:val="nil"/>
                  </w:tcBorders>
                  <w:noWrap w:val="0"/>
                  <w:vAlign w:val="center"/>
                </w:tcPr>
                <w:p w14:paraId="5C2FF5A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2.31</w:t>
                  </w:r>
                </w:p>
              </w:tc>
              <w:tc>
                <w:tcPr>
                  <w:tcW w:w="685" w:type="pct"/>
                  <w:tcBorders>
                    <w:tl2br w:val="nil"/>
                    <w:tr2bl w:val="nil"/>
                  </w:tcBorders>
                  <w:noWrap w:val="0"/>
                  <w:vAlign w:val="center"/>
                </w:tcPr>
                <w:p w14:paraId="13058CB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2.31</w:t>
                  </w:r>
                </w:p>
              </w:tc>
              <w:tc>
                <w:tcPr>
                  <w:tcW w:w="625" w:type="pct"/>
                  <w:tcBorders>
                    <w:tl2br w:val="nil"/>
                    <w:tr2bl w:val="nil"/>
                  </w:tcBorders>
                  <w:noWrap w:val="0"/>
                  <w:vAlign w:val="center"/>
                </w:tcPr>
                <w:p w14:paraId="6A15085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3.15</w:t>
                  </w:r>
                </w:p>
              </w:tc>
              <w:tc>
                <w:tcPr>
                  <w:tcW w:w="658" w:type="pct"/>
                  <w:tcBorders>
                    <w:tl2br w:val="nil"/>
                    <w:tr2bl w:val="nil"/>
                  </w:tcBorders>
                  <w:noWrap w:val="0"/>
                  <w:vAlign w:val="center"/>
                </w:tcPr>
                <w:p w14:paraId="4A402BD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3.15</w:t>
                  </w:r>
                </w:p>
              </w:tc>
              <w:tc>
                <w:tcPr>
                  <w:tcW w:w="633" w:type="pct"/>
                  <w:tcBorders>
                    <w:tl2br w:val="nil"/>
                    <w:tr2bl w:val="nil"/>
                  </w:tcBorders>
                  <w:noWrap w:val="0"/>
                  <w:vAlign w:val="center"/>
                </w:tcPr>
                <w:p w14:paraId="3836A0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0.84</w:t>
                  </w:r>
                </w:p>
              </w:tc>
            </w:tr>
            <w:tr w14:paraId="06B96B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pct"/>
                  <w:vMerge w:val="continue"/>
                  <w:tcBorders>
                    <w:tl2br w:val="nil"/>
                    <w:tr2bl w:val="nil"/>
                  </w:tcBorders>
                  <w:noWrap w:val="0"/>
                  <w:vAlign w:val="center"/>
                </w:tcPr>
                <w:p w14:paraId="3CE4298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rPr>
                  </w:pPr>
                </w:p>
              </w:tc>
              <w:tc>
                <w:tcPr>
                  <w:tcW w:w="1011" w:type="pct"/>
                  <w:tcBorders>
                    <w:tl2br w:val="nil"/>
                    <w:tr2bl w:val="nil"/>
                  </w:tcBorders>
                  <w:noWrap w:val="0"/>
                  <w:vAlign w:val="center"/>
                </w:tcPr>
                <w:p w14:paraId="29354CB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rPr>
                  </w:pPr>
                  <w:r>
                    <w:rPr>
                      <w:rFonts w:hint="eastAsia" w:cs="Times New Roman"/>
                      <w:snapToGrid w:val="0"/>
                      <w:color w:val="auto"/>
                      <w:kern w:val="21"/>
                      <w:sz w:val="18"/>
                      <w:szCs w:val="18"/>
                      <w:lang w:val="en-US" w:eastAsia="zh-CN"/>
                    </w:rPr>
                    <w:t>无组织颗粒物</w:t>
                  </w:r>
                </w:p>
              </w:tc>
              <w:tc>
                <w:tcPr>
                  <w:tcW w:w="810" w:type="pct"/>
                  <w:tcBorders>
                    <w:tl2br w:val="nil"/>
                    <w:tr2bl w:val="nil"/>
                  </w:tcBorders>
                  <w:noWrap w:val="0"/>
                  <w:vAlign w:val="center"/>
                </w:tcPr>
                <w:p w14:paraId="3C83F68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8.16</w:t>
                  </w:r>
                </w:p>
              </w:tc>
              <w:tc>
                <w:tcPr>
                  <w:tcW w:w="685" w:type="pct"/>
                  <w:tcBorders>
                    <w:tl2br w:val="nil"/>
                    <w:tr2bl w:val="nil"/>
                  </w:tcBorders>
                  <w:noWrap w:val="0"/>
                  <w:vAlign w:val="center"/>
                </w:tcPr>
                <w:p w14:paraId="41E6890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8.16</w:t>
                  </w:r>
                </w:p>
              </w:tc>
              <w:tc>
                <w:tcPr>
                  <w:tcW w:w="625" w:type="pct"/>
                  <w:tcBorders>
                    <w:tl2br w:val="nil"/>
                    <w:tr2bl w:val="nil"/>
                  </w:tcBorders>
                  <w:noWrap w:val="0"/>
                  <w:vAlign w:val="center"/>
                </w:tcPr>
                <w:p w14:paraId="24C8A69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10.73</w:t>
                  </w:r>
                </w:p>
              </w:tc>
              <w:tc>
                <w:tcPr>
                  <w:tcW w:w="658" w:type="pct"/>
                  <w:tcBorders>
                    <w:tl2br w:val="nil"/>
                    <w:tr2bl w:val="nil"/>
                  </w:tcBorders>
                  <w:noWrap w:val="0"/>
                  <w:vAlign w:val="center"/>
                </w:tcPr>
                <w:p w14:paraId="335AF03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10.73</w:t>
                  </w:r>
                </w:p>
              </w:tc>
              <w:tc>
                <w:tcPr>
                  <w:tcW w:w="633" w:type="pct"/>
                  <w:tcBorders>
                    <w:tl2br w:val="nil"/>
                    <w:tr2bl w:val="nil"/>
                  </w:tcBorders>
                  <w:noWrap w:val="0"/>
                  <w:vAlign w:val="center"/>
                </w:tcPr>
                <w:p w14:paraId="09FFD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+2.57</w:t>
                  </w:r>
                </w:p>
              </w:tc>
            </w:tr>
            <w:tr w14:paraId="766C55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pct"/>
                  <w:vMerge w:val="restart"/>
                  <w:tcBorders>
                    <w:tl2br w:val="nil"/>
                    <w:tr2bl w:val="nil"/>
                  </w:tcBorders>
                  <w:noWrap w:val="0"/>
                  <w:vAlign w:val="center"/>
                </w:tcPr>
                <w:p w14:paraId="0C3B1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固废</w:t>
                  </w:r>
                  <w:r>
                    <w:rPr>
                      <w:rFonts w:hint="default" w:ascii="Times New Roman" w:hAnsi="Times New Roman" w:eastAsia="宋体" w:cs="Times New Roman"/>
                      <w:snapToGrid w:val="0"/>
                      <w:color w:val="auto"/>
                      <w:kern w:val="21"/>
                      <w:sz w:val="18"/>
                      <w:szCs w:val="18"/>
                    </w:rPr>
                    <w:t>（t/a）</w:t>
                  </w:r>
                </w:p>
              </w:tc>
              <w:tc>
                <w:tcPr>
                  <w:tcW w:w="1011" w:type="pct"/>
                  <w:tcBorders>
                    <w:tl2br w:val="nil"/>
                    <w:tr2bl w:val="nil"/>
                  </w:tcBorders>
                  <w:noWrap w:val="0"/>
                  <w:vAlign w:val="center"/>
                </w:tcPr>
                <w:p w14:paraId="03F68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尾渣</w:t>
                  </w:r>
                </w:p>
              </w:tc>
              <w:tc>
                <w:tcPr>
                  <w:tcW w:w="810" w:type="pct"/>
                  <w:tcBorders>
                    <w:tl2br w:val="nil"/>
                    <w:tr2bl w:val="nil"/>
                  </w:tcBorders>
                  <w:noWrap w:val="0"/>
                  <w:vAlign w:val="center"/>
                </w:tcPr>
                <w:p w14:paraId="1BE3F01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rPr>
                  </w:pPr>
                  <w:r>
                    <w:rPr>
                      <w:rFonts w:hint="eastAsia" w:cs="Times New Roman"/>
                      <w:snapToGrid w:val="0"/>
                      <w:color w:val="auto"/>
                      <w:kern w:val="21"/>
                      <w:sz w:val="18"/>
                      <w:szCs w:val="18"/>
                      <w:lang w:val="en-US" w:eastAsia="zh-CN"/>
                    </w:rPr>
                    <w:t>195030</w:t>
                  </w:r>
                </w:p>
              </w:tc>
              <w:tc>
                <w:tcPr>
                  <w:tcW w:w="685" w:type="pct"/>
                  <w:tcBorders>
                    <w:tl2br w:val="nil"/>
                    <w:tr2bl w:val="nil"/>
                  </w:tcBorders>
                  <w:noWrap w:val="0"/>
                  <w:vAlign w:val="center"/>
                </w:tcPr>
                <w:p w14:paraId="6506B9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snapToGrid w:val="0"/>
                      <w:color w:val="auto"/>
                      <w:kern w:val="21"/>
                      <w:sz w:val="18"/>
                      <w:szCs w:val="18"/>
                      <w:lang w:val="en-US" w:eastAsia="zh-CN"/>
                    </w:rPr>
                    <w:t>195030</w:t>
                  </w:r>
                </w:p>
              </w:tc>
              <w:tc>
                <w:tcPr>
                  <w:tcW w:w="625" w:type="pct"/>
                  <w:tcBorders>
                    <w:tl2br w:val="nil"/>
                    <w:tr2bl w:val="nil"/>
                  </w:tcBorders>
                  <w:noWrap w:val="0"/>
                  <w:vAlign w:val="center"/>
                </w:tcPr>
                <w:p w14:paraId="7F4AC8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rPr>
                  </w:pPr>
                  <w:r>
                    <w:rPr>
                      <w:rFonts w:hint="eastAsia" w:cs="Times New Roman"/>
                      <w:snapToGrid w:val="0"/>
                      <w:color w:val="auto"/>
                      <w:kern w:val="21"/>
                      <w:sz w:val="18"/>
                      <w:szCs w:val="18"/>
                      <w:lang w:val="en-US" w:eastAsia="zh-CN"/>
                    </w:rPr>
                    <w:t>245549.7</w:t>
                  </w:r>
                </w:p>
              </w:tc>
              <w:tc>
                <w:tcPr>
                  <w:tcW w:w="658" w:type="pct"/>
                  <w:tcBorders>
                    <w:tl2br w:val="nil"/>
                    <w:tr2bl w:val="nil"/>
                  </w:tcBorders>
                  <w:noWrap w:val="0"/>
                  <w:vAlign w:val="center"/>
                </w:tcPr>
                <w:p w14:paraId="645980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rPr>
                  </w:pPr>
                  <w:r>
                    <w:rPr>
                      <w:rFonts w:hint="eastAsia" w:cs="Times New Roman"/>
                      <w:snapToGrid w:val="0"/>
                      <w:color w:val="auto"/>
                      <w:kern w:val="21"/>
                      <w:sz w:val="18"/>
                      <w:szCs w:val="18"/>
                      <w:lang w:val="en-US" w:eastAsia="zh-CN"/>
                    </w:rPr>
                    <w:t>245549.7</w:t>
                  </w:r>
                </w:p>
              </w:tc>
              <w:tc>
                <w:tcPr>
                  <w:tcW w:w="633" w:type="pct"/>
                  <w:tcBorders>
                    <w:tl2br w:val="nil"/>
                    <w:tr2bl w:val="nil"/>
                  </w:tcBorders>
                  <w:noWrap w:val="0"/>
                  <w:vAlign w:val="center"/>
                </w:tcPr>
                <w:p w14:paraId="633071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+50519.7</w:t>
                  </w:r>
                </w:p>
              </w:tc>
            </w:tr>
            <w:tr w14:paraId="450559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pct"/>
                  <w:vMerge w:val="continue"/>
                  <w:tcBorders>
                    <w:tl2br w:val="nil"/>
                    <w:tr2bl w:val="nil"/>
                  </w:tcBorders>
                  <w:noWrap w:val="0"/>
                  <w:vAlign w:val="center"/>
                </w:tcPr>
                <w:p w14:paraId="222D6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0"/>
                      <w:sz w:val="18"/>
                      <w:szCs w:val="18"/>
                    </w:rPr>
                  </w:pPr>
                </w:p>
              </w:tc>
              <w:tc>
                <w:tcPr>
                  <w:tcW w:w="1011" w:type="pct"/>
                  <w:tcBorders>
                    <w:tl2br w:val="nil"/>
                    <w:tr2bl w:val="nil"/>
                  </w:tcBorders>
                  <w:noWrap w:val="0"/>
                  <w:vAlign w:val="center"/>
                </w:tcPr>
                <w:p w14:paraId="7152D2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沉淀池污泥</w:t>
                  </w:r>
                </w:p>
              </w:tc>
              <w:tc>
                <w:tcPr>
                  <w:tcW w:w="810" w:type="pct"/>
                  <w:tcBorders>
                    <w:tl2br w:val="nil"/>
                    <w:tr2bl w:val="nil"/>
                  </w:tcBorders>
                  <w:noWrap w:val="0"/>
                  <w:vAlign w:val="center"/>
                </w:tcPr>
                <w:p w14:paraId="1E0241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eastAsia="zh-CN"/>
                    </w:rPr>
                  </w:pPr>
                  <w:r>
                    <w:rPr>
                      <w:rFonts w:hint="eastAsia" w:cs="Times New Roman"/>
                      <w:snapToGrid w:val="0"/>
                      <w:color w:val="auto"/>
                      <w:kern w:val="21"/>
                      <w:sz w:val="18"/>
                      <w:szCs w:val="18"/>
                      <w:lang w:val="en-US" w:eastAsia="zh-CN"/>
                    </w:rPr>
                    <w:t>935</w:t>
                  </w:r>
                </w:p>
              </w:tc>
              <w:tc>
                <w:tcPr>
                  <w:tcW w:w="685" w:type="pct"/>
                  <w:tcBorders>
                    <w:tl2br w:val="nil"/>
                    <w:tr2bl w:val="nil"/>
                  </w:tcBorders>
                  <w:noWrap w:val="0"/>
                  <w:vAlign w:val="center"/>
                </w:tcPr>
                <w:p w14:paraId="0366F0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935</w:t>
                  </w:r>
                </w:p>
              </w:tc>
              <w:tc>
                <w:tcPr>
                  <w:tcW w:w="625" w:type="pct"/>
                  <w:tcBorders>
                    <w:tl2br w:val="nil"/>
                    <w:tr2bl w:val="nil"/>
                  </w:tcBorders>
                  <w:noWrap w:val="0"/>
                  <w:vAlign w:val="center"/>
                </w:tcPr>
                <w:p w14:paraId="1C0ADA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rPr>
                  </w:pPr>
                  <w:r>
                    <w:rPr>
                      <w:rFonts w:hint="eastAsia" w:cs="Times New Roman"/>
                      <w:snapToGrid w:val="0"/>
                      <w:color w:val="auto"/>
                      <w:kern w:val="21"/>
                      <w:sz w:val="18"/>
                      <w:szCs w:val="18"/>
                      <w:lang w:val="en-US" w:eastAsia="zh-CN"/>
                    </w:rPr>
                    <w:t>1200</w:t>
                  </w:r>
                </w:p>
              </w:tc>
              <w:tc>
                <w:tcPr>
                  <w:tcW w:w="658" w:type="pct"/>
                  <w:tcBorders>
                    <w:tl2br w:val="nil"/>
                    <w:tr2bl w:val="nil"/>
                  </w:tcBorders>
                  <w:noWrap w:val="0"/>
                  <w:vAlign w:val="center"/>
                </w:tcPr>
                <w:p w14:paraId="323F73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1200</w:t>
                  </w:r>
                </w:p>
              </w:tc>
              <w:tc>
                <w:tcPr>
                  <w:tcW w:w="633" w:type="pct"/>
                  <w:tcBorders>
                    <w:tl2br w:val="nil"/>
                    <w:tr2bl w:val="nil"/>
                  </w:tcBorders>
                  <w:noWrap w:val="0"/>
                  <w:vAlign w:val="center"/>
                </w:tcPr>
                <w:p w14:paraId="33D4AB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+265</w:t>
                  </w:r>
                </w:p>
              </w:tc>
            </w:tr>
            <w:tr w14:paraId="3F018B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pct"/>
                  <w:vMerge w:val="continue"/>
                  <w:tcBorders>
                    <w:tl2br w:val="nil"/>
                    <w:tr2bl w:val="nil"/>
                  </w:tcBorders>
                  <w:noWrap w:val="0"/>
                  <w:vAlign w:val="center"/>
                </w:tcPr>
                <w:p w14:paraId="0BCCB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0"/>
                      <w:sz w:val="18"/>
                      <w:szCs w:val="18"/>
                    </w:rPr>
                  </w:pPr>
                </w:p>
              </w:tc>
              <w:tc>
                <w:tcPr>
                  <w:tcW w:w="1011" w:type="pct"/>
                  <w:tcBorders>
                    <w:tl2br w:val="nil"/>
                    <w:tr2bl w:val="nil"/>
                  </w:tcBorders>
                  <w:noWrap w:val="0"/>
                  <w:vAlign w:val="center"/>
                </w:tcPr>
                <w:p w14:paraId="7FCD92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除尘灰</w:t>
                  </w:r>
                </w:p>
              </w:tc>
              <w:tc>
                <w:tcPr>
                  <w:tcW w:w="810" w:type="pct"/>
                  <w:tcBorders>
                    <w:tl2br w:val="nil"/>
                    <w:tr2bl w:val="nil"/>
                  </w:tcBorders>
                  <w:noWrap w:val="0"/>
                  <w:vAlign w:val="center"/>
                </w:tcPr>
                <w:p w14:paraId="595141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eastAsia="zh-CN"/>
                    </w:rPr>
                  </w:pPr>
                  <w:r>
                    <w:rPr>
                      <w:rFonts w:hint="eastAsia" w:cs="Times New Roman"/>
                      <w:snapToGrid w:val="0"/>
                      <w:color w:val="auto"/>
                      <w:kern w:val="21"/>
                      <w:sz w:val="18"/>
                      <w:szCs w:val="18"/>
                      <w:lang w:val="en-US" w:eastAsia="zh-CN"/>
                    </w:rPr>
                    <w:t>256.59</w:t>
                  </w:r>
                </w:p>
              </w:tc>
              <w:tc>
                <w:tcPr>
                  <w:tcW w:w="685" w:type="pct"/>
                  <w:tcBorders>
                    <w:tl2br w:val="nil"/>
                    <w:tr2bl w:val="nil"/>
                  </w:tcBorders>
                  <w:noWrap w:val="0"/>
                  <w:vAlign w:val="center"/>
                </w:tcPr>
                <w:p w14:paraId="21FF66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256.59</w:t>
                  </w:r>
                </w:p>
              </w:tc>
              <w:tc>
                <w:tcPr>
                  <w:tcW w:w="625" w:type="pct"/>
                  <w:tcBorders>
                    <w:tl2br w:val="nil"/>
                    <w:tr2bl w:val="nil"/>
                  </w:tcBorders>
                  <w:noWrap w:val="0"/>
                  <w:vAlign w:val="center"/>
                </w:tcPr>
                <w:p w14:paraId="4E9B86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eastAsia="zh-CN"/>
                    </w:rPr>
                  </w:pPr>
                  <w:r>
                    <w:rPr>
                      <w:rFonts w:hint="eastAsia" w:cs="Times New Roman"/>
                      <w:snapToGrid w:val="0"/>
                      <w:color w:val="auto"/>
                      <w:kern w:val="21"/>
                      <w:sz w:val="18"/>
                      <w:szCs w:val="18"/>
                      <w:lang w:val="en-US" w:eastAsia="zh-CN"/>
                    </w:rPr>
                    <w:t>311.86</w:t>
                  </w:r>
                </w:p>
              </w:tc>
              <w:tc>
                <w:tcPr>
                  <w:tcW w:w="658" w:type="pct"/>
                  <w:tcBorders>
                    <w:tl2br w:val="nil"/>
                    <w:tr2bl w:val="nil"/>
                  </w:tcBorders>
                  <w:noWrap w:val="0"/>
                  <w:vAlign w:val="center"/>
                </w:tcPr>
                <w:p w14:paraId="2236B4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311.86</w:t>
                  </w:r>
                </w:p>
              </w:tc>
              <w:tc>
                <w:tcPr>
                  <w:tcW w:w="633" w:type="pct"/>
                  <w:tcBorders>
                    <w:tl2br w:val="nil"/>
                    <w:tr2bl w:val="nil"/>
                  </w:tcBorders>
                  <w:noWrap w:val="0"/>
                  <w:vAlign w:val="center"/>
                </w:tcPr>
                <w:p w14:paraId="2E2AD9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cs="Times New Roman"/>
                      <w:snapToGrid w:val="0"/>
                      <w:color w:val="auto"/>
                      <w:kern w:val="21"/>
                      <w:sz w:val="18"/>
                      <w:szCs w:val="18"/>
                      <w:lang w:val="en-US" w:eastAsia="zh-CN"/>
                    </w:rPr>
                    <w:t>+55.27</w:t>
                  </w:r>
                </w:p>
              </w:tc>
            </w:tr>
            <w:tr w14:paraId="7D6B4E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76" w:type="pct"/>
                  <w:vMerge w:val="continue"/>
                  <w:tcBorders>
                    <w:tl2br w:val="nil"/>
                    <w:tr2bl w:val="nil"/>
                  </w:tcBorders>
                  <w:noWrap w:val="0"/>
                  <w:vAlign w:val="center"/>
                </w:tcPr>
                <w:p w14:paraId="10A6E3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0"/>
                      <w:sz w:val="18"/>
                      <w:szCs w:val="18"/>
                    </w:rPr>
                  </w:pPr>
                </w:p>
              </w:tc>
              <w:tc>
                <w:tcPr>
                  <w:tcW w:w="1011" w:type="pct"/>
                  <w:tcBorders>
                    <w:tl2br w:val="nil"/>
                    <w:tr2bl w:val="nil"/>
                  </w:tcBorders>
                  <w:noWrap w:val="0"/>
                  <w:vAlign w:val="center"/>
                </w:tcPr>
                <w:p w14:paraId="62FC4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废</w:t>
                  </w:r>
                  <w:r>
                    <w:rPr>
                      <w:rFonts w:hint="eastAsia" w:cs="Times New Roman"/>
                      <w:color w:val="auto"/>
                      <w:kern w:val="0"/>
                      <w:sz w:val="18"/>
                      <w:szCs w:val="18"/>
                      <w:lang w:val="en-US" w:eastAsia="zh-CN" w:bidi="ar-SA"/>
                    </w:rPr>
                    <w:t>润滑油</w:t>
                  </w:r>
                </w:p>
              </w:tc>
              <w:tc>
                <w:tcPr>
                  <w:tcW w:w="810" w:type="pct"/>
                  <w:tcBorders>
                    <w:tl2br w:val="nil"/>
                    <w:tr2bl w:val="nil"/>
                  </w:tcBorders>
                  <w:noWrap w:val="0"/>
                  <w:vAlign w:val="center"/>
                </w:tcPr>
                <w:p w14:paraId="4C33CB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rPr>
                    <w:t>0.01</w:t>
                  </w:r>
                </w:p>
              </w:tc>
              <w:tc>
                <w:tcPr>
                  <w:tcW w:w="685" w:type="pct"/>
                  <w:tcBorders>
                    <w:tl2br w:val="nil"/>
                    <w:tr2bl w:val="nil"/>
                  </w:tcBorders>
                  <w:noWrap w:val="0"/>
                  <w:vAlign w:val="center"/>
                </w:tcPr>
                <w:p w14:paraId="2FCEC4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snapToGrid w:val="0"/>
                      <w:color w:val="auto"/>
                      <w:kern w:val="21"/>
                      <w:sz w:val="18"/>
                      <w:szCs w:val="18"/>
                      <w:lang w:val="en-US" w:eastAsia="zh-CN"/>
                    </w:rPr>
                    <w:t>0.01</w:t>
                  </w:r>
                </w:p>
              </w:tc>
              <w:tc>
                <w:tcPr>
                  <w:tcW w:w="625" w:type="pct"/>
                  <w:tcBorders>
                    <w:tl2br w:val="nil"/>
                    <w:tr2bl w:val="nil"/>
                  </w:tcBorders>
                  <w:noWrap w:val="0"/>
                  <w:vAlign w:val="center"/>
                </w:tcPr>
                <w:p w14:paraId="4590DD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rPr>
                    <w:t>0.02</w:t>
                  </w:r>
                </w:p>
              </w:tc>
              <w:tc>
                <w:tcPr>
                  <w:tcW w:w="658" w:type="pct"/>
                  <w:tcBorders>
                    <w:tl2br w:val="nil"/>
                    <w:tr2bl w:val="nil"/>
                  </w:tcBorders>
                  <w:noWrap w:val="0"/>
                  <w:vAlign w:val="center"/>
                </w:tcPr>
                <w:p w14:paraId="76EF28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snapToGrid w:val="0"/>
                      <w:color w:val="auto"/>
                      <w:kern w:val="21"/>
                      <w:sz w:val="18"/>
                      <w:szCs w:val="18"/>
                      <w:lang w:val="en-US" w:eastAsia="zh-CN"/>
                    </w:rPr>
                    <w:t>0.02</w:t>
                  </w:r>
                </w:p>
              </w:tc>
              <w:tc>
                <w:tcPr>
                  <w:tcW w:w="633" w:type="pct"/>
                  <w:tcBorders>
                    <w:tl2br w:val="nil"/>
                    <w:tr2bl w:val="nil"/>
                  </w:tcBorders>
                  <w:noWrap w:val="0"/>
                  <w:vAlign w:val="center"/>
                </w:tcPr>
                <w:p w14:paraId="59FE14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snapToGrid w:val="0"/>
                      <w:color w:val="auto"/>
                      <w:kern w:val="21"/>
                      <w:sz w:val="18"/>
                      <w:szCs w:val="18"/>
                      <w:lang w:val="en-US" w:eastAsia="zh-CN"/>
                    </w:rPr>
                    <w:t>+0.01</w:t>
                  </w:r>
                </w:p>
              </w:tc>
            </w:tr>
            <w:tr w14:paraId="5E4AA3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6" w:type="pct"/>
                  <w:vMerge w:val="continue"/>
                  <w:tcBorders>
                    <w:tl2br w:val="nil"/>
                    <w:tr2bl w:val="nil"/>
                  </w:tcBorders>
                  <w:noWrap w:val="0"/>
                  <w:vAlign w:val="center"/>
                </w:tcPr>
                <w:p w14:paraId="2A8C20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0"/>
                      <w:sz w:val="18"/>
                      <w:szCs w:val="18"/>
                    </w:rPr>
                  </w:pPr>
                </w:p>
              </w:tc>
              <w:tc>
                <w:tcPr>
                  <w:tcW w:w="1011" w:type="pct"/>
                  <w:tcBorders>
                    <w:tl2br w:val="nil"/>
                    <w:tr2bl w:val="nil"/>
                  </w:tcBorders>
                  <w:noWrap w:val="0"/>
                  <w:vAlign w:val="center"/>
                </w:tcPr>
                <w:p w14:paraId="7515E7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生活垃圾</w:t>
                  </w:r>
                </w:p>
              </w:tc>
              <w:tc>
                <w:tcPr>
                  <w:tcW w:w="810" w:type="pct"/>
                  <w:tcBorders>
                    <w:tl2br w:val="nil"/>
                    <w:tr2bl w:val="nil"/>
                  </w:tcBorders>
                  <w:noWrap w:val="0"/>
                  <w:vAlign w:val="center"/>
                </w:tcPr>
                <w:p w14:paraId="7BB05B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rPr>
                    <w:t>6.24</w:t>
                  </w:r>
                </w:p>
              </w:tc>
              <w:tc>
                <w:tcPr>
                  <w:tcW w:w="685" w:type="pct"/>
                  <w:tcBorders>
                    <w:tl2br w:val="nil"/>
                    <w:tr2bl w:val="nil"/>
                  </w:tcBorders>
                  <w:noWrap w:val="0"/>
                  <w:vAlign w:val="center"/>
                </w:tcPr>
                <w:p w14:paraId="2CBEBD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snapToGrid w:val="0"/>
                      <w:color w:val="auto"/>
                      <w:kern w:val="21"/>
                      <w:sz w:val="18"/>
                      <w:szCs w:val="18"/>
                      <w:lang w:val="en-US" w:eastAsia="zh-CN"/>
                    </w:rPr>
                    <w:t>6.24</w:t>
                  </w:r>
                </w:p>
              </w:tc>
              <w:tc>
                <w:tcPr>
                  <w:tcW w:w="625" w:type="pct"/>
                  <w:tcBorders>
                    <w:tl2br w:val="nil"/>
                    <w:tr2bl w:val="nil"/>
                  </w:tcBorders>
                  <w:noWrap w:val="0"/>
                  <w:vAlign w:val="center"/>
                </w:tcPr>
                <w:p w14:paraId="21CB0F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rPr>
                    <w:t>6.24</w:t>
                  </w:r>
                </w:p>
              </w:tc>
              <w:tc>
                <w:tcPr>
                  <w:tcW w:w="658" w:type="pct"/>
                  <w:tcBorders>
                    <w:tl2br w:val="nil"/>
                    <w:tr2bl w:val="nil"/>
                  </w:tcBorders>
                  <w:noWrap w:val="0"/>
                  <w:vAlign w:val="center"/>
                </w:tcPr>
                <w:p w14:paraId="0E666C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snapToGrid w:val="0"/>
                      <w:color w:val="auto"/>
                      <w:kern w:val="21"/>
                      <w:sz w:val="18"/>
                      <w:szCs w:val="18"/>
                      <w:lang w:val="en-US" w:eastAsia="zh-CN"/>
                    </w:rPr>
                    <w:t>6.24</w:t>
                  </w:r>
                </w:p>
              </w:tc>
              <w:tc>
                <w:tcPr>
                  <w:tcW w:w="633" w:type="pct"/>
                  <w:tcBorders>
                    <w:tl2br w:val="nil"/>
                    <w:tr2bl w:val="nil"/>
                  </w:tcBorders>
                  <w:noWrap w:val="0"/>
                  <w:vAlign w:val="center"/>
                </w:tcPr>
                <w:p w14:paraId="41E03A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rPr>
                    <w:t>0</w:t>
                  </w:r>
                </w:p>
              </w:tc>
            </w:tr>
          </w:tbl>
          <w:p w14:paraId="6379B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4285A3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6DCE52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2C900F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3C98DD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10F045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546145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1B5F88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1559CE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1649C0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4F05FD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4A8A0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401BD2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087852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3FA3EE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14:paraId="112C32A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p>
        </w:tc>
      </w:tr>
    </w:tbl>
    <w:p w14:paraId="7C35A814">
      <w:pPr>
        <w:bidi w:val="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0906336">
      <w:pPr>
        <w:pStyle w:val="3"/>
        <w:keepNext/>
        <w:keepLines w:val="0"/>
        <w:pageBreakBefore w:val="0"/>
        <w:widowControl w:val="0"/>
        <w:kinsoku/>
        <w:wordWrap/>
        <w:overflowPunct w:val="0"/>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五、</w:t>
      </w:r>
      <w:bookmarkStart w:id="18" w:name="_Hlk54167917"/>
      <w:r>
        <w:rPr>
          <w:rFonts w:hint="default" w:ascii="Times New Roman" w:hAnsi="Times New Roman" w:eastAsia="宋体" w:cs="Times New Roman"/>
          <w:color w:val="auto"/>
          <w:lang w:val="en-US" w:eastAsia="zh-CN"/>
        </w:rPr>
        <w:t>环境保护措施监督检查清单</w:t>
      </w:r>
      <w:bookmarkEnd w:id="15"/>
      <w:bookmarkEnd w:id="16"/>
      <w:bookmarkEnd w:id="17"/>
      <w:bookmarkEnd w:id="18"/>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524"/>
        <w:gridCol w:w="1733"/>
        <w:gridCol w:w="2572"/>
        <w:gridCol w:w="1842"/>
      </w:tblGrid>
      <w:tr w14:paraId="01DE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tcBorders>
              <w:tl2br w:val="nil"/>
              <w:tr2bl w:val="nil"/>
            </w:tcBorders>
            <w:noWrap w:val="0"/>
            <w:vAlign w:val="top"/>
          </w:tcPr>
          <w:p w14:paraId="030F6F38">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14:paraId="7D544829">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894" w:type="pct"/>
            <w:tcBorders>
              <w:tl2br w:val="nil"/>
              <w:tr2bl w:val="nil"/>
            </w:tcBorders>
            <w:noWrap w:val="0"/>
            <w:vAlign w:val="center"/>
          </w:tcPr>
          <w:p w14:paraId="68AA6FEA">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编号、名称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/污染源</w:t>
            </w:r>
          </w:p>
        </w:tc>
        <w:tc>
          <w:tcPr>
            <w:tcW w:w="1017" w:type="pct"/>
            <w:tcBorders>
              <w:tl2br w:val="nil"/>
              <w:tr2bl w:val="nil"/>
            </w:tcBorders>
            <w:noWrap w:val="0"/>
            <w:vAlign w:val="center"/>
          </w:tcPr>
          <w:p w14:paraId="7C27D253">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509" w:type="pct"/>
            <w:tcBorders>
              <w:tl2br w:val="nil"/>
              <w:tr2bl w:val="nil"/>
            </w:tcBorders>
            <w:noWrap w:val="0"/>
            <w:vAlign w:val="center"/>
          </w:tcPr>
          <w:p w14:paraId="4D93227B">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1081" w:type="pct"/>
            <w:tcBorders>
              <w:tl2br w:val="nil"/>
              <w:tr2bl w:val="nil"/>
            </w:tcBorders>
            <w:noWrap w:val="0"/>
            <w:vAlign w:val="center"/>
          </w:tcPr>
          <w:p w14:paraId="29AC6EBF">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14:paraId="30ED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restart"/>
            <w:tcBorders>
              <w:tl2br w:val="nil"/>
              <w:tr2bl w:val="nil"/>
            </w:tcBorders>
            <w:noWrap w:val="0"/>
            <w:vAlign w:val="center"/>
          </w:tcPr>
          <w:p w14:paraId="1B3501DA">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94" w:type="pct"/>
            <w:tcBorders>
              <w:tl2br w:val="nil"/>
              <w:tr2bl w:val="nil"/>
            </w:tcBorders>
            <w:noWrap w:val="0"/>
            <w:vAlign w:val="center"/>
          </w:tcPr>
          <w:p w14:paraId="3864C96D">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给料仓排口（DA004）</w:t>
            </w:r>
          </w:p>
        </w:tc>
        <w:tc>
          <w:tcPr>
            <w:tcW w:w="1017" w:type="pct"/>
            <w:tcBorders>
              <w:tl2br w:val="nil"/>
              <w:tr2bl w:val="nil"/>
            </w:tcBorders>
            <w:noWrap w:val="0"/>
            <w:vAlign w:val="center"/>
          </w:tcPr>
          <w:p w14:paraId="02346A39">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509" w:type="pct"/>
            <w:tcBorders>
              <w:tl2br w:val="nil"/>
              <w:tr2bl w:val="nil"/>
            </w:tcBorders>
            <w:noWrap w:val="0"/>
            <w:vAlign w:val="center"/>
          </w:tcPr>
          <w:p w14:paraId="1814F4B0">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集气罩+布袋除尘器</w:t>
            </w:r>
            <w:r>
              <w:rPr>
                <w:rFonts w:hint="eastAsia" w:cs="Times New Roman"/>
                <w:color w:val="auto"/>
                <w:sz w:val="21"/>
                <w:szCs w:val="21"/>
                <w:lang w:val="en-US" w:eastAsia="zh-CN"/>
              </w:rPr>
              <w:t>+1根高17.5m，内径0.8m的排气筒</w:t>
            </w:r>
          </w:p>
        </w:tc>
        <w:tc>
          <w:tcPr>
            <w:tcW w:w="1081" w:type="pct"/>
            <w:vMerge w:val="restart"/>
            <w:tcBorders>
              <w:tl2br w:val="nil"/>
              <w:tr2bl w:val="nil"/>
            </w:tcBorders>
            <w:noWrap w:val="0"/>
            <w:vAlign w:val="center"/>
          </w:tcPr>
          <w:p w14:paraId="1B2DFBFE">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18"/>
                <w:szCs w:val="18"/>
                <w:vertAlign w:val="baseline"/>
                <w:lang w:val="en-US" w:eastAsia="zh-CN"/>
              </w:rPr>
              <w:t>《铜、镍、钴工业污染物排放标准》（GB25467-2010）</w:t>
            </w:r>
            <w:r>
              <w:rPr>
                <w:rFonts w:hint="eastAsia" w:ascii="Times New Roman" w:hAnsi="Times New Roman" w:eastAsia="宋体" w:cs="Times New Roman"/>
                <w:color w:val="auto"/>
                <w:sz w:val="18"/>
                <w:szCs w:val="18"/>
                <w:vertAlign w:val="baseline"/>
                <w:lang w:val="en-US" w:eastAsia="zh-CN"/>
              </w:rPr>
              <w:t>表5、表6标准限值</w:t>
            </w:r>
          </w:p>
        </w:tc>
      </w:tr>
      <w:tr w14:paraId="60BC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5F97EC28">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079DE28E">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破碎车间排口（DA005）</w:t>
            </w:r>
          </w:p>
        </w:tc>
        <w:tc>
          <w:tcPr>
            <w:tcW w:w="1017" w:type="pct"/>
            <w:tcBorders>
              <w:tl2br w:val="nil"/>
              <w:tr2bl w:val="nil"/>
            </w:tcBorders>
            <w:noWrap w:val="0"/>
            <w:vAlign w:val="center"/>
          </w:tcPr>
          <w:p w14:paraId="055D4562">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509" w:type="pct"/>
            <w:tcBorders>
              <w:tl2br w:val="nil"/>
              <w:tr2bl w:val="nil"/>
            </w:tcBorders>
            <w:noWrap w:val="0"/>
            <w:vAlign w:val="center"/>
          </w:tcPr>
          <w:p w14:paraId="0558A13E">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集气罩+布袋除尘器</w:t>
            </w:r>
            <w:r>
              <w:rPr>
                <w:rFonts w:hint="eastAsia" w:cs="Times New Roman"/>
                <w:color w:val="auto"/>
                <w:sz w:val="21"/>
                <w:szCs w:val="21"/>
                <w:lang w:val="en-US" w:eastAsia="zh-CN"/>
              </w:rPr>
              <w:t>+1根高17.5m，内径0.8m的排气筒</w:t>
            </w:r>
          </w:p>
        </w:tc>
        <w:tc>
          <w:tcPr>
            <w:tcW w:w="1081" w:type="pct"/>
            <w:vMerge w:val="continue"/>
            <w:tcBorders>
              <w:tl2br w:val="nil"/>
              <w:tr2bl w:val="nil"/>
            </w:tcBorders>
            <w:noWrap w:val="0"/>
            <w:vAlign w:val="center"/>
          </w:tcPr>
          <w:p w14:paraId="799EE04F">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18"/>
                <w:szCs w:val="18"/>
                <w:vertAlign w:val="baseline"/>
                <w:lang w:val="en-US" w:eastAsia="zh-CN"/>
              </w:rPr>
            </w:pPr>
          </w:p>
        </w:tc>
      </w:tr>
      <w:tr w14:paraId="23C0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3D8AB1B0">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09B59F43">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筛分车间排口（DA006）</w:t>
            </w:r>
          </w:p>
        </w:tc>
        <w:tc>
          <w:tcPr>
            <w:tcW w:w="1017" w:type="pct"/>
            <w:tcBorders>
              <w:tl2br w:val="nil"/>
              <w:tr2bl w:val="nil"/>
            </w:tcBorders>
            <w:noWrap w:val="0"/>
            <w:vAlign w:val="center"/>
          </w:tcPr>
          <w:p w14:paraId="340634FF">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509" w:type="pct"/>
            <w:tcBorders>
              <w:tl2br w:val="nil"/>
              <w:tr2bl w:val="nil"/>
            </w:tcBorders>
            <w:noWrap w:val="0"/>
            <w:vAlign w:val="center"/>
          </w:tcPr>
          <w:p w14:paraId="016DDE5B">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集气罩+布袋除尘器</w:t>
            </w:r>
            <w:r>
              <w:rPr>
                <w:rFonts w:hint="eastAsia" w:cs="Times New Roman"/>
                <w:color w:val="auto"/>
                <w:sz w:val="21"/>
                <w:szCs w:val="21"/>
                <w:lang w:val="en-US" w:eastAsia="zh-CN"/>
              </w:rPr>
              <w:t>+1根高23.5m，内径1.0m的排气筒</w:t>
            </w:r>
          </w:p>
        </w:tc>
        <w:tc>
          <w:tcPr>
            <w:tcW w:w="1081" w:type="pct"/>
            <w:vMerge w:val="continue"/>
            <w:tcBorders>
              <w:tl2br w:val="nil"/>
              <w:tr2bl w:val="nil"/>
            </w:tcBorders>
            <w:noWrap w:val="0"/>
            <w:vAlign w:val="center"/>
          </w:tcPr>
          <w:p w14:paraId="200B6E77">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18"/>
                <w:szCs w:val="18"/>
                <w:vertAlign w:val="baseline"/>
                <w:lang w:val="en-US" w:eastAsia="zh-CN"/>
              </w:rPr>
            </w:pPr>
          </w:p>
        </w:tc>
      </w:tr>
      <w:tr w14:paraId="39B9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5C2462AD">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02B8B833">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铜冶炼渣堆场粉尘</w:t>
            </w:r>
          </w:p>
        </w:tc>
        <w:tc>
          <w:tcPr>
            <w:tcW w:w="1017" w:type="pct"/>
            <w:tcBorders>
              <w:tl2br w:val="nil"/>
              <w:tr2bl w:val="nil"/>
            </w:tcBorders>
            <w:noWrap w:val="0"/>
            <w:vAlign w:val="center"/>
          </w:tcPr>
          <w:p w14:paraId="757F84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509" w:type="pct"/>
            <w:tcBorders>
              <w:tl2br w:val="nil"/>
              <w:tr2bl w:val="nil"/>
            </w:tcBorders>
            <w:noWrap w:val="0"/>
            <w:vAlign w:val="center"/>
          </w:tcPr>
          <w:p w14:paraId="10A451C1">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洒水降尘</w:t>
            </w:r>
          </w:p>
        </w:tc>
        <w:tc>
          <w:tcPr>
            <w:tcW w:w="1081" w:type="pct"/>
            <w:vMerge w:val="continue"/>
            <w:tcBorders>
              <w:tl2br w:val="nil"/>
              <w:tr2bl w:val="nil"/>
            </w:tcBorders>
            <w:noWrap w:val="0"/>
            <w:vAlign w:val="center"/>
          </w:tcPr>
          <w:p w14:paraId="630B6DC9">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p>
        </w:tc>
      </w:tr>
      <w:tr w14:paraId="4157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0F8D0CBC">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61F9A3CC">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缓冷场拆包区粉尘</w:t>
            </w:r>
          </w:p>
        </w:tc>
        <w:tc>
          <w:tcPr>
            <w:tcW w:w="1017" w:type="pct"/>
            <w:tcBorders>
              <w:tl2br w:val="nil"/>
              <w:tr2bl w:val="nil"/>
            </w:tcBorders>
            <w:noWrap w:val="0"/>
            <w:vAlign w:val="center"/>
          </w:tcPr>
          <w:p w14:paraId="3EF8FD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509" w:type="pct"/>
            <w:tcBorders>
              <w:tl2br w:val="nil"/>
              <w:tr2bl w:val="nil"/>
            </w:tcBorders>
            <w:noWrap w:val="0"/>
            <w:vAlign w:val="center"/>
          </w:tcPr>
          <w:p w14:paraId="41AFEECA">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洒水降尘</w:t>
            </w:r>
          </w:p>
        </w:tc>
        <w:tc>
          <w:tcPr>
            <w:tcW w:w="1081" w:type="pct"/>
            <w:vMerge w:val="continue"/>
            <w:tcBorders>
              <w:tl2br w:val="nil"/>
              <w:tr2bl w:val="nil"/>
            </w:tcBorders>
            <w:noWrap w:val="0"/>
            <w:vAlign w:val="center"/>
          </w:tcPr>
          <w:p w14:paraId="29C106F1">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p>
        </w:tc>
      </w:tr>
      <w:tr w14:paraId="31D0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5EBFE75D">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7AD2C187">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原料输送过程中产生的粉尘</w:t>
            </w:r>
          </w:p>
        </w:tc>
        <w:tc>
          <w:tcPr>
            <w:tcW w:w="1017" w:type="pct"/>
            <w:tcBorders>
              <w:tl2br w:val="nil"/>
              <w:tr2bl w:val="nil"/>
            </w:tcBorders>
            <w:noWrap w:val="0"/>
            <w:vAlign w:val="center"/>
          </w:tcPr>
          <w:p w14:paraId="7F962D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509" w:type="pct"/>
            <w:tcBorders>
              <w:tl2br w:val="nil"/>
              <w:tr2bl w:val="nil"/>
            </w:tcBorders>
            <w:noWrap w:val="0"/>
            <w:vAlign w:val="center"/>
          </w:tcPr>
          <w:p w14:paraId="20746CD3">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皮带机走廊封闭</w:t>
            </w:r>
          </w:p>
        </w:tc>
        <w:tc>
          <w:tcPr>
            <w:tcW w:w="1081" w:type="pct"/>
            <w:vMerge w:val="continue"/>
            <w:tcBorders>
              <w:tl2br w:val="nil"/>
              <w:tr2bl w:val="nil"/>
            </w:tcBorders>
            <w:noWrap w:val="0"/>
            <w:vAlign w:val="center"/>
          </w:tcPr>
          <w:p w14:paraId="30300A9F">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p>
        </w:tc>
      </w:tr>
      <w:tr w14:paraId="6C93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4A949AAA">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11500C4B">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上料、破碎、筛分、工序</w:t>
            </w:r>
            <w:r>
              <w:rPr>
                <w:rFonts w:hint="eastAsia" w:ascii="Times New Roman" w:hAnsi="Times New Roman" w:eastAsia="宋体" w:cs="Times New Roman"/>
                <w:color w:val="auto"/>
                <w:sz w:val="21"/>
                <w:szCs w:val="21"/>
                <w:lang w:val="en-US" w:eastAsia="zh-CN"/>
              </w:rPr>
              <w:t>逸散扬尘</w:t>
            </w:r>
          </w:p>
        </w:tc>
        <w:tc>
          <w:tcPr>
            <w:tcW w:w="1017" w:type="pct"/>
            <w:tcBorders>
              <w:tl2br w:val="nil"/>
              <w:tr2bl w:val="nil"/>
            </w:tcBorders>
            <w:noWrap w:val="0"/>
            <w:vAlign w:val="center"/>
          </w:tcPr>
          <w:p w14:paraId="1CE7A3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509" w:type="pct"/>
            <w:tcBorders>
              <w:tl2br w:val="nil"/>
              <w:tr2bl w:val="nil"/>
            </w:tcBorders>
            <w:noWrap w:val="0"/>
            <w:vAlign w:val="center"/>
          </w:tcPr>
          <w:p w14:paraId="744F3BA6">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w:t>
            </w:r>
            <w:r>
              <w:rPr>
                <w:rFonts w:hint="eastAsia" w:ascii="Times New Roman" w:hAnsi="Times New Roman" w:cs="Times New Roman"/>
                <w:color w:val="auto"/>
                <w:sz w:val="21"/>
                <w:szCs w:val="21"/>
                <w:lang w:val="en-US" w:eastAsia="zh-CN"/>
              </w:rPr>
              <w:t>阻隔</w:t>
            </w:r>
            <w:r>
              <w:rPr>
                <w:rFonts w:hint="eastAsia" w:cs="Times New Roman"/>
                <w:color w:val="auto"/>
                <w:sz w:val="21"/>
                <w:szCs w:val="21"/>
                <w:lang w:val="en-US" w:eastAsia="zh-CN"/>
              </w:rPr>
              <w:t>+喷雾降尘</w:t>
            </w:r>
          </w:p>
        </w:tc>
        <w:tc>
          <w:tcPr>
            <w:tcW w:w="1081" w:type="pct"/>
            <w:vMerge w:val="continue"/>
            <w:tcBorders>
              <w:tl2br w:val="nil"/>
              <w:tr2bl w:val="nil"/>
            </w:tcBorders>
            <w:noWrap w:val="0"/>
            <w:vAlign w:val="center"/>
          </w:tcPr>
          <w:p w14:paraId="6329EA7D">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p>
        </w:tc>
      </w:tr>
      <w:tr w14:paraId="2D61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4E2E29F2">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12BDC8F5">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药剂废气</w:t>
            </w:r>
          </w:p>
        </w:tc>
        <w:tc>
          <w:tcPr>
            <w:tcW w:w="1017" w:type="pct"/>
            <w:tcBorders>
              <w:tl2br w:val="nil"/>
              <w:tr2bl w:val="nil"/>
            </w:tcBorders>
            <w:noWrap w:val="0"/>
            <w:vAlign w:val="center"/>
          </w:tcPr>
          <w:p w14:paraId="0BD28F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恶臭</w:t>
            </w:r>
          </w:p>
        </w:tc>
        <w:tc>
          <w:tcPr>
            <w:tcW w:w="1509" w:type="pct"/>
            <w:tcBorders>
              <w:tl2br w:val="nil"/>
              <w:tr2bl w:val="nil"/>
            </w:tcBorders>
            <w:noWrap w:val="0"/>
            <w:vAlign w:val="center"/>
          </w:tcPr>
          <w:p w14:paraId="62FEE114">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加强通风</w:t>
            </w:r>
          </w:p>
        </w:tc>
        <w:tc>
          <w:tcPr>
            <w:tcW w:w="1081" w:type="pct"/>
            <w:tcBorders>
              <w:tl2br w:val="nil"/>
              <w:tr2bl w:val="nil"/>
            </w:tcBorders>
            <w:noWrap w:val="0"/>
            <w:vAlign w:val="center"/>
          </w:tcPr>
          <w:p w14:paraId="744AEA73">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《恶臭污染物排放标准》（GB14554-93）</w:t>
            </w:r>
          </w:p>
        </w:tc>
      </w:tr>
      <w:tr w14:paraId="56BE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089E23ED">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68AAFA4C">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汽车尾气</w:t>
            </w:r>
          </w:p>
        </w:tc>
        <w:tc>
          <w:tcPr>
            <w:tcW w:w="1017" w:type="pct"/>
            <w:tcBorders>
              <w:tl2br w:val="nil"/>
              <w:tr2bl w:val="nil"/>
            </w:tcBorders>
            <w:noWrap w:val="0"/>
            <w:vAlign w:val="center"/>
          </w:tcPr>
          <w:p w14:paraId="17DF0EE4">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CO、NO</w:t>
            </w:r>
            <w:r>
              <w:rPr>
                <w:rFonts w:hint="eastAsia" w:cs="Times New Roman"/>
                <w:color w:val="auto"/>
                <w:sz w:val="21"/>
                <w:szCs w:val="21"/>
                <w:lang w:val="en-US" w:eastAsia="zh-CN"/>
              </w:rPr>
              <w:t>x</w:t>
            </w:r>
            <w:r>
              <w:rPr>
                <w:rFonts w:hint="default" w:ascii="Times New Roman" w:hAnsi="Times New Roman" w:eastAsia="宋体" w:cs="Times New Roman"/>
                <w:color w:val="auto"/>
                <w:sz w:val="21"/>
                <w:szCs w:val="21"/>
                <w:lang w:val="en-US" w:eastAsia="zh-CN"/>
              </w:rPr>
              <w:t>、THC</w:t>
            </w:r>
          </w:p>
        </w:tc>
        <w:tc>
          <w:tcPr>
            <w:tcW w:w="1509" w:type="pct"/>
            <w:tcBorders>
              <w:tl2br w:val="nil"/>
              <w:tr2bl w:val="nil"/>
            </w:tcBorders>
            <w:noWrap w:val="0"/>
            <w:vAlign w:val="center"/>
          </w:tcPr>
          <w:p w14:paraId="2B186A3A">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大气稀释扩散、植物吸收</w:t>
            </w:r>
          </w:p>
        </w:tc>
        <w:tc>
          <w:tcPr>
            <w:tcW w:w="1081" w:type="pct"/>
            <w:tcBorders>
              <w:tl2br w:val="nil"/>
              <w:tr2bl w:val="nil"/>
            </w:tcBorders>
            <w:noWrap w:val="0"/>
            <w:vAlign w:val="center"/>
          </w:tcPr>
          <w:p w14:paraId="74E1E589">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DA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jc w:val="center"/>
        </w:trPr>
        <w:tc>
          <w:tcPr>
            <w:tcW w:w="497" w:type="pct"/>
            <w:vMerge w:val="restart"/>
            <w:tcBorders>
              <w:tl2br w:val="nil"/>
              <w:tr2bl w:val="nil"/>
            </w:tcBorders>
            <w:noWrap w:val="0"/>
            <w:vAlign w:val="center"/>
          </w:tcPr>
          <w:p w14:paraId="2486CB4A">
            <w:pPr>
              <w:pStyle w:val="30"/>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894" w:type="pct"/>
            <w:tcBorders>
              <w:tl2br w:val="nil"/>
              <w:tr2bl w:val="nil"/>
            </w:tcBorders>
            <w:noWrap w:val="0"/>
            <w:vAlign w:val="center"/>
          </w:tcPr>
          <w:p w14:paraId="2CDBAEE8">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初期雨水</w:t>
            </w:r>
          </w:p>
        </w:tc>
        <w:tc>
          <w:tcPr>
            <w:tcW w:w="1017" w:type="pct"/>
            <w:tcBorders>
              <w:tl2br w:val="nil"/>
              <w:tr2bl w:val="nil"/>
            </w:tcBorders>
            <w:noWrap w:val="0"/>
            <w:vAlign w:val="center"/>
          </w:tcPr>
          <w:p w14:paraId="5FD9CA4E">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09" w:type="pct"/>
            <w:tcBorders>
              <w:tl2br w:val="nil"/>
              <w:tr2bl w:val="nil"/>
            </w:tcBorders>
            <w:noWrap w:val="0"/>
            <w:vAlign w:val="center"/>
          </w:tcPr>
          <w:p w14:paraId="089D856B">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依托厂区</w:t>
            </w:r>
            <w:r>
              <w:rPr>
                <w:rFonts w:hint="eastAsia" w:cs="Times New Roman"/>
                <w:color w:val="auto"/>
                <w:sz w:val="21"/>
                <w:szCs w:val="21"/>
                <w:lang w:val="en-US" w:eastAsia="zh-CN"/>
              </w:rPr>
              <w:t>初期雨水收集池（4388m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，收集</w:t>
            </w:r>
            <w:r>
              <w:rPr>
                <w:rFonts w:hint="eastAsia" w:cs="Times New Roman"/>
                <w:color w:val="auto"/>
                <w:sz w:val="21"/>
                <w:szCs w:val="21"/>
                <w:lang w:val="en-US" w:eastAsia="zh-CN"/>
              </w:rPr>
              <w:t>处理后后作为厂区项目生产补充水，不外排。</w:t>
            </w:r>
          </w:p>
        </w:tc>
        <w:tc>
          <w:tcPr>
            <w:tcW w:w="1081" w:type="pct"/>
            <w:tcBorders>
              <w:tl2br w:val="nil"/>
              <w:tr2bl w:val="nil"/>
            </w:tcBorders>
            <w:noWrap w:val="0"/>
            <w:vAlign w:val="center"/>
          </w:tcPr>
          <w:p w14:paraId="63C45330">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14:paraId="1B57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vMerge w:val="continue"/>
            <w:tcBorders>
              <w:tl2br w:val="nil"/>
              <w:tr2bl w:val="nil"/>
            </w:tcBorders>
            <w:noWrap w:val="0"/>
            <w:vAlign w:val="center"/>
          </w:tcPr>
          <w:p w14:paraId="1F316C98">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p>
        </w:tc>
        <w:tc>
          <w:tcPr>
            <w:tcW w:w="894" w:type="pct"/>
            <w:tcBorders>
              <w:tl2br w:val="nil"/>
              <w:tr2bl w:val="nil"/>
            </w:tcBorders>
            <w:noWrap w:val="0"/>
            <w:vAlign w:val="center"/>
          </w:tcPr>
          <w:p w14:paraId="48E40489">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生产废水</w:t>
            </w:r>
          </w:p>
        </w:tc>
        <w:tc>
          <w:tcPr>
            <w:tcW w:w="1017" w:type="pct"/>
            <w:tcBorders>
              <w:tl2br w:val="nil"/>
              <w:tr2bl w:val="nil"/>
            </w:tcBorders>
            <w:noWrap w:val="0"/>
            <w:vAlign w:val="center"/>
          </w:tcPr>
          <w:p w14:paraId="2D35128F">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r>
              <w:rPr>
                <w:rFonts w:hint="eastAsia" w:cs="Times New Roman"/>
                <w:color w:val="auto"/>
                <w:sz w:val="21"/>
                <w:szCs w:val="21"/>
                <w:lang w:val="en-US" w:eastAsia="zh-CN"/>
              </w:rPr>
              <w:t>重金属</w:t>
            </w:r>
          </w:p>
        </w:tc>
        <w:tc>
          <w:tcPr>
            <w:tcW w:w="1509" w:type="pct"/>
            <w:tcBorders>
              <w:tl2br w:val="nil"/>
              <w:tr2bl w:val="nil"/>
            </w:tcBorders>
            <w:noWrap w:val="0"/>
            <w:vAlign w:val="center"/>
          </w:tcPr>
          <w:p w14:paraId="0BDB5CC0">
            <w:pPr>
              <w:keepNext w:val="0"/>
              <w:keepLines w:val="0"/>
              <w:widowControl/>
              <w:suppressLineNumbers w:val="0"/>
              <w:jc w:val="left"/>
              <w:rPr>
                <w:rFonts w:hint="default" w:ascii="Times New Roman" w:hAnsi="Times New Roman" w:eastAsia="宋体" w:cs="Times New Roman"/>
                <w:color w:val="auto"/>
                <w:sz w:val="21"/>
                <w:szCs w:val="21"/>
                <w:lang w:val="en-US" w:eastAsia="zh-CN"/>
              </w:rPr>
            </w:pPr>
            <w:r>
              <w:rPr>
                <w:rFonts w:hint="eastAsia" w:cs="Times New Roman"/>
                <w:color w:val="000000"/>
                <w:kern w:val="0"/>
                <w:sz w:val="21"/>
                <w:szCs w:val="21"/>
                <w:lang w:val="en-US" w:eastAsia="zh-CN" w:bidi="ar"/>
              </w:rPr>
              <w:t>铜精矿回水和铁精矿回水</w:t>
            </w:r>
            <w:r>
              <w:rPr>
                <w:rFonts w:hint="eastAsia" w:ascii="Times New Roman" w:hAnsi="Times New Roman" w:eastAsia="宋体" w:cs="Times New Roman"/>
                <w:color w:val="000000"/>
                <w:kern w:val="0"/>
                <w:sz w:val="21"/>
                <w:szCs w:val="21"/>
                <w:lang w:val="en-US" w:eastAsia="zh-CN" w:bidi="ar"/>
              </w:rPr>
              <w:t>依托</w:t>
            </w:r>
            <w:r>
              <w:rPr>
                <w:rFonts w:hint="default" w:ascii="Times New Roman" w:hAnsi="Times New Roman" w:eastAsia="宋体" w:cs="Times New Roman"/>
                <w:color w:val="000000"/>
                <w:kern w:val="0"/>
                <w:sz w:val="21"/>
                <w:szCs w:val="21"/>
                <w:lang w:val="en-US" w:eastAsia="zh-CN" w:bidi="ar"/>
              </w:rPr>
              <w:t>现有</w:t>
            </w:r>
            <w:r>
              <w:rPr>
                <w:rFonts w:hint="eastAsia" w:cs="Times New Roman"/>
                <w:color w:val="000000"/>
                <w:kern w:val="0"/>
                <w:sz w:val="21"/>
                <w:szCs w:val="21"/>
                <w:lang w:val="en-US" w:eastAsia="zh-CN" w:bidi="ar"/>
              </w:rPr>
              <w:t>的</w:t>
            </w:r>
            <w:r>
              <w:rPr>
                <w:rFonts w:hint="default" w:ascii="Times New Roman" w:hAnsi="Times New Roman" w:eastAsia="宋体" w:cs="Times New Roman"/>
                <w:color w:val="000000"/>
                <w:kern w:val="0"/>
                <w:sz w:val="21"/>
                <w:szCs w:val="21"/>
                <w:lang w:val="en-US" w:eastAsia="zh-CN" w:bidi="ar"/>
              </w:rPr>
              <w:t>1个693m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的回水池</w:t>
            </w:r>
            <w:r>
              <w:rPr>
                <w:rFonts w:hint="eastAsia" w:cs="Times New Roman"/>
                <w:color w:val="000000"/>
                <w:kern w:val="0"/>
                <w:sz w:val="21"/>
                <w:szCs w:val="21"/>
                <w:lang w:val="en-US" w:eastAsia="zh-CN" w:bidi="ar"/>
              </w:rPr>
              <w:t>，尾矿回收依托现有的</w:t>
            </w:r>
            <w:r>
              <w:rPr>
                <w:rFonts w:hint="default" w:ascii="Times New Roman" w:hAnsi="Times New Roman" w:eastAsia="宋体" w:cs="Times New Roman"/>
                <w:color w:val="000000"/>
                <w:kern w:val="0"/>
                <w:sz w:val="21"/>
                <w:szCs w:val="21"/>
                <w:lang w:val="en-US" w:eastAsia="zh-CN" w:bidi="ar"/>
              </w:rPr>
              <w:t>1个122.5m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回水池，</w:t>
            </w:r>
            <w:r>
              <w:rPr>
                <w:rFonts w:hint="eastAsia" w:cs="Times New Roman"/>
                <w:color w:val="000000"/>
                <w:kern w:val="0"/>
                <w:sz w:val="21"/>
                <w:szCs w:val="21"/>
                <w:lang w:val="en-US" w:eastAsia="zh-CN" w:bidi="ar"/>
              </w:rPr>
              <w:t>回水从浓缩池溢流至回收池，</w:t>
            </w:r>
            <w:r>
              <w:rPr>
                <w:rFonts w:hint="eastAsia" w:ascii="Times New Roman" w:hAnsi="Times New Roman" w:eastAsia="宋体" w:cs="Times New Roman"/>
                <w:color w:val="auto"/>
                <w:kern w:val="2"/>
                <w:sz w:val="21"/>
                <w:szCs w:val="21"/>
                <w:lang w:val="en-US" w:eastAsia="zh-CN" w:bidi="ar-SA"/>
              </w:rPr>
              <w:t>再由厂前现有回水泵站内的回水泵打回磨浮车间循环利用</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000000"/>
                <w:kern w:val="0"/>
                <w:sz w:val="21"/>
                <w:szCs w:val="21"/>
                <w:lang w:val="en-US" w:eastAsia="zh-CN" w:bidi="ar"/>
              </w:rPr>
              <w:t>不外排；缓冷场</w:t>
            </w:r>
            <w:r>
              <w:rPr>
                <w:rFonts w:hint="eastAsia" w:cs="Times New Roman"/>
                <w:color w:val="000000"/>
                <w:kern w:val="0"/>
                <w:sz w:val="21"/>
                <w:szCs w:val="21"/>
                <w:lang w:val="en-US" w:eastAsia="zh-CN" w:bidi="ar"/>
              </w:rPr>
              <w:t>废水</w:t>
            </w:r>
            <w:r>
              <w:rPr>
                <w:rFonts w:hint="default" w:ascii="Times New Roman" w:hAnsi="Times New Roman" w:eastAsia="宋体" w:cs="Times New Roman"/>
                <w:color w:val="000000"/>
                <w:kern w:val="0"/>
                <w:sz w:val="21"/>
                <w:szCs w:val="21"/>
                <w:lang w:val="en-US" w:eastAsia="zh-CN" w:bidi="ar"/>
              </w:rPr>
              <w:t>依托现有1个600m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缓冷场循环水池对废水进行收集</w:t>
            </w:r>
            <w:r>
              <w:rPr>
                <w:rFonts w:hint="eastAsia" w:cs="Times New Roman"/>
                <w:color w:val="000000"/>
                <w:kern w:val="0"/>
                <w:sz w:val="21"/>
                <w:szCs w:val="21"/>
                <w:lang w:val="en-US" w:eastAsia="zh-CN" w:bidi="ar"/>
              </w:rPr>
              <w:t>加入絮凝剂处理后回用于缓冷工序，不外排</w:t>
            </w:r>
            <w:r>
              <w:rPr>
                <w:rFonts w:hint="eastAsia" w:ascii="Times New Roman" w:hAnsi="Times New Roman" w:eastAsia="宋体" w:cs="Times New Roman"/>
                <w:color w:val="000000"/>
                <w:kern w:val="0"/>
                <w:sz w:val="21"/>
                <w:szCs w:val="21"/>
                <w:lang w:val="en-US" w:eastAsia="zh-CN" w:bidi="ar"/>
              </w:rPr>
              <w:t>。</w:t>
            </w:r>
          </w:p>
        </w:tc>
        <w:tc>
          <w:tcPr>
            <w:tcW w:w="1081" w:type="pct"/>
            <w:tcBorders>
              <w:tl2br w:val="nil"/>
              <w:tr2bl w:val="nil"/>
            </w:tcBorders>
            <w:noWrap w:val="0"/>
            <w:vAlign w:val="center"/>
          </w:tcPr>
          <w:p w14:paraId="5A1CC172">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kern w:val="0"/>
                <w:sz w:val="21"/>
                <w:szCs w:val="21"/>
                <w:lang w:val="en-US" w:eastAsia="zh-CN" w:bidi="ar"/>
              </w:rPr>
              <w:t>《铜选矿厂废水回收利用规范》（GB/T29773</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2013）回水水质标准</w:t>
            </w:r>
          </w:p>
        </w:tc>
      </w:tr>
      <w:tr w14:paraId="1155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tcBorders>
              <w:tl2br w:val="nil"/>
              <w:tr2bl w:val="nil"/>
            </w:tcBorders>
            <w:noWrap w:val="0"/>
            <w:vAlign w:val="center"/>
          </w:tcPr>
          <w:p w14:paraId="56CE4757">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894" w:type="pct"/>
            <w:tcBorders>
              <w:tl2br w:val="nil"/>
              <w:tr2bl w:val="nil"/>
            </w:tcBorders>
            <w:noWrap w:val="0"/>
            <w:vAlign w:val="center"/>
          </w:tcPr>
          <w:p w14:paraId="7260849E">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破碎机、振动筛、球磨机、浮选机、</w:t>
            </w:r>
            <w:r>
              <w:rPr>
                <w:rFonts w:hint="eastAsia" w:ascii="Times New Roman" w:hAnsi="Times New Roman" w:eastAsia="宋体" w:cs="Times New Roman"/>
                <w:color w:val="auto"/>
                <w:sz w:val="21"/>
                <w:szCs w:val="21"/>
                <w:lang w:val="en-US" w:eastAsia="zh-CN"/>
              </w:rPr>
              <w:t>风机、</w:t>
            </w:r>
            <w:r>
              <w:rPr>
                <w:rFonts w:hint="default" w:ascii="Times New Roman" w:hAnsi="Times New Roman" w:eastAsia="宋体" w:cs="Times New Roman"/>
                <w:color w:val="auto"/>
                <w:sz w:val="21"/>
                <w:szCs w:val="21"/>
              </w:rPr>
              <w:t>离心风机、渣浆泵</w:t>
            </w:r>
            <w:r>
              <w:rPr>
                <w:rFonts w:hint="default" w:ascii="Times New Roman" w:hAnsi="Times New Roman" w:eastAsia="宋体" w:cs="Times New Roman"/>
                <w:color w:val="auto"/>
                <w:sz w:val="21"/>
                <w:szCs w:val="21"/>
                <w:lang w:val="en-US" w:eastAsia="zh-CN"/>
              </w:rPr>
              <w:t>等设备</w:t>
            </w:r>
            <w:r>
              <w:rPr>
                <w:rFonts w:hint="default" w:ascii="Times New Roman" w:hAnsi="Times New Roman" w:eastAsia="宋体" w:cs="Times New Roman"/>
                <w:color w:val="auto"/>
                <w:sz w:val="21"/>
                <w:szCs w:val="21"/>
              </w:rPr>
              <w:t>噪声</w:t>
            </w:r>
          </w:p>
        </w:tc>
        <w:tc>
          <w:tcPr>
            <w:tcW w:w="1017" w:type="pct"/>
            <w:tcBorders>
              <w:tl2br w:val="nil"/>
              <w:tr2bl w:val="nil"/>
            </w:tcBorders>
            <w:noWrap w:val="0"/>
            <w:vAlign w:val="center"/>
          </w:tcPr>
          <w:p w14:paraId="3045D4E2">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Leq（dB（A））</w:t>
            </w:r>
          </w:p>
        </w:tc>
        <w:tc>
          <w:tcPr>
            <w:tcW w:w="1509" w:type="pct"/>
            <w:tcBorders>
              <w:tl2br w:val="nil"/>
              <w:tr2bl w:val="nil"/>
            </w:tcBorders>
            <w:noWrap w:val="0"/>
            <w:vAlign w:val="center"/>
          </w:tcPr>
          <w:p w14:paraId="239E84A7">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选用低噪声设备、</w:t>
            </w:r>
            <w:r>
              <w:rPr>
                <w:rFonts w:hint="default" w:ascii="Times New Roman" w:hAnsi="Times New Roman" w:eastAsia="宋体" w:cs="Times New Roman"/>
                <w:color w:val="auto"/>
                <w:sz w:val="21"/>
                <w:szCs w:val="21"/>
              </w:rPr>
              <w:t>规范操作、厂房隔声、基础减振、消声</w:t>
            </w:r>
          </w:p>
        </w:tc>
        <w:tc>
          <w:tcPr>
            <w:tcW w:w="1081" w:type="pct"/>
            <w:tcBorders>
              <w:tl2br w:val="nil"/>
              <w:tr2bl w:val="nil"/>
            </w:tcBorders>
            <w:noWrap w:val="0"/>
            <w:vAlign w:val="center"/>
          </w:tcPr>
          <w:p w14:paraId="4BC772F7">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类标准限值</w:t>
            </w:r>
          </w:p>
        </w:tc>
      </w:tr>
      <w:tr w14:paraId="3AA7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tcBorders>
              <w:tl2br w:val="nil"/>
              <w:tr2bl w:val="nil"/>
            </w:tcBorders>
            <w:noWrap w:val="0"/>
            <w:vAlign w:val="center"/>
          </w:tcPr>
          <w:p w14:paraId="28FAE04B">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4502" w:type="pct"/>
            <w:gridSpan w:val="4"/>
            <w:tcBorders>
              <w:tl2br w:val="nil"/>
              <w:tr2bl w:val="nil"/>
            </w:tcBorders>
            <w:noWrap w:val="0"/>
            <w:vAlign w:val="center"/>
          </w:tcPr>
          <w:p w14:paraId="5B76CEA5">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）尾渣</w:t>
            </w:r>
            <w:r>
              <w:rPr>
                <w:rFonts w:hint="eastAsia" w:ascii="Times New Roman" w:hAnsi="Times New Roman" w:eastAsia="宋体" w:cs="Times New Roman"/>
                <w:color w:val="auto"/>
                <w:sz w:val="24"/>
                <w:szCs w:val="24"/>
                <w:lang w:val="en-US" w:eastAsia="zh-CN"/>
              </w:rPr>
              <w:t>外售给外售给易门六街二台坡选矿有限公司、海邦矿业（峨山）有限公司以及易门洪斌经贸有限公司进行综合利用</w:t>
            </w:r>
            <w:r>
              <w:rPr>
                <w:rFonts w:hint="default" w:ascii="Times New Roman" w:hAnsi="Times New Roman" w:eastAsia="宋体" w:cs="Times New Roman"/>
                <w:color w:val="auto"/>
                <w:sz w:val="24"/>
                <w:szCs w:val="24"/>
                <w:lang w:eastAsia="zh-CN"/>
              </w:rPr>
              <w:t>；</w:t>
            </w:r>
          </w:p>
          <w:p w14:paraId="07B99082">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回水工艺沉淀池污泥由渣浆泵泵入项目浮选工段进行再次浮选</w:t>
            </w:r>
            <w:r>
              <w:rPr>
                <w:rFonts w:hint="default" w:ascii="Times New Roman" w:hAnsi="Times New Roman" w:eastAsia="宋体" w:cs="Times New Roman"/>
                <w:color w:val="auto"/>
                <w:sz w:val="24"/>
                <w:szCs w:val="24"/>
                <w:lang w:eastAsia="zh-CN"/>
              </w:rPr>
              <w:t>；</w:t>
            </w:r>
          </w:p>
          <w:p w14:paraId="58723389">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除尘灰收集后</w:t>
            </w:r>
            <w:r>
              <w:rPr>
                <w:rFonts w:hint="eastAsia" w:cs="Times New Roman"/>
                <w:color w:val="auto"/>
                <w:sz w:val="24"/>
                <w:szCs w:val="24"/>
                <w:lang w:val="en-US" w:eastAsia="zh-CN"/>
              </w:rPr>
              <w:t>作为原料进入浮选工艺</w:t>
            </w:r>
            <w:r>
              <w:rPr>
                <w:rFonts w:hint="default" w:ascii="Times New Roman" w:hAnsi="Times New Roman" w:eastAsia="宋体" w:cs="Times New Roman"/>
                <w:color w:val="auto"/>
                <w:sz w:val="24"/>
                <w:szCs w:val="24"/>
                <w:lang w:eastAsia="zh-CN"/>
              </w:rPr>
              <w:t>；</w:t>
            </w:r>
          </w:p>
          <w:p w14:paraId="68DD136A">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设备维修保养产生的废</w:t>
            </w:r>
            <w:r>
              <w:rPr>
                <w:rFonts w:hint="eastAsia" w:cs="Times New Roman"/>
                <w:color w:val="auto"/>
                <w:sz w:val="24"/>
                <w:szCs w:val="24"/>
                <w:lang w:val="en-US" w:eastAsia="zh-CN"/>
              </w:rPr>
              <w:t>润滑油和废油桶</w:t>
            </w:r>
            <w:r>
              <w:rPr>
                <w:rFonts w:hint="default" w:ascii="Times New Roman" w:hAnsi="Times New Roman" w:eastAsia="宋体" w:cs="Times New Roman"/>
                <w:color w:val="auto"/>
                <w:sz w:val="24"/>
                <w:szCs w:val="24"/>
              </w:rPr>
              <w:t>依托公司厂区</w:t>
            </w:r>
            <w:r>
              <w:rPr>
                <w:rFonts w:hint="eastAsia" w:cs="Times New Roman"/>
                <w:color w:val="auto"/>
                <w:sz w:val="24"/>
                <w:szCs w:val="24"/>
                <w:lang w:val="en-US" w:eastAsia="zh-CN"/>
              </w:rPr>
              <w:t>危险废物贮存库</w:t>
            </w:r>
            <w:r>
              <w:rPr>
                <w:rFonts w:hint="default" w:ascii="Times New Roman" w:hAnsi="Times New Roman" w:eastAsia="宋体" w:cs="Times New Roman"/>
                <w:color w:val="auto"/>
                <w:sz w:val="24"/>
                <w:szCs w:val="24"/>
              </w:rPr>
              <w:t>暂存，定期交由有</w:t>
            </w:r>
            <w:r>
              <w:rPr>
                <w:rFonts w:hint="eastAsia" w:ascii="Times New Roman" w:hAnsi="Times New Roman" w:eastAsia="宋体" w:cs="Times New Roman"/>
                <w:color w:val="auto"/>
                <w:sz w:val="24"/>
                <w:szCs w:val="24"/>
                <w:lang w:val="en-US" w:eastAsia="zh-CN"/>
              </w:rPr>
              <w:t>云南广莱再生资源回收有限公司</w:t>
            </w:r>
            <w:r>
              <w:rPr>
                <w:rFonts w:hint="eastAsia" w:eastAsia="宋体" w:cs="Times New Roman"/>
                <w:color w:val="auto"/>
                <w:sz w:val="24"/>
                <w:szCs w:val="24"/>
                <w:lang w:val="en-US" w:eastAsia="zh-CN"/>
              </w:rPr>
              <w:t>清运处置</w:t>
            </w:r>
            <w:r>
              <w:rPr>
                <w:rFonts w:hint="default" w:ascii="Times New Roman" w:hAnsi="Times New Roman" w:eastAsia="宋体" w:cs="Times New Roman"/>
                <w:color w:val="auto"/>
                <w:sz w:val="24"/>
                <w:szCs w:val="24"/>
              </w:rPr>
              <w:t>；</w:t>
            </w:r>
          </w:p>
          <w:p w14:paraId="5C02ED6C">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生活垃圾依托公司厂区生活垃圾收集设施，统一收集后交由当地环卫部门处理。</w:t>
            </w:r>
          </w:p>
        </w:tc>
      </w:tr>
      <w:tr w14:paraId="0083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l2br w:val="nil"/>
              <w:tr2bl w:val="nil"/>
            </w:tcBorders>
            <w:noWrap w:val="0"/>
            <w:vAlign w:val="center"/>
          </w:tcPr>
          <w:p w14:paraId="6028FB53">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4502" w:type="pct"/>
            <w:gridSpan w:val="4"/>
            <w:tcBorders>
              <w:tl2br w:val="nil"/>
              <w:tr2bl w:val="nil"/>
            </w:tcBorders>
            <w:noWrap w:val="0"/>
            <w:vAlign w:val="center"/>
          </w:tcPr>
          <w:p w14:paraId="2555921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渣选区域已进行了分区防渗，本项目在车间内增加设备，不会破坏已有的防渗结构，磨浮车间、浓密池、回水池、事故水池、尾渣仓以、污水收集系统</w:t>
            </w:r>
            <w:r>
              <w:rPr>
                <w:rFonts w:hint="eastAsia" w:cs="Times New Roman"/>
                <w:b w:val="0"/>
                <w:bCs w:val="0"/>
                <w:color w:val="auto"/>
                <w:sz w:val="24"/>
                <w:szCs w:val="24"/>
                <w:lang w:val="en-US" w:eastAsia="zh-CN"/>
              </w:rPr>
              <w:t>以及依托的</w:t>
            </w:r>
            <w:r>
              <w:rPr>
                <w:rFonts w:hint="default" w:ascii="Times New Roman" w:hAnsi="Times New Roman" w:eastAsia="宋体" w:cs="Times New Roman"/>
                <w:b w:val="0"/>
                <w:bCs w:val="0"/>
                <w:color w:val="auto"/>
                <w:sz w:val="24"/>
                <w:szCs w:val="24"/>
                <w:lang w:val="en-US" w:eastAsia="zh-CN"/>
              </w:rPr>
              <w:t>5＃危险废物贮存库等工段进行重点防渗。</w:t>
            </w:r>
          </w:p>
          <w:p w14:paraId="726B4DE3">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sz w:val="24"/>
                <w:szCs w:val="24"/>
                <w:lang w:val="en-US" w:eastAsia="zh-CN"/>
              </w:rPr>
              <w:t>本次新建塔磨机车间，应该采取重点防渗，其防渗能力等效于黏土层Mb≥6.0m、K≤1×10</w:t>
            </w:r>
            <w:r>
              <w:rPr>
                <w:rFonts w:hint="default" w:ascii="Times New Roman" w:hAnsi="Times New Roman" w:eastAsia="宋体" w:cs="Times New Roman"/>
                <w:b w:val="0"/>
                <w:bCs w:val="0"/>
                <w:color w:val="auto"/>
                <w:sz w:val="24"/>
                <w:szCs w:val="24"/>
                <w:vertAlign w:val="superscript"/>
                <w:lang w:val="en-US" w:eastAsia="zh-CN"/>
              </w:rPr>
              <w:t>-7</w:t>
            </w:r>
            <w:r>
              <w:rPr>
                <w:rFonts w:hint="default" w:ascii="Times New Roman" w:hAnsi="Times New Roman" w:eastAsia="宋体" w:cs="Times New Roman"/>
                <w:b w:val="0"/>
                <w:bCs w:val="0"/>
                <w:color w:val="auto"/>
                <w:sz w:val="24"/>
                <w:szCs w:val="24"/>
                <w:lang w:val="en-US" w:eastAsia="zh-CN"/>
              </w:rPr>
              <w:t>cm/s的防渗能力</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；或参照GB16889执行。</w:t>
            </w:r>
          </w:p>
          <w:p w14:paraId="5DA16A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缓冷场、铜冶炼渣堆场、铜冶炼渣矿仓、粉矿仓、铜精矿仓、尾矿仓以及铁精矿仓存点建设需符合《一般工业固体废物贮存和填埋污染控制标准》（GB18599-2020）Ⅱ类一般工业固体废物的要求：</w:t>
            </w:r>
          </w:p>
          <w:p w14:paraId="089C3A8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a）人工合成材料应采用高密度聚乙烯膜，厚度不小于1.5mm，并满足GB/T 17643规定的技术指标要求。采用其他人工合成材料的，其防渗性能至少相当于1.5mm高密度聚乙烯膜的防渗性能。</w:t>
            </w:r>
          </w:p>
          <w:p w14:paraId="44852E0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b）粘土衬层厚度应不小于0.75m，且经压实、人工改性等措施处理后的饱和渗透系数不应大于1.0×10</w:t>
            </w:r>
            <w:r>
              <w:rPr>
                <w:rFonts w:hint="default" w:ascii="Times New Roman" w:hAnsi="Times New Roman" w:eastAsia="宋体" w:cs="Times New Roman"/>
                <w:color w:val="auto"/>
                <w:kern w:val="2"/>
                <w:sz w:val="24"/>
                <w:szCs w:val="24"/>
                <w:vertAlign w:val="superscript"/>
                <w:lang w:val="en-US" w:eastAsia="zh-CN" w:bidi="ar-SA"/>
              </w:rPr>
              <w:t>-7</w:t>
            </w:r>
            <w:r>
              <w:rPr>
                <w:rFonts w:hint="default" w:ascii="Times New Roman" w:hAnsi="Times New Roman" w:eastAsia="宋体" w:cs="Times New Roman"/>
                <w:color w:val="auto"/>
                <w:kern w:val="2"/>
                <w:sz w:val="24"/>
                <w:szCs w:val="24"/>
                <w:lang w:val="en-US" w:eastAsia="zh-CN" w:bidi="ar-SA"/>
              </w:rPr>
              <w:t>cm/s。使用其他粘土类防渗衬层材料时，应具有同等以上隔水效力。</w:t>
            </w:r>
          </w:p>
          <w:p w14:paraId="145AB60C">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生产车间其他区域和厂内道路等区域为简单防渗区，进行一般地面硬化。</w:t>
            </w:r>
          </w:p>
        </w:tc>
      </w:tr>
      <w:tr w14:paraId="01F8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tcBorders>
              <w:tl2br w:val="nil"/>
              <w:tr2bl w:val="nil"/>
            </w:tcBorders>
            <w:noWrap w:val="0"/>
            <w:vAlign w:val="center"/>
          </w:tcPr>
          <w:p w14:paraId="6F9FCF76">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4502" w:type="pct"/>
            <w:gridSpan w:val="4"/>
            <w:tcBorders>
              <w:tl2br w:val="nil"/>
              <w:tr2bl w:val="nil"/>
            </w:tcBorders>
            <w:noWrap w:val="0"/>
            <w:vAlign w:val="center"/>
          </w:tcPr>
          <w:p w14:paraId="12698AD3">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生产过程中，项目产生并排放一定量的粉尘，对</w:t>
            </w:r>
            <w:r>
              <w:rPr>
                <w:rFonts w:hint="default" w:ascii="Times New Roman" w:hAnsi="Times New Roman" w:eastAsia="宋体" w:cs="Times New Roman"/>
                <w:color w:val="auto"/>
                <w:sz w:val="24"/>
                <w:szCs w:val="24"/>
                <w:lang w:val="en-US" w:eastAsia="zh-CN"/>
              </w:rPr>
              <w:t>周边环境存在一定的影响</w:t>
            </w:r>
            <w:r>
              <w:rPr>
                <w:rFonts w:hint="default" w:ascii="Times New Roman" w:hAnsi="Times New Roman" w:eastAsia="宋体" w:cs="Times New Roman"/>
                <w:color w:val="auto"/>
                <w:sz w:val="24"/>
                <w:szCs w:val="24"/>
              </w:rPr>
              <w:t>，本项目必须确保废气达标排放。</w:t>
            </w:r>
          </w:p>
        </w:tc>
      </w:tr>
      <w:tr w14:paraId="39DA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tcBorders>
              <w:tl2br w:val="nil"/>
              <w:tr2bl w:val="nil"/>
            </w:tcBorders>
            <w:noWrap w:val="0"/>
            <w:vAlign w:val="center"/>
          </w:tcPr>
          <w:p w14:paraId="490F016F">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环境风险防范措施</w:t>
            </w:r>
          </w:p>
        </w:tc>
        <w:tc>
          <w:tcPr>
            <w:tcW w:w="4502" w:type="pct"/>
            <w:gridSpan w:val="4"/>
            <w:tcBorders>
              <w:tl2br w:val="nil"/>
              <w:tr2bl w:val="nil"/>
            </w:tcBorders>
            <w:noWrap w:val="0"/>
            <w:vAlign w:val="center"/>
          </w:tcPr>
          <w:p w14:paraId="36939357">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w:t>
            </w:r>
            <w:r>
              <w:rPr>
                <w:rFonts w:hint="eastAsia" w:cs="Times New Roman"/>
                <w:color w:val="auto"/>
                <w:sz w:val="24"/>
                <w:szCs w:val="24"/>
                <w:highlight w:val="none"/>
                <w:lang w:val="en-US" w:eastAsia="zh-CN"/>
              </w:rPr>
              <w:t>润滑</w:t>
            </w:r>
            <w:r>
              <w:rPr>
                <w:rFonts w:hint="default" w:ascii="Times New Roman" w:hAnsi="Times New Roman" w:eastAsia="宋体" w:cs="Times New Roman"/>
                <w:color w:val="auto"/>
                <w:sz w:val="24"/>
                <w:szCs w:val="24"/>
                <w:highlight w:val="none"/>
                <w:lang w:val="en-US" w:eastAsia="zh-CN"/>
              </w:rPr>
              <w:t>油环境风险防范措施</w:t>
            </w:r>
          </w:p>
          <w:p w14:paraId="1C752043">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①定期检查检修生产设备，防止生产过程中物料发生跑冒滴漏；由专人负责环境保护工作，每天对</w:t>
            </w:r>
            <w:r>
              <w:rPr>
                <w:rFonts w:hint="eastAsia" w:cs="Times New Roman"/>
                <w:color w:val="auto"/>
                <w:sz w:val="24"/>
                <w:szCs w:val="24"/>
                <w:highlight w:val="none"/>
                <w:lang w:val="en-US" w:eastAsia="zh-CN"/>
              </w:rPr>
              <w:t>危险废物贮存库</w:t>
            </w:r>
            <w:r>
              <w:rPr>
                <w:rFonts w:hint="default" w:ascii="Times New Roman" w:hAnsi="Times New Roman" w:eastAsia="宋体" w:cs="Times New Roman"/>
                <w:color w:val="auto"/>
                <w:sz w:val="24"/>
                <w:szCs w:val="24"/>
                <w:highlight w:val="none"/>
              </w:rPr>
              <w:t>进行检查，定期维护，制定环保设施运行维护台账，定期委托有资质单位对项目外排废气进行检测，确保各项污染物达标排放。</w:t>
            </w:r>
          </w:p>
          <w:p w14:paraId="197B29F5">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②对装有危废的容器进行定期检查，容器泄漏损坏时必须立即处理，并将危废装入完好容器内。同时危险废物储存区设置警示标牌。</w:t>
            </w:r>
          </w:p>
          <w:p w14:paraId="36F08C4F">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所有包装袋、桶必须贴上危险废物标签，危险废物标签上文字字体为黑体、底色为醒目的桔黄色，稳妥贴附在包装袋、桶适当位置，使其清晰易读。危险废物标签要提供下列说明：“危险废物”字样、危险废物产生单位名称、联系人、联系电话、主要化学成分或商品名称、危险类别、安全措施等。</w:t>
            </w:r>
          </w:p>
          <w:p w14:paraId="47611159">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bCs/>
                <w:color w:val="auto"/>
                <w:sz w:val="24"/>
                <w:szCs w:val="24"/>
                <w:highlight w:val="none"/>
              </w:rPr>
              <w:t>加强安全管理，制定突发环境事件应急预案，设置应急领导小组，按照应急预</w:t>
            </w:r>
            <w:r>
              <w:rPr>
                <w:rFonts w:hint="default" w:ascii="Times New Roman" w:hAnsi="Times New Roman" w:eastAsia="宋体" w:cs="Times New Roman"/>
                <w:color w:val="auto"/>
                <w:sz w:val="24"/>
                <w:szCs w:val="24"/>
                <w:highlight w:val="none"/>
              </w:rPr>
              <w:t>案要求配备应急设施和资源，落实风险防范和应急处置措施。</w:t>
            </w:r>
          </w:p>
          <w:p w14:paraId="0ABA45EB">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2、选矿药剂环境风险防范措施</w:t>
            </w:r>
          </w:p>
          <w:p w14:paraId="3C1BE9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硫化钠库应遵守防火、防爆等安全规范、标准的规定，建筑物按《建筑防火设计规范》的规定进行设计。根据火灾危险性等级和防火、防爆要求，建筑物严格按耐火等级设计，必须满足建筑防火要求。硫化钠库周围设置消火栓（由给水管网直接供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、水泵结合器、灭火器，设置火灾自动报警及消防联动系统。严格按照操作规程进行卸载，轻卸轻放，严禁携带火种进入库房，库内及周围设置明显的严禁火种标志。</w:t>
            </w:r>
            <w:r>
              <w:rPr>
                <w:rFonts w:hint="default" w:ascii="Times New Roman" w:hAnsi="Times New Roman" w:eastAsia="宋体" w:cs="Times New Roman"/>
                <w:color w:val="auto"/>
                <w:sz w:val="24"/>
                <w:szCs w:val="24"/>
                <w:lang w:val="en-US" w:eastAsia="zh-CN"/>
              </w:rPr>
              <w:t>储存间</w:t>
            </w:r>
            <w:r>
              <w:rPr>
                <w:rFonts w:hint="default" w:ascii="Times New Roman" w:hAnsi="Times New Roman" w:eastAsia="宋体" w:cs="Times New Roman"/>
                <w:color w:val="auto"/>
                <w:sz w:val="24"/>
                <w:szCs w:val="24"/>
              </w:rPr>
              <w:t>采取全面通风或局部通风，使粉尘不易积聚，降低粉尘在空气中的浓度。加强对仓库、拆包、投料、输送等区域的卫生清扫力度，及时清除积聚在设备、钢架、防护栏杆、梯子、仓库屋顶、墙体等部位的粉尘。因为可燃固体与空气接触的表面积越大，其化学活性亦越大，容易燃烧并且燃烧速度也越快。电气设备和线路必须符合防火防爆要求，避免产生电气火花、电弧火花等火源。划定禁火区域，严格执行动火审批制度，在禁烟火区域设置安全标识。</w:t>
            </w:r>
          </w:p>
          <w:p w14:paraId="101CA9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储存于高燥清洁的仓间内。远离火种、热源。避免光照。包装必须密封，切勿受潮。应与氧化剂、酸类分开存放。不宜久存，以免变质。分装和搬运作业要注意个人防护。搬运时要轻装轻卸，防止包装及容器损坏。</w:t>
            </w:r>
          </w:p>
          <w:p w14:paraId="045ED0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泄漏时</w:t>
            </w:r>
            <w:r>
              <w:rPr>
                <w:rFonts w:hint="default" w:ascii="Times New Roman" w:hAnsi="Times New Roman" w:eastAsia="宋体" w:cs="Times New Roman"/>
                <w:color w:val="auto"/>
                <w:sz w:val="24"/>
                <w:szCs w:val="24"/>
              </w:rPr>
              <w:t>隔离泄漏污染区，周围设警告标志，建议应急处理人员戴好防毒面具，穿化学防护服。不要直接接触泄漏物，避免扬尘，用清洁的铲子收集于干燥净洁有盖的容器中，运至废物处理场所。也可以用大量水冲洗，经稀释的洗水放入废水系统。如大量泄漏，收集回收或无害处理后废弃。</w:t>
            </w:r>
          </w:p>
          <w:p w14:paraId="299E64FA">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为有效防范突发环境事件的发生，及时、合理处置可能发生的各类重大、特大环境污染事故，保障人民群众身心健康及正常生产、生活活动，建设单位应依据《中华人民共和国环境保护法》的规定，编写环境风险应急预案，并报当地环保部门备案。</w:t>
            </w:r>
          </w:p>
        </w:tc>
      </w:tr>
      <w:tr w14:paraId="58A3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7" w:type="pct"/>
            <w:tcBorders>
              <w:tl2br w:val="nil"/>
              <w:tr2bl w:val="nil"/>
            </w:tcBorders>
            <w:noWrap w:val="0"/>
            <w:vAlign w:val="center"/>
          </w:tcPr>
          <w:p w14:paraId="61FD13F5">
            <w:pPr>
              <w:pStyle w:val="3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其他环境管理要求</w:t>
            </w:r>
          </w:p>
        </w:tc>
        <w:tc>
          <w:tcPr>
            <w:tcW w:w="4502" w:type="pct"/>
            <w:gridSpan w:val="4"/>
            <w:tcBorders>
              <w:tl2br w:val="nil"/>
              <w:tr2bl w:val="nil"/>
            </w:tcBorders>
            <w:noWrap w:val="0"/>
            <w:vAlign w:val="center"/>
          </w:tcPr>
          <w:p w14:paraId="053CB4A7">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val="en-US" w:eastAsia="zh-CN"/>
              </w:rPr>
              <w:t>环境管理</w:t>
            </w:r>
          </w:p>
          <w:p w14:paraId="589C979A">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制定</w:t>
            </w:r>
            <w:r>
              <w:rPr>
                <w:rFonts w:hint="eastAsia" w:ascii="Times New Roman" w:hAnsi="Times New Roman" w:eastAsia="宋体" w:cs="Times New Roman"/>
                <w:color w:val="auto"/>
                <w:sz w:val="24"/>
                <w:szCs w:val="24"/>
                <w:highlight w:val="none"/>
                <w:lang w:eastAsia="zh-CN"/>
              </w:rPr>
              <w:t>各项</w:t>
            </w:r>
            <w:r>
              <w:rPr>
                <w:rFonts w:hint="default" w:ascii="Times New Roman" w:hAnsi="Times New Roman" w:eastAsia="宋体" w:cs="Times New Roman"/>
                <w:color w:val="auto"/>
                <w:sz w:val="24"/>
                <w:szCs w:val="24"/>
                <w:highlight w:val="none"/>
              </w:rPr>
              <w:t>环保设施操作规程，定期维修制度，使各项环保设施在生产过程中处于良好</w:t>
            </w:r>
            <w:r>
              <w:rPr>
                <w:rFonts w:hint="eastAsia" w:ascii="Times New Roman" w:hAnsi="Times New Roman" w:eastAsia="宋体"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运行状态</w:t>
            </w:r>
            <w:r>
              <w:rPr>
                <w:rFonts w:hint="eastAsia" w:ascii="Times New Roman" w:hAnsi="Times New Roman" w:eastAsia="宋体" w:cs="Times New Roman"/>
                <w:color w:val="auto"/>
                <w:sz w:val="24"/>
                <w:szCs w:val="24"/>
                <w:highlight w:val="none"/>
                <w:lang w:eastAsia="zh-CN"/>
              </w:rPr>
              <w:t>；</w:t>
            </w:r>
          </w:p>
          <w:p w14:paraId="3256C4CE">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加强对环保设施的运行管理，如环保设施出现故障，应立即停产检查，严禁非正常排放</w:t>
            </w:r>
            <w:r>
              <w:rPr>
                <w:rFonts w:hint="eastAsia" w:ascii="Times New Roman" w:hAnsi="Times New Roman" w:eastAsia="宋体" w:cs="Times New Roman"/>
                <w:color w:val="auto"/>
                <w:sz w:val="24"/>
                <w:szCs w:val="24"/>
                <w:highlight w:val="none"/>
                <w:lang w:eastAsia="zh-CN"/>
              </w:rPr>
              <w:t>；</w:t>
            </w:r>
          </w:p>
          <w:p w14:paraId="3AEAB327">
            <w:pPr>
              <w:spacing w:line="360" w:lineRule="auto"/>
              <w:ind w:firstLine="480" w:firstLineChars="200"/>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严格按照</w:t>
            </w:r>
            <w:r>
              <w:rPr>
                <w:rFonts w:hint="eastAsia" w:ascii="Times New Roman" w:hAnsi="Times New Roman" w:eastAsia="宋体" w:cs="Times New Roman"/>
                <w:color w:val="auto"/>
                <w:sz w:val="24"/>
                <w:szCs w:val="24"/>
                <w:highlight w:val="none"/>
                <w:lang w:val="en-US" w:eastAsia="zh-CN"/>
              </w:rPr>
              <w:t>道路</w:t>
            </w:r>
            <w:r>
              <w:rPr>
                <w:rFonts w:hint="default" w:ascii="Times New Roman" w:hAnsi="Times New Roman" w:eastAsia="宋体" w:cs="Times New Roman"/>
                <w:color w:val="auto"/>
                <w:sz w:val="24"/>
                <w:szCs w:val="24"/>
                <w:highlight w:val="none"/>
              </w:rPr>
              <w:t>环境整治及提升人居环境的要求，加强道路清扫、洒水控尘，确保达到环境卫生管理要求</w:t>
            </w:r>
            <w:r>
              <w:rPr>
                <w:rFonts w:hint="eastAsia" w:ascii="Times New Roman" w:hAnsi="Times New Roman" w:eastAsia="宋体" w:cs="Times New Roman"/>
                <w:color w:val="auto"/>
                <w:sz w:val="24"/>
                <w:szCs w:val="24"/>
                <w:highlight w:val="none"/>
                <w:lang w:eastAsia="zh-CN"/>
              </w:rPr>
              <w:t>；</w:t>
            </w:r>
          </w:p>
          <w:p w14:paraId="2F7F84D2">
            <w:pPr>
              <w:spacing w:line="360" w:lineRule="auto"/>
              <w:ind w:firstLine="480" w:firstLineChars="200"/>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加强环境监测工作，并注意做好记录，不得弄虚作假；监测中如发现异常情况应及时向有关部门通报，及时采取应急措施，防止事故排放</w:t>
            </w:r>
            <w:r>
              <w:rPr>
                <w:rFonts w:hint="eastAsia" w:ascii="Times New Roman" w:hAnsi="Times New Roman" w:eastAsia="宋体" w:cs="Times New Roman"/>
                <w:color w:val="auto"/>
                <w:sz w:val="24"/>
                <w:szCs w:val="24"/>
                <w:highlight w:val="none"/>
                <w:lang w:eastAsia="zh-CN"/>
              </w:rPr>
              <w:t>；</w:t>
            </w:r>
          </w:p>
          <w:p w14:paraId="588A42E1">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严格落实各类固体废物堆存措施，不得随意放置、丢弃、转移。</w:t>
            </w:r>
          </w:p>
          <w:p w14:paraId="585994BF">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2、排污许可</w:t>
            </w:r>
          </w:p>
          <w:p w14:paraId="1B379F82">
            <w:pPr>
              <w:spacing w:line="360" w:lineRule="auto"/>
              <w:ind w:firstLine="480" w:firstLineChars="200"/>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本项目位于易门铜业有限公司既有厂区内，属于易门铜业有限公司渣选工艺流程提效升级改造什么。项目改建完成后不再单独办理排污登记手续，直接纳入易门铜业有限公司全厂排污许可进行管理。</w:t>
            </w:r>
          </w:p>
          <w:p w14:paraId="216B5A1F">
            <w:pPr>
              <w:spacing w:line="360" w:lineRule="auto"/>
              <w:ind w:firstLine="482" w:firstLineChars="200"/>
              <w:outlineLvl w:val="9"/>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rPr>
              <w:t>监测</w:t>
            </w:r>
          </w:p>
          <w:p w14:paraId="5C8C19E5">
            <w:pPr>
              <w:spacing w:line="360" w:lineRule="auto"/>
              <w:ind w:firstLine="480" w:firstLineChars="20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根据《排污单位自行监测技术指南 总则》（HJ819-2017）及《建设项目竣工环境保护验收技术指南 污染影响类》中的相关要求，本项目</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rPr>
              <w:t>监测</w:t>
            </w:r>
            <w:r>
              <w:rPr>
                <w:rFonts w:hint="default" w:ascii="Times New Roman" w:hAnsi="Times New Roman" w:eastAsia="宋体" w:cs="Times New Roman"/>
                <w:color w:val="auto"/>
                <w:sz w:val="24"/>
                <w:szCs w:val="24"/>
                <w:highlight w:val="none"/>
                <w:lang w:val="en-US" w:eastAsia="zh-CN"/>
              </w:rPr>
              <w:t>计划</w:t>
            </w:r>
            <w:r>
              <w:rPr>
                <w:rFonts w:hint="default" w:ascii="Times New Roman" w:hAnsi="Times New Roman" w:eastAsia="宋体" w:cs="Times New Roman"/>
                <w:color w:val="auto"/>
                <w:sz w:val="24"/>
                <w:szCs w:val="24"/>
                <w:highlight w:val="none"/>
              </w:rPr>
              <w:t>表如下：</w:t>
            </w:r>
          </w:p>
          <w:p w14:paraId="729A74F4">
            <w:pPr>
              <w:pStyle w:val="15"/>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表5-1   运营期环境监测计划表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857"/>
              <w:gridCol w:w="1731"/>
              <w:gridCol w:w="1270"/>
              <w:gridCol w:w="1890"/>
            </w:tblGrid>
            <w:tr w14:paraId="02726C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4" w:type="pct"/>
                  <w:tcBorders>
                    <w:tl2br w:val="nil"/>
                    <w:tr2bl w:val="nil"/>
                  </w:tcBorders>
                  <w:noWrap w:val="0"/>
                  <w:vAlign w:val="center"/>
                </w:tcPr>
                <w:p w14:paraId="5E47842F">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监测内容</w:t>
                  </w:r>
                </w:p>
              </w:tc>
              <w:tc>
                <w:tcPr>
                  <w:tcW w:w="1245" w:type="pct"/>
                  <w:tcBorders>
                    <w:tl2br w:val="nil"/>
                    <w:tr2bl w:val="nil"/>
                  </w:tcBorders>
                  <w:noWrap w:val="0"/>
                  <w:vAlign w:val="center"/>
                </w:tcPr>
                <w:p w14:paraId="3DD51F29">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监测点位</w:t>
                  </w:r>
                </w:p>
              </w:tc>
              <w:tc>
                <w:tcPr>
                  <w:tcW w:w="1160" w:type="pct"/>
                  <w:tcBorders>
                    <w:tl2br w:val="nil"/>
                    <w:tr2bl w:val="nil"/>
                  </w:tcBorders>
                  <w:noWrap w:val="0"/>
                  <w:vAlign w:val="center"/>
                </w:tcPr>
                <w:p w14:paraId="4C0D4AED">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监测指标</w:t>
                  </w:r>
                </w:p>
              </w:tc>
              <w:tc>
                <w:tcPr>
                  <w:tcW w:w="851" w:type="pct"/>
                  <w:tcBorders>
                    <w:tl2br w:val="nil"/>
                    <w:tr2bl w:val="nil"/>
                  </w:tcBorders>
                  <w:noWrap w:val="0"/>
                  <w:vAlign w:val="center"/>
                </w:tcPr>
                <w:p w14:paraId="29C48E56">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监测频率</w:t>
                  </w:r>
                </w:p>
              </w:tc>
              <w:tc>
                <w:tcPr>
                  <w:tcW w:w="1267" w:type="pct"/>
                  <w:tcBorders>
                    <w:tl2br w:val="nil"/>
                    <w:tr2bl w:val="nil"/>
                  </w:tcBorders>
                  <w:noWrap w:val="0"/>
                  <w:vAlign w:val="center"/>
                </w:tcPr>
                <w:p w14:paraId="3CCE964D">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执行标准</w:t>
                  </w:r>
                </w:p>
              </w:tc>
            </w:tr>
            <w:tr w14:paraId="51614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vMerge w:val="restart"/>
                  <w:tcBorders>
                    <w:tl2br w:val="nil"/>
                    <w:tr2bl w:val="nil"/>
                  </w:tcBorders>
                  <w:noWrap w:val="0"/>
                  <w:vAlign w:val="center"/>
                </w:tcPr>
                <w:p w14:paraId="5D5AC705">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有组织废气</w:t>
                  </w:r>
                </w:p>
              </w:tc>
              <w:tc>
                <w:tcPr>
                  <w:tcW w:w="1245" w:type="pct"/>
                  <w:tcBorders>
                    <w:tl2br w:val="nil"/>
                    <w:tr2bl w:val="nil"/>
                  </w:tcBorders>
                  <w:noWrap w:val="0"/>
                  <w:vAlign w:val="center"/>
                </w:tcPr>
                <w:p w14:paraId="5E252C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eastAsia" w:cs="Times New Roman"/>
                      <w:color w:val="000000" w:themeColor="text1"/>
                      <w:sz w:val="18"/>
                      <w:szCs w:val="18"/>
                      <w:lang w:val="en-US" w:eastAsia="zh-CN"/>
                      <w14:textFill>
                        <w14:solidFill>
                          <w14:schemeClr w14:val="tx1"/>
                        </w14:solidFill>
                      </w14:textFill>
                    </w:rPr>
                    <w:t>给料仓排口</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（DA00</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p>
              </w:tc>
              <w:tc>
                <w:tcPr>
                  <w:tcW w:w="1160" w:type="pct"/>
                  <w:tcBorders>
                    <w:tl2br w:val="nil"/>
                    <w:tr2bl w:val="nil"/>
                  </w:tcBorders>
                  <w:noWrap w:val="0"/>
                  <w:vAlign w:val="center"/>
                </w:tcPr>
                <w:p w14:paraId="6EDAC3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sz w:val="18"/>
                      <w:szCs w:val="18"/>
                      <w:highlight w:val="none"/>
                    </w:rPr>
                  </w:pPr>
                  <w:r>
                    <w:rPr>
                      <w:rFonts w:hint="default" w:ascii="Times New Roman" w:hAnsi="Times New Roman" w:eastAsia="宋体" w:cs="Times New Roman"/>
                      <w:color w:val="auto"/>
                      <w:sz w:val="18"/>
                      <w:szCs w:val="18"/>
                      <w:lang w:val="en-US" w:eastAsia="zh-CN"/>
                    </w:rPr>
                    <w:t>颗粒物</w:t>
                  </w:r>
                </w:p>
              </w:tc>
              <w:tc>
                <w:tcPr>
                  <w:tcW w:w="851" w:type="pct"/>
                  <w:tcBorders>
                    <w:tl2br w:val="nil"/>
                    <w:tr2bl w:val="nil"/>
                  </w:tcBorders>
                  <w:noWrap w:val="0"/>
                  <w:vAlign w:val="center"/>
                </w:tcPr>
                <w:p w14:paraId="36140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次</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季度</w:t>
                  </w:r>
                </w:p>
              </w:tc>
              <w:tc>
                <w:tcPr>
                  <w:tcW w:w="1267" w:type="pct"/>
                  <w:vMerge w:val="restart"/>
                  <w:tcBorders>
                    <w:tl2br w:val="nil"/>
                    <w:tr2bl w:val="nil"/>
                  </w:tcBorders>
                  <w:noWrap w:val="0"/>
                  <w:vAlign w:val="center"/>
                </w:tcPr>
                <w:p w14:paraId="686BC60B">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lang w:val="en-US" w:eastAsia="zh-CN"/>
                    </w:rPr>
                    <w:t>颗粒物执行</w:t>
                  </w:r>
                  <w:r>
                    <w:rPr>
                      <w:rFonts w:hint="default" w:ascii="Times New Roman" w:hAnsi="Times New Roman" w:eastAsia="宋体" w:cs="Times New Roman"/>
                      <w:color w:val="auto"/>
                      <w:sz w:val="18"/>
                      <w:szCs w:val="18"/>
                      <w:lang w:val="en-US" w:eastAsia="zh-CN"/>
                    </w:rPr>
                    <w:t>《铜、镍、钴工业污染物排放标准》（GB25467-2010）</w:t>
                  </w:r>
                  <w:r>
                    <w:rPr>
                      <w:rFonts w:hint="eastAsia" w:ascii="Times New Roman" w:hAnsi="Times New Roman" w:cs="Times New Roman"/>
                      <w:color w:val="auto"/>
                      <w:sz w:val="18"/>
                      <w:szCs w:val="18"/>
                      <w:lang w:val="en-US" w:eastAsia="zh-CN"/>
                    </w:rPr>
                    <w:t>表5、表6</w:t>
                  </w:r>
                  <w:r>
                    <w:rPr>
                      <w:rFonts w:hint="default" w:ascii="Times New Roman" w:hAnsi="Times New Roman" w:eastAsia="宋体" w:cs="Times New Roman"/>
                      <w:color w:val="auto"/>
                      <w:sz w:val="18"/>
                      <w:szCs w:val="18"/>
                      <w:lang w:val="en-US" w:eastAsia="zh-CN"/>
                    </w:rPr>
                    <w:t>标准</w:t>
                  </w:r>
                  <w:r>
                    <w:rPr>
                      <w:rFonts w:hint="eastAsia" w:ascii="Times New Roman" w:hAnsi="Times New Roman" w:cs="Times New Roman"/>
                      <w:color w:val="auto"/>
                      <w:sz w:val="18"/>
                      <w:szCs w:val="18"/>
                      <w:lang w:val="en-US" w:eastAsia="zh-CN"/>
                    </w:rPr>
                    <w:t>浓度限值，臭气浓度</w:t>
                  </w: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t>《恶臭污染物排放标准》（GB14554-93）</w:t>
                  </w:r>
                </w:p>
              </w:tc>
            </w:tr>
            <w:tr w14:paraId="1F71F1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vMerge w:val="continue"/>
                  <w:tcBorders>
                    <w:tl2br w:val="nil"/>
                    <w:tr2bl w:val="nil"/>
                  </w:tcBorders>
                  <w:noWrap w:val="0"/>
                  <w:vAlign w:val="center"/>
                </w:tcPr>
                <w:p w14:paraId="34AD67F3">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1245" w:type="pct"/>
                  <w:tcBorders>
                    <w:tl2br w:val="nil"/>
                    <w:tr2bl w:val="nil"/>
                  </w:tcBorders>
                  <w:noWrap w:val="0"/>
                  <w:vAlign w:val="center"/>
                </w:tcPr>
                <w:p w14:paraId="78B86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000000" w:themeColor="text1"/>
                      <w:sz w:val="18"/>
                      <w:szCs w:val="18"/>
                      <w:lang w:val="en-US" w:eastAsia="zh-CN"/>
                      <w14:textFill>
                        <w14:solidFill>
                          <w14:schemeClr w14:val="tx1"/>
                        </w14:solidFill>
                      </w14:textFill>
                    </w:rPr>
                    <w:t>破碎车间排口</w:t>
                  </w:r>
                  <w:r>
                    <w:rPr>
                      <w:rFonts w:hint="eastAsia" w:ascii="Times New Roman" w:hAnsi="Times New Roman" w:cs="Times New Roman"/>
                      <w:color w:val="000000" w:themeColor="text1"/>
                      <w:sz w:val="18"/>
                      <w:szCs w:val="18"/>
                      <w:lang w:val="en-US" w:eastAsia="zh-CN"/>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DA005</w:t>
                  </w: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160" w:type="pct"/>
                  <w:tcBorders>
                    <w:tl2br w:val="nil"/>
                    <w:tr2bl w:val="nil"/>
                  </w:tcBorders>
                  <w:noWrap w:val="0"/>
                  <w:vAlign w:val="center"/>
                </w:tcPr>
                <w:p w14:paraId="583234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颗粒物</w:t>
                  </w:r>
                </w:p>
              </w:tc>
              <w:tc>
                <w:tcPr>
                  <w:tcW w:w="851" w:type="pct"/>
                  <w:tcBorders>
                    <w:tl2br w:val="nil"/>
                    <w:tr2bl w:val="nil"/>
                  </w:tcBorders>
                  <w:noWrap w:val="0"/>
                  <w:vAlign w:val="center"/>
                </w:tcPr>
                <w:p w14:paraId="37B6B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次</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季度</w:t>
                  </w:r>
                </w:p>
              </w:tc>
              <w:tc>
                <w:tcPr>
                  <w:tcW w:w="1267" w:type="pct"/>
                  <w:vMerge w:val="continue"/>
                  <w:tcBorders>
                    <w:tl2br w:val="nil"/>
                    <w:tr2bl w:val="nil"/>
                  </w:tcBorders>
                  <w:noWrap w:val="0"/>
                  <w:vAlign w:val="center"/>
                </w:tcPr>
                <w:p w14:paraId="79B307C3">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7D466E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vMerge w:val="continue"/>
                  <w:tcBorders>
                    <w:tl2br w:val="nil"/>
                    <w:tr2bl w:val="nil"/>
                  </w:tcBorders>
                  <w:noWrap w:val="0"/>
                  <w:vAlign w:val="center"/>
                </w:tcPr>
                <w:p w14:paraId="6B662001">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1245" w:type="pct"/>
                  <w:tcBorders>
                    <w:tl2br w:val="nil"/>
                    <w:tr2bl w:val="nil"/>
                  </w:tcBorders>
                  <w:noWrap w:val="0"/>
                  <w:vAlign w:val="center"/>
                </w:tcPr>
                <w:p w14:paraId="06D44C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000000" w:themeColor="text1"/>
                      <w:sz w:val="18"/>
                      <w:szCs w:val="18"/>
                      <w:lang w:val="en-US" w:eastAsia="zh-CN"/>
                      <w14:textFill>
                        <w14:solidFill>
                          <w14:schemeClr w14:val="tx1"/>
                        </w14:solidFill>
                      </w14:textFill>
                    </w:rPr>
                    <w:t>筛分车间排口</w:t>
                  </w:r>
                  <w:r>
                    <w:rPr>
                      <w:rFonts w:hint="eastAsia" w:ascii="Times New Roman" w:hAnsi="Times New Roman" w:cs="Times New Roman"/>
                      <w:color w:val="000000" w:themeColor="text1"/>
                      <w:sz w:val="18"/>
                      <w:szCs w:val="18"/>
                      <w:lang w:val="en-US" w:eastAsia="zh-CN"/>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DA006</w:t>
                  </w: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160" w:type="pct"/>
                  <w:tcBorders>
                    <w:tl2br w:val="nil"/>
                    <w:tr2bl w:val="nil"/>
                  </w:tcBorders>
                  <w:noWrap w:val="0"/>
                  <w:vAlign w:val="center"/>
                </w:tcPr>
                <w:p w14:paraId="71028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颗粒物</w:t>
                  </w:r>
                </w:p>
              </w:tc>
              <w:tc>
                <w:tcPr>
                  <w:tcW w:w="851" w:type="pct"/>
                  <w:tcBorders>
                    <w:tl2br w:val="nil"/>
                    <w:tr2bl w:val="nil"/>
                  </w:tcBorders>
                  <w:noWrap w:val="0"/>
                  <w:vAlign w:val="center"/>
                </w:tcPr>
                <w:p w14:paraId="36DC2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次</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季度</w:t>
                  </w:r>
                </w:p>
              </w:tc>
              <w:tc>
                <w:tcPr>
                  <w:tcW w:w="1267" w:type="pct"/>
                  <w:vMerge w:val="continue"/>
                  <w:tcBorders>
                    <w:tl2br w:val="nil"/>
                    <w:tr2bl w:val="nil"/>
                  </w:tcBorders>
                  <w:noWrap w:val="0"/>
                  <w:vAlign w:val="center"/>
                </w:tcPr>
                <w:p w14:paraId="73586FBC">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2BC357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l2br w:val="nil"/>
                    <w:tr2bl w:val="nil"/>
                  </w:tcBorders>
                  <w:noWrap w:val="0"/>
                  <w:vAlign w:val="center"/>
                </w:tcPr>
                <w:p w14:paraId="5F2EC3DB">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无组织废气</w:t>
                  </w:r>
                </w:p>
              </w:tc>
              <w:tc>
                <w:tcPr>
                  <w:tcW w:w="1245" w:type="pct"/>
                  <w:tcBorders>
                    <w:tl2br w:val="nil"/>
                    <w:tr2bl w:val="nil"/>
                  </w:tcBorders>
                  <w:noWrap w:val="0"/>
                  <w:vAlign w:val="center"/>
                </w:tcPr>
                <w:p w14:paraId="57442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lang w:val="en-US" w:eastAsia="zh-CN"/>
                    </w:rPr>
                    <w:t>总</w:t>
                  </w:r>
                  <w:r>
                    <w:rPr>
                      <w:rFonts w:hint="default" w:ascii="Times New Roman" w:hAnsi="Times New Roman" w:eastAsia="宋体" w:cs="Times New Roman"/>
                      <w:color w:val="auto"/>
                      <w:sz w:val="18"/>
                      <w:szCs w:val="18"/>
                      <w:lang w:val="en-US" w:eastAsia="zh-CN"/>
                    </w:rPr>
                    <w:t>厂界</w:t>
                  </w:r>
                </w:p>
              </w:tc>
              <w:tc>
                <w:tcPr>
                  <w:tcW w:w="1160" w:type="pct"/>
                  <w:tcBorders>
                    <w:tl2br w:val="nil"/>
                    <w:tr2bl w:val="nil"/>
                  </w:tcBorders>
                  <w:noWrap w:val="0"/>
                  <w:vAlign w:val="center"/>
                </w:tcPr>
                <w:p w14:paraId="2BBE6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颗粒物</w:t>
                  </w:r>
                  <w:r>
                    <w:rPr>
                      <w:rFonts w:hint="eastAsia" w:cs="Times New Roman"/>
                      <w:color w:val="auto"/>
                      <w:sz w:val="18"/>
                      <w:szCs w:val="18"/>
                      <w:lang w:val="en-US" w:eastAsia="zh-CN"/>
                    </w:rPr>
                    <w:t>、臭气浓度</w:t>
                  </w:r>
                </w:p>
              </w:tc>
              <w:tc>
                <w:tcPr>
                  <w:tcW w:w="851" w:type="pct"/>
                  <w:tcBorders>
                    <w:tl2br w:val="nil"/>
                    <w:tr2bl w:val="nil"/>
                  </w:tcBorders>
                  <w:noWrap w:val="0"/>
                  <w:vAlign w:val="center"/>
                </w:tcPr>
                <w:p w14:paraId="1AD82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次</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季度</w:t>
                  </w:r>
                </w:p>
              </w:tc>
              <w:tc>
                <w:tcPr>
                  <w:tcW w:w="1267" w:type="pct"/>
                  <w:vMerge w:val="continue"/>
                  <w:tcBorders>
                    <w:tl2br w:val="nil"/>
                    <w:tr2bl w:val="nil"/>
                  </w:tcBorders>
                  <w:noWrap w:val="0"/>
                  <w:vAlign w:val="center"/>
                </w:tcPr>
                <w:p w14:paraId="3DAFCE5E">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7407EF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74" w:type="pct"/>
                  <w:tcBorders>
                    <w:tl2br w:val="nil"/>
                    <w:tr2bl w:val="nil"/>
                  </w:tcBorders>
                  <w:noWrap w:val="0"/>
                  <w:vAlign w:val="center"/>
                </w:tcPr>
                <w:p w14:paraId="2635CD7C">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厂界噪声</w:t>
                  </w:r>
                </w:p>
              </w:tc>
              <w:tc>
                <w:tcPr>
                  <w:tcW w:w="1245" w:type="pct"/>
                  <w:tcBorders>
                    <w:tl2br w:val="nil"/>
                    <w:tr2bl w:val="nil"/>
                  </w:tcBorders>
                  <w:noWrap w:val="0"/>
                  <w:vAlign w:val="center"/>
                </w:tcPr>
                <w:p w14:paraId="0000AEEE">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总</w:t>
                  </w:r>
                  <w:r>
                    <w:rPr>
                      <w:rFonts w:hint="default" w:ascii="Times New Roman" w:hAnsi="Times New Roman" w:eastAsia="宋体" w:cs="Times New Roman"/>
                      <w:color w:val="auto"/>
                      <w:sz w:val="18"/>
                      <w:szCs w:val="18"/>
                      <w:highlight w:val="none"/>
                      <w:lang w:val="en-US" w:eastAsia="zh-CN"/>
                    </w:rPr>
                    <w:t>厂界东、南、西、北</w:t>
                  </w:r>
                </w:p>
              </w:tc>
              <w:tc>
                <w:tcPr>
                  <w:tcW w:w="1160" w:type="pct"/>
                  <w:tcBorders>
                    <w:tl2br w:val="nil"/>
                    <w:tr2bl w:val="nil"/>
                  </w:tcBorders>
                  <w:noWrap w:val="0"/>
                  <w:vAlign w:val="center"/>
                </w:tcPr>
                <w:p w14:paraId="431BEE70">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Leq[dB（A）]</w:t>
                  </w:r>
                </w:p>
              </w:tc>
              <w:tc>
                <w:tcPr>
                  <w:tcW w:w="851" w:type="pct"/>
                  <w:tcBorders>
                    <w:tl2br w:val="nil"/>
                    <w:tr2bl w:val="nil"/>
                  </w:tcBorders>
                  <w:noWrap w:val="0"/>
                  <w:vAlign w:val="center"/>
                </w:tcPr>
                <w:p w14:paraId="59BA3485">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1次/</w:t>
                  </w:r>
                  <w:r>
                    <w:rPr>
                      <w:rFonts w:hint="default" w:ascii="Times New Roman" w:hAnsi="Times New Roman" w:eastAsia="宋体" w:cs="Times New Roman"/>
                      <w:color w:val="auto"/>
                      <w:sz w:val="18"/>
                      <w:szCs w:val="18"/>
                      <w:highlight w:val="none"/>
                      <w:lang w:val="en-US" w:eastAsia="zh-CN"/>
                    </w:rPr>
                    <w:t>季度</w:t>
                  </w:r>
                </w:p>
              </w:tc>
              <w:tc>
                <w:tcPr>
                  <w:tcW w:w="1267" w:type="pct"/>
                  <w:tcBorders>
                    <w:tl2br w:val="nil"/>
                    <w:tr2bl w:val="nil"/>
                  </w:tcBorders>
                  <w:noWrap w:val="0"/>
                  <w:vAlign w:val="center"/>
                </w:tcPr>
                <w:p w14:paraId="7E6BA26B">
                  <w:pPr>
                    <w:pStyle w:val="1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《工业企业厂界环境噪声排放标准》（GB12348-2008）中2类标准</w:t>
                  </w:r>
                </w:p>
              </w:tc>
            </w:tr>
          </w:tbl>
          <w:p w14:paraId="2BA9FB33">
            <w:pPr>
              <w:pStyle w:val="5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highlight w:val="none"/>
                <w:lang w:val="en-US" w:eastAsia="zh-CN"/>
              </w:rPr>
            </w:pPr>
            <w:r>
              <w:rPr>
                <w:rFonts w:hint="eastAsia"/>
                <w:color w:val="auto"/>
                <w:highlight w:val="none"/>
                <w:lang w:val="en-US" w:eastAsia="zh-CN"/>
              </w:rPr>
              <w:t>表5-2  竣工环保验收监测一览表</w:t>
            </w:r>
          </w:p>
          <w:tbl>
            <w:tblPr>
              <w:tblStyle w:val="22"/>
              <w:tblW w:w="737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2"/>
              <w:gridCol w:w="612"/>
              <w:gridCol w:w="1287"/>
              <w:gridCol w:w="1655"/>
              <w:gridCol w:w="1188"/>
              <w:gridCol w:w="2262"/>
            </w:tblGrid>
            <w:tr w14:paraId="47C042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84" w:type="dxa"/>
                  <w:gridSpan w:val="2"/>
                  <w:tcBorders>
                    <w:tl2br w:val="nil"/>
                    <w:tr2bl w:val="nil"/>
                  </w:tcBorders>
                  <w:vAlign w:val="center"/>
                </w:tcPr>
                <w:p w14:paraId="01C4631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监测项目</w:t>
                  </w:r>
                </w:p>
              </w:tc>
              <w:tc>
                <w:tcPr>
                  <w:tcW w:w="1287" w:type="dxa"/>
                  <w:tcBorders>
                    <w:tl2br w:val="nil"/>
                    <w:tr2bl w:val="nil"/>
                  </w:tcBorders>
                  <w:vAlign w:val="center"/>
                </w:tcPr>
                <w:p w14:paraId="71BBF177">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监测点位</w:t>
                  </w:r>
                </w:p>
              </w:tc>
              <w:tc>
                <w:tcPr>
                  <w:tcW w:w="1655" w:type="dxa"/>
                  <w:tcBorders>
                    <w:tl2br w:val="nil"/>
                    <w:tr2bl w:val="nil"/>
                  </w:tcBorders>
                  <w:vAlign w:val="center"/>
                </w:tcPr>
                <w:p w14:paraId="0F5FC6E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w:t>
                  </w:r>
                  <w:r>
                    <w:rPr>
                      <w:rFonts w:hint="eastAsia" w:ascii="Times New Roman" w:hAnsi="Times New Roman" w:cs="Times New Roman" w:eastAsiaTheme="minorEastAsia"/>
                      <w:color w:val="auto"/>
                      <w:sz w:val="18"/>
                      <w:szCs w:val="18"/>
                      <w:highlight w:val="none"/>
                      <w:lang w:val="en-US" w:eastAsia="zh-CN"/>
                    </w:rPr>
                    <w:t>指标</w:t>
                  </w:r>
                </w:p>
              </w:tc>
              <w:tc>
                <w:tcPr>
                  <w:tcW w:w="1188" w:type="dxa"/>
                  <w:tcBorders>
                    <w:tl2br w:val="nil"/>
                    <w:tr2bl w:val="nil"/>
                  </w:tcBorders>
                  <w:vAlign w:val="center"/>
                </w:tcPr>
                <w:p w14:paraId="3F4DB1C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最低监测频率</w:t>
                  </w:r>
                </w:p>
              </w:tc>
              <w:tc>
                <w:tcPr>
                  <w:tcW w:w="2262" w:type="dxa"/>
                  <w:tcBorders>
                    <w:tl2br w:val="nil"/>
                    <w:tr2bl w:val="nil"/>
                  </w:tcBorders>
                  <w:vAlign w:val="center"/>
                </w:tcPr>
                <w:p w14:paraId="5DF867B4">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执行标准</w:t>
                  </w:r>
                </w:p>
              </w:tc>
            </w:tr>
            <w:tr w14:paraId="2C56FA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72" w:type="dxa"/>
                  <w:vMerge w:val="restart"/>
                  <w:tcBorders>
                    <w:tl2br w:val="nil"/>
                    <w:tr2bl w:val="nil"/>
                  </w:tcBorders>
                  <w:vAlign w:val="center"/>
                </w:tcPr>
                <w:p w14:paraId="5A725F5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废气</w:t>
                  </w:r>
                </w:p>
              </w:tc>
              <w:tc>
                <w:tcPr>
                  <w:tcW w:w="612" w:type="dxa"/>
                  <w:vMerge w:val="restart"/>
                  <w:tcBorders>
                    <w:tl2br w:val="nil"/>
                    <w:tr2bl w:val="nil"/>
                  </w:tcBorders>
                  <w:vAlign w:val="center"/>
                </w:tcPr>
                <w:p w14:paraId="47576BF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有组织废气</w:t>
                  </w:r>
                </w:p>
              </w:tc>
              <w:tc>
                <w:tcPr>
                  <w:tcW w:w="1287" w:type="dxa"/>
                  <w:tcBorders>
                    <w:tl2br w:val="nil"/>
                    <w:tr2bl w:val="nil"/>
                  </w:tcBorders>
                  <w:vAlign w:val="center"/>
                </w:tcPr>
                <w:p w14:paraId="75637D55">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给料仓排口（DA004）</w:t>
                  </w:r>
                </w:p>
              </w:tc>
              <w:tc>
                <w:tcPr>
                  <w:tcW w:w="1655" w:type="dxa"/>
                  <w:vMerge w:val="restart"/>
                  <w:tcBorders>
                    <w:tl2br w:val="nil"/>
                    <w:tr2bl w:val="nil"/>
                  </w:tcBorders>
                  <w:vAlign w:val="center"/>
                </w:tcPr>
                <w:p w14:paraId="2A42984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颗粒物</w:t>
                  </w:r>
                </w:p>
              </w:tc>
              <w:tc>
                <w:tcPr>
                  <w:tcW w:w="1188" w:type="dxa"/>
                  <w:vMerge w:val="restart"/>
                  <w:tcBorders>
                    <w:tl2br w:val="nil"/>
                    <w:tr2bl w:val="nil"/>
                  </w:tcBorders>
                  <w:vAlign w:val="center"/>
                </w:tcPr>
                <w:p w14:paraId="5C84554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eastAsia="宋体" w:cs="Times New Roman"/>
                      <w:color w:val="auto"/>
                      <w:sz w:val="18"/>
                      <w:szCs w:val="18"/>
                      <w:highlight w:val="none"/>
                    </w:rPr>
                    <w:t>竣工验收时，连续监测2天，每天采样3次</w:t>
                  </w:r>
                </w:p>
              </w:tc>
              <w:tc>
                <w:tcPr>
                  <w:tcW w:w="2262" w:type="dxa"/>
                  <w:vMerge w:val="restart"/>
                  <w:tcBorders>
                    <w:tl2br w:val="nil"/>
                    <w:tr2bl w:val="nil"/>
                  </w:tcBorders>
                  <w:vAlign w:val="center"/>
                </w:tcPr>
                <w:p w14:paraId="68E9B24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lang w:val="en-US" w:eastAsia="zh-CN"/>
                    </w:rPr>
                    <w:t>颗粒物执行</w:t>
                  </w:r>
                  <w:r>
                    <w:rPr>
                      <w:rFonts w:hint="default" w:ascii="Times New Roman" w:hAnsi="Times New Roman" w:eastAsia="宋体" w:cs="Times New Roman"/>
                      <w:color w:val="auto"/>
                      <w:sz w:val="18"/>
                      <w:szCs w:val="18"/>
                      <w:lang w:val="en-US" w:eastAsia="zh-CN"/>
                    </w:rPr>
                    <w:t>《铜、镍、钴工业污染物排放标准》（GB25467-2010）</w:t>
                  </w:r>
                </w:p>
              </w:tc>
            </w:tr>
            <w:tr w14:paraId="67B1D0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72" w:type="dxa"/>
                  <w:vMerge w:val="continue"/>
                  <w:tcBorders>
                    <w:tl2br w:val="nil"/>
                    <w:tr2bl w:val="nil"/>
                  </w:tcBorders>
                  <w:vAlign w:val="center"/>
                </w:tcPr>
                <w:p w14:paraId="5747D51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612" w:type="dxa"/>
                  <w:vMerge w:val="continue"/>
                  <w:tcBorders>
                    <w:tl2br w:val="nil"/>
                    <w:tr2bl w:val="nil"/>
                  </w:tcBorders>
                  <w:vAlign w:val="center"/>
                </w:tcPr>
                <w:p w14:paraId="6CB81C1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1287" w:type="dxa"/>
                  <w:tcBorders>
                    <w:tl2br w:val="nil"/>
                    <w:tr2bl w:val="nil"/>
                  </w:tcBorders>
                  <w:vAlign w:val="center"/>
                </w:tcPr>
                <w:p w14:paraId="5626BEB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破碎车间排口（DA005）</w:t>
                  </w:r>
                </w:p>
              </w:tc>
              <w:tc>
                <w:tcPr>
                  <w:tcW w:w="1655" w:type="dxa"/>
                  <w:vMerge w:val="continue"/>
                  <w:tcBorders>
                    <w:tl2br w:val="nil"/>
                    <w:tr2bl w:val="nil"/>
                  </w:tcBorders>
                  <w:vAlign w:val="center"/>
                </w:tcPr>
                <w:p w14:paraId="1046C1C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1188" w:type="dxa"/>
                  <w:vMerge w:val="continue"/>
                  <w:tcBorders>
                    <w:tl2br w:val="nil"/>
                    <w:tr2bl w:val="nil"/>
                  </w:tcBorders>
                  <w:vAlign w:val="center"/>
                </w:tcPr>
                <w:p w14:paraId="0FFDAD7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2262" w:type="dxa"/>
                  <w:vMerge w:val="continue"/>
                  <w:tcBorders>
                    <w:tl2br w:val="nil"/>
                    <w:tr2bl w:val="nil"/>
                  </w:tcBorders>
                  <w:vAlign w:val="center"/>
                </w:tcPr>
                <w:p w14:paraId="3D182FF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r>
            <w:tr w14:paraId="1163C4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72" w:type="dxa"/>
                  <w:vMerge w:val="continue"/>
                  <w:tcBorders>
                    <w:tl2br w:val="nil"/>
                    <w:tr2bl w:val="nil"/>
                  </w:tcBorders>
                  <w:vAlign w:val="center"/>
                </w:tcPr>
                <w:p w14:paraId="432D6CD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612" w:type="dxa"/>
                  <w:vMerge w:val="continue"/>
                  <w:tcBorders>
                    <w:tl2br w:val="nil"/>
                    <w:tr2bl w:val="nil"/>
                  </w:tcBorders>
                  <w:vAlign w:val="center"/>
                </w:tcPr>
                <w:p w14:paraId="0DB1D6D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1287" w:type="dxa"/>
                  <w:tcBorders>
                    <w:tl2br w:val="nil"/>
                    <w:tr2bl w:val="nil"/>
                  </w:tcBorders>
                  <w:vAlign w:val="center"/>
                </w:tcPr>
                <w:p w14:paraId="5A3ABAD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筛分车间排口（DA006）</w:t>
                  </w:r>
                </w:p>
              </w:tc>
              <w:tc>
                <w:tcPr>
                  <w:tcW w:w="1655" w:type="dxa"/>
                  <w:vMerge w:val="continue"/>
                  <w:tcBorders>
                    <w:tl2br w:val="nil"/>
                    <w:tr2bl w:val="nil"/>
                  </w:tcBorders>
                  <w:vAlign w:val="center"/>
                </w:tcPr>
                <w:p w14:paraId="0C0DDBD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1188" w:type="dxa"/>
                  <w:vMerge w:val="continue"/>
                  <w:tcBorders>
                    <w:tl2br w:val="nil"/>
                    <w:tr2bl w:val="nil"/>
                  </w:tcBorders>
                  <w:vAlign w:val="center"/>
                </w:tcPr>
                <w:p w14:paraId="4BFA3A64">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2262" w:type="dxa"/>
                  <w:vMerge w:val="continue"/>
                  <w:tcBorders>
                    <w:tl2br w:val="nil"/>
                    <w:tr2bl w:val="nil"/>
                  </w:tcBorders>
                  <w:vAlign w:val="center"/>
                </w:tcPr>
                <w:p w14:paraId="68833B8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r>
            <w:tr w14:paraId="22FCA5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372" w:type="dxa"/>
                  <w:vMerge w:val="continue"/>
                  <w:tcBorders>
                    <w:tl2br w:val="nil"/>
                    <w:tr2bl w:val="nil"/>
                  </w:tcBorders>
                  <w:vAlign w:val="center"/>
                </w:tcPr>
                <w:p w14:paraId="0D2784D5">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612" w:type="dxa"/>
                  <w:vMerge w:val="restart"/>
                  <w:tcBorders>
                    <w:tl2br w:val="nil"/>
                    <w:tr2bl w:val="nil"/>
                  </w:tcBorders>
                  <w:vAlign w:val="center"/>
                </w:tcPr>
                <w:p w14:paraId="2CF6E5A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无组织废气</w:t>
                  </w:r>
                </w:p>
              </w:tc>
              <w:tc>
                <w:tcPr>
                  <w:tcW w:w="1287" w:type="dxa"/>
                  <w:vMerge w:val="restart"/>
                  <w:tcBorders>
                    <w:tl2br w:val="nil"/>
                    <w:tr2bl w:val="nil"/>
                  </w:tcBorders>
                  <w:vAlign w:val="center"/>
                </w:tcPr>
                <w:p w14:paraId="1414A71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厂界外上风向10m设置一个点，厂界外下风向10m处侧下风向呈扇形共布设3个</w:t>
                  </w:r>
                </w:p>
              </w:tc>
              <w:tc>
                <w:tcPr>
                  <w:tcW w:w="1655" w:type="dxa"/>
                  <w:tcBorders>
                    <w:tl2br w:val="nil"/>
                    <w:tr2bl w:val="nil"/>
                  </w:tcBorders>
                  <w:vAlign w:val="center"/>
                </w:tcPr>
                <w:p w14:paraId="66544D3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颗粒物</w:t>
                  </w:r>
                </w:p>
              </w:tc>
              <w:tc>
                <w:tcPr>
                  <w:tcW w:w="1188" w:type="dxa"/>
                  <w:vMerge w:val="restart"/>
                  <w:tcBorders>
                    <w:tl2br w:val="nil"/>
                    <w:tr2bl w:val="nil"/>
                  </w:tcBorders>
                  <w:vAlign w:val="center"/>
                </w:tcPr>
                <w:p w14:paraId="2E8326C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eastAsia="宋体" w:cs="Times New Roman"/>
                      <w:color w:val="auto"/>
                      <w:sz w:val="18"/>
                      <w:szCs w:val="18"/>
                      <w:highlight w:val="none"/>
                    </w:rPr>
                    <w:t>竣工验收时，连续监测2天，每天采样</w:t>
                  </w: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次</w:t>
                  </w:r>
                </w:p>
              </w:tc>
              <w:tc>
                <w:tcPr>
                  <w:tcW w:w="2262" w:type="dxa"/>
                  <w:tcBorders>
                    <w:tl2br w:val="nil"/>
                    <w:tr2bl w:val="nil"/>
                  </w:tcBorders>
                  <w:vAlign w:val="center"/>
                </w:tcPr>
                <w:p w14:paraId="2E869E5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lang w:val="en-US" w:eastAsia="zh-CN"/>
                    </w:rPr>
                    <w:t>颗粒物执行</w:t>
                  </w:r>
                  <w:r>
                    <w:rPr>
                      <w:rFonts w:hint="default" w:ascii="Times New Roman" w:hAnsi="Times New Roman" w:eastAsia="宋体" w:cs="Times New Roman"/>
                      <w:color w:val="auto"/>
                      <w:sz w:val="18"/>
                      <w:szCs w:val="18"/>
                      <w:lang w:val="en-US" w:eastAsia="zh-CN"/>
                    </w:rPr>
                    <w:t>《铜、镍、钴工业污染物排放标准》（GB25467-2010）</w:t>
                  </w:r>
                </w:p>
              </w:tc>
            </w:tr>
            <w:tr w14:paraId="6D273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72" w:type="dxa"/>
                  <w:vMerge w:val="continue"/>
                  <w:tcBorders>
                    <w:tl2br w:val="nil"/>
                    <w:tr2bl w:val="nil"/>
                  </w:tcBorders>
                  <w:vAlign w:val="center"/>
                </w:tcPr>
                <w:p w14:paraId="1AC4FCB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612" w:type="dxa"/>
                  <w:vMerge w:val="continue"/>
                  <w:tcBorders>
                    <w:tl2br w:val="nil"/>
                    <w:tr2bl w:val="nil"/>
                  </w:tcBorders>
                  <w:vAlign w:val="center"/>
                </w:tcPr>
                <w:p w14:paraId="377BBDE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1287" w:type="dxa"/>
                  <w:vMerge w:val="continue"/>
                  <w:tcBorders>
                    <w:tl2br w:val="nil"/>
                    <w:tr2bl w:val="nil"/>
                  </w:tcBorders>
                  <w:vAlign w:val="center"/>
                </w:tcPr>
                <w:p w14:paraId="046DD844">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1655" w:type="dxa"/>
                  <w:tcBorders>
                    <w:tl2br w:val="nil"/>
                    <w:tr2bl w:val="nil"/>
                  </w:tcBorders>
                  <w:vAlign w:val="center"/>
                </w:tcPr>
                <w:p w14:paraId="7A07FAF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臭气浓度</w:t>
                  </w:r>
                </w:p>
              </w:tc>
              <w:tc>
                <w:tcPr>
                  <w:tcW w:w="1188" w:type="dxa"/>
                  <w:vMerge w:val="continue"/>
                  <w:tcBorders>
                    <w:tl2br w:val="nil"/>
                    <w:tr2bl w:val="nil"/>
                  </w:tcBorders>
                  <w:vAlign w:val="center"/>
                </w:tcPr>
                <w:p w14:paraId="138261C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p>
              </w:tc>
              <w:tc>
                <w:tcPr>
                  <w:tcW w:w="2262" w:type="dxa"/>
                  <w:tcBorders>
                    <w:tl2br w:val="nil"/>
                    <w:tr2bl w:val="nil"/>
                  </w:tcBorders>
                  <w:vAlign w:val="center"/>
                </w:tcPr>
                <w:p w14:paraId="117C3D4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t>《恶臭污染物排放标准》（GB14554-93）</w:t>
                  </w:r>
                </w:p>
              </w:tc>
            </w:tr>
            <w:tr w14:paraId="642040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372" w:type="dxa"/>
                  <w:tcBorders>
                    <w:tl2br w:val="nil"/>
                    <w:tr2bl w:val="nil"/>
                  </w:tcBorders>
                  <w:vAlign w:val="center"/>
                </w:tcPr>
                <w:p w14:paraId="666BE37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废水</w:t>
                  </w:r>
                </w:p>
              </w:tc>
              <w:tc>
                <w:tcPr>
                  <w:tcW w:w="612" w:type="dxa"/>
                  <w:tcBorders>
                    <w:tl2br w:val="nil"/>
                    <w:tr2bl w:val="nil"/>
                  </w:tcBorders>
                  <w:vAlign w:val="center"/>
                </w:tcPr>
                <w:p w14:paraId="4BF83B9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生产废水</w:t>
                  </w:r>
                </w:p>
              </w:tc>
              <w:tc>
                <w:tcPr>
                  <w:tcW w:w="1287" w:type="dxa"/>
                  <w:tcBorders>
                    <w:tl2br w:val="nil"/>
                    <w:tr2bl w:val="nil"/>
                  </w:tcBorders>
                  <w:vAlign w:val="center"/>
                </w:tcPr>
                <w:p w14:paraId="7070EEA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循环水池</w:t>
                  </w:r>
                  <w:r>
                    <w:rPr>
                      <w:rFonts w:hint="default" w:ascii="Times New Roman" w:hAnsi="Times New Roman" w:cs="Times New Roman" w:eastAsiaTheme="minorEastAsia"/>
                      <w:color w:val="auto"/>
                      <w:sz w:val="18"/>
                      <w:szCs w:val="18"/>
                      <w:highlight w:val="none"/>
                      <w:lang w:val="en-US" w:eastAsia="zh-CN"/>
                    </w:rPr>
                    <w:t>出水口</w:t>
                  </w:r>
                </w:p>
              </w:tc>
              <w:tc>
                <w:tcPr>
                  <w:tcW w:w="1655" w:type="dxa"/>
                  <w:tcBorders>
                    <w:tl2br w:val="nil"/>
                    <w:tr2bl w:val="nil"/>
                  </w:tcBorders>
                  <w:vAlign w:val="center"/>
                </w:tcPr>
                <w:p w14:paraId="0D63F045">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pH、</w:t>
                  </w:r>
                  <w:r>
                    <w:rPr>
                      <w:rFonts w:hint="eastAsia" w:ascii="Times New Roman" w:hAnsi="Times New Roman" w:cs="Times New Roman" w:eastAsiaTheme="minorEastAsia"/>
                      <w:color w:val="auto"/>
                      <w:sz w:val="18"/>
                      <w:szCs w:val="18"/>
                      <w:highlight w:val="none"/>
                      <w:lang w:val="en-US" w:eastAsia="zh-CN"/>
                    </w:rPr>
                    <w:t>悬浮物、总硬度、氨氮、石油类、氰化物、</w:t>
                  </w:r>
                  <w:r>
                    <w:rPr>
                      <w:rFonts w:hint="eastAsia" w:ascii="Times New Roman" w:hAnsi="Times New Roman" w:eastAsia="宋体" w:cs="Times New Roman"/>
                      <w:color w:val="auto"/>
                      <w:sz w:val="18"/>
                      <w:szCs w:val="18"/>
                      <w:vertAlign w:val="baseline"/>
                      <w:lang w:val="en-US" w:eastAsia="zh-CN"/>
                    </w:rPr>
                    <w:t>Cu</w:t>
                  </w:r>
                  <w:r>
                    <w:rPr>
                      <w:rFonts w:hint="eastAsia" w:eastAsia="宋体" w:cs="Times New Roman"/>
                      <w:color w:val="auto"/>
                      <w:sz w:val="18"/>
                      <w:szCs w:val="18"/>
                      <w:vertAlign w:val="baseline"/>
                      <w:lang w:val="en-US" w:eastAsia="zh-CN"/>
                    </w:rPr>
                    <w:t>、</w:t>
                  </w:r>
                  <w:r>
                    <w:rPr>
                      <w:rFonts w:hint="eastAsia" w:ascii="Times New Roman" w:hAnsi="Times New Roman" w:eastAsia="宋体" w:cs="Times New Roman"/>
                      <w:color w:val="auto"/>
                      <w:sz w:val="18"/>
                      <w:szCs w:val="18"/>
                      <w:vertAlign w:val="baseline"/>
                      <w:lang w:val="en-US" w:eastAsia="zh-CN"/>
                    </w:rPr>
                    <w:t>Pb</w:t>
                  </w:r>
                  <w:r>
                    <w:rPr>
                      <w:rFonts w:hint="eastAsia" w:eastAsia="宋体" w:cs="Times New Roman"/>
                      <w:color w:val="auto"/>
                      <w:sz w:val="18"/>
                      <w:szCs w:val="18"/>
                      <w:vertAlign w:val="baseline"/>
                      <w:lang w:val="en-US" w:eastAsia="zh-CN"/>
                    </w:rPr>
                    <w:t>、</w:t>
                  </w:r>
                  <w:r>
                    <w:rPr>
                      <w:rFonts w:hint="eastAsia" w:ascii="Times New Roman" w:hAnsi="Times New Roman" w:eastAsia="宋体" w:cs="Times New Roman"/>
                      <w:color w:val="auto"/>
                      <w:sz w:val="18"/>
                      <w:szCs w:val="18"/>
                      <w:vertAlign w:val="baseline"/>
                      <w:lang w:val="en-US" w:eastAsia="zh-CN"/>
                    </w:rPr>
                    <w:t>Cd</w:t>
                  </w:r>
                  <w:r>
                    <w:rPr>
                      <w:rFonts w:hint="eastAsia" w:eastAsia="宋体" w:cs="Times New Roman"/>
                      <w:color w:val="auto"/>
                      <w:sz w:val="18"/>
                      <w:szCs w:val="18"/>
                      <w:vertAlign w:val="baseline"/>
                      <w:lang w:val="en-US" w:eastAsia="zh-CN"/>
                    </w:rPr>
                    <w:t>、</w:t>
                  </w:r>
                  <w:r>
                    <w:rPr>
                      <w:rFonts w:hint="eastAsia" w:ascii="Times New Roman" w:hAnsi="Times New Roman" w:eastAsia="宋体" w:cs="Times New Roman"/>
                      <w:color w:val="auto"/>
                      <w:sz w:val="18"/>
                      <w:szCs w:val="18"/>
                      <w:vertAlign w:val="baseline"/>
                      <w:lang w:val="en-US" w:eastAsia="zh-CN"/>
                    </w:rPr>
                    <w:t>As</w:t>
                  </w:r>
                  <w:r>
                    <w:rPr>
                      <w:rFonts w:hint="eastAsia" w:eastAsia="宋体" w:cs="Times New Roman"/>
                      <w:color w:val="auto"/>
                      <w:sz w:val="18"/>
                      <w:szCs w:val="18"/>
                      <w:vertAlign w:val="baseline"/>
                      <w:lang w:val="en-US" w:eastAsia="zh-CN"/>
                    </w:rPr>
                    <w:t>、</w:t>
                  </w:r>
                  <w:r>
                    <w:rPr>
                      <w:rFonts w:hint="eastAsia" w:ascii="Times New Roman" w:hAnsi="Times New Roman" w:eastAsia="宋体" w:cs="Times New Roman"/>
                      <w:color w:val="auto"/>
                      <w:sz w:val="18"/>
                      <w:szCs w:val="18"/>
                      <w:vertAlign w:val="baseline"/>
                      <w:lang w:val="en-US" w:eastAsia="zh-CN"/>
                    </w:rPr>
                    <w:t>Hg</w:t>
                  </w:r>
                </w:p>
              </w:tc>
              <w:tc>
                <w:tcPr>
                  <w:tcW w:w="1188" w:type="dxa"/>
                  <w:tcBorders>
                    <w:tl2br w:val="nil"/>
                    <w:tr2bl w:val="nil"/>
                  </w:tcBorders>
                  <w:vAlign w:val="center"/>
                </w:tcPr>
                <w:p w14:paraId="09489127">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监测2天，每天监测4次</w:t>
                  </w:r>
                </w:p>
              </w:tc>
              <w:tc>
                <w:tcPr>
                  <w:tcW w:w="2262" w:type="dxa"/>
                  <w:tcBorders>
                    <w:tl2br w:val="nil"/>
                    <w:tr2bl w:val="nil"/>
                  </w:tcBorders>
                  <w:vAlign w:val="center"/>
                </w:tcPr>
                <w:p w14:paraId="27CDD715">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《铜选矿厂废水回收利用规范》（GB/T29773</w:t>
                  </w:r>
                  <w:r>
                    <w:rPr>
                      <w:rFonts w:hint="default" w:ascii="Times New Roman" w:hAnsi="Times New Roman" w:cs="Times New Roman" w:eastAsiaTheme="minorEastAsia"/>
                      <w:color w:val="auto"/>
                      <w:sz w:val="18"/>
                      <w:szCs w:val="18"/>
                      <w:highlight w:val="none"/>
                      <w:lang w:val="en-US" w:eastAsia="zh-CN"/>
                    </w:rPr>
                    <w:t>-</w:t>
                  </w:r>
                  <w:r>
                    <w:rPr>
                      <w:rFonts w:hint="eastAsia" w:ascii="Times New Roman" w:hAnsi="Times New Roman" w:cs="Times New Roman" w:eastAsiaTheme="minorEastAsia"/>
                      <w:color w:val="auto"/>
                      <w:sz w:val="18"/>
                      <w:szCs w:val="18"/>
                      <w:highlight w:val="none"/>
                      <w:lang w:val="en-US" w:eastAsia="zh-CN"/>
                    </w:rPr>
                    <w:t>2013）回水水质标准</w:t>
                  </w:r>
                </w:p>
              </w:tc>
            </w:tr>
            <w:tr w14:paraId="0E0266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84" w:type="dxa"/>
                  <w:gridSpan w:val="2"/>
                  <w:tcBorders>
                    <w:tl2br w:val="nil"/>
                    <w:tr2bl w:val="nil"/>
                  </w:tcBorders>
                  <w:vAlign w:val="center"/>
                </w:tcPr>
                <w:p w14:paraId="4279E2A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噪声</w:t>
                  </w:r>
                </w:p>
              </w:tc>
              <w:tc>
                <w:tcPr>
                  <w:tcW w:w="1287" w:type="dxa"/>
                  <w:tcBorders>
                    <w:tl2br w:val="nil"/>
                    <w:tr2bl w:val="nil"/>
                  </w:tcBorders>
                  <w:vAlign w:val="center"/>
                </w:tcPr>
                <w:p w14:paraId="670B608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易门铜业有限公司厂界四周（东、南、西、北侧）外1m，高度1m</w:t>
                  </w:r>
                </w:p>
              </w:tc>
              <w:tc>
                <w:tcPr>
                  <w:tcW w:w="1655" w:type="dxa"/>
                  <w:tcBorders>
                    <w:tl2br w:val="nil"/>
                    <w:tr2bl w:val="nil"/>
                  </w:tcBorders>
                  <w:vAlign w:val="center"/>
                </w:tcPr>
                <w:p w14:paraId="0FBC810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等效连续A声级</w:t>
                  </w:r>
                </w:p>
              </w:tc>
              <w:tc>
                <w:tcPr>
                  <w:tcW w:w="1188" w:type="dxa"/>
                  <w:tcBorders>
                    <w:tl2br w:val="nil"/>
                    <w:tr2bl w:val="nil"/>
                  </w:tcBorders>
                  <w:vAlign w:val="center"/>
                </w:tcPr>
                <w:p w14:paraId="3F8F76E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 xml:space="preserve">连续监测 </w:t>
                  </w:r>
                </w:p>
                <w:p w14:paraId="156A0D3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2天，每天昼、夜各监测1次</w:t>
                  </w:r>
                </w:p>
              </w:tc>
              <w:tc>
                <w:tcPr>
                  <w:tcW w:w="2262" w:type="dxa"/>
                  <w:tcBorders>
                    <w:tl2br w:val="nil"/>
                    <w:tr2bl w:val="nil"/>
                  </w:tcBorders>
                  <w:vAlign w:val="center"/>
                </w:tcPr>
                <w:p w14:paraId="558F0F2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《工业企业厂界环境噪声排放标准》（GB12348-2008）3类</w:t>
                  </w:r>
                </w:p>
              </w:tc>
            </w:tr>
          </w:tbl>
          <w:p w14:paraId="3D209D83">
            <w:pPr>
              <w:spacing w:line="360" w:lineRule="auto"/>
              <w:ind w:firstLine="482" w:firstLineChars="200"/>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竣工环境保护验收</w:t>
            </w:r>
            <w:r>
              <w:rPr>
                <w:rFonts w:hint="default" w:ascii="Times New Roman" w:hAnsi="Times New Roman" w:eastAsia="宋体" w:cs="Times New Roman"/>
                <w:b/>
                <w:bCs/>
                <w:color w:val="auto"/>
                <w:sz w:val="24"/>
                <w:szCs w:val="24"/>
                <w:highlight w:val="none"/>
                <w:lang w:val="en-US" w:eastAsia="zh-CN"/>
              </w:rPr>
              <w:t>内容</w:t>
            </w:r>
          </w:p>
          <w:p w14:paraId="3ABF61FA">
            <w:pPr>
              <w:spacing w:line="360" w:lineRule="auto"/>
              <w:ind w:firstLine="480" w:firstLineChars="200"/>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根据《建设项目竣工环境保护验收暂行办法》国环规环评〔2017〕4号（</w:t>
            </w:r>
            <w:r>
              <w:rPr>
                <w:rFonts w:hint="default" w:ascii="Times New Roman" w:hAnsi="Times New Roman" w:eastAsia="宋体" w:cs="Times New Roman"/>
                <w:color w:val="auto"/>
                <w:sz w:val="24"/>
                <w:szCs w:val="24"/>
                <w:highlight w:val="none"/>
                <w:lang w:val="en-US" w:eastAsia="zh-CN"/>
              </w:rPr>
              <w:t>2017</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 xml:space="preserve">日起实施），建设单位是项目竣工环境保护验收的责任主体，应当按照本办法规定的程序和标准，组织对配套建设的环境保护设施进行验收，编制验收报告，公开相关信息，接受社会监督，确保项目需要配套建设的环境保护设施与主体工程同时投产或使用，并对验收内容、结论和所公开信息的真实性、准确性和完整性负责，不得在验收过程中弄虚作假。验收监测报告编制完成后，建设单位应当根据验收监测报告结论，逐一检查是否存在验收不合格的情形，提出验收意见。存在问题的，建设单位应当进行整改，整改完成后方可提出验收意见。 </w:t>
            </w:r>
          </w:p>
          <w:p w14:paraId="74AEE835">
            <w:pPr>
              <w:spacing w:line="360" w:lineRule="auto"/>
              <w:ind w:firstLine="480" w:firstLineChars="200"/>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建设项目配套建设的环境保护设施经验收合格后，其主体工程方可投入生产使用，未经验收或者验收不合格的，不得投入生产或使用。为了便于建设单位对本项目的环保验收，项目环境保护竣工验收“三同时”一览表如下：</w:t>
            </w:r>
          </w:p>
          <w:p w14:paraId="23E76932">
            <w:pPr>
              <w:pStyle w:val="15"/>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表5-3  项目“三同时”验收内容一览表</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445"/>
              <w:gridCol w:w="3743"/>
              <w:gridCol w:w="1871"/>
            </w:tblGrid>
            <w:tr w14:paraId="038EB9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noWrap w:val="0"/>
                  <w:vAlign w:val="center"/>
                </w:tcPr>
                <w:p w14:paraId="157CC440">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项目</w:t>
                  </w:r>
                </w:p>
              </w:tc>
              <w:tc>
                <w:tcPr>
                  <w:tcW w:w="969" w:type="pct"/>
                  <w:tcBorders>
                    <w:tl2br w:val="nil"/>
                    <w:tr2bl w:val="nil"/>
                  </w:tcBorders>
                  <w:noWrap w:val="0"/>
                  <w:vAlign w:val="center"/>
                </w:tcPr>
                <w:p w14:paraId="210C4D6A">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处理对象</w:t>
                  </w:r>
                </w:p>
              </w:tc>
              <w:tc>
                <w:tcPr>
                  <w:tcW w:w="2510" w:type="pct"/>
                  <w:tcBorders>
                    <w:tl2br w:val="nil"/>
                    <w:tr2bl w:val="nil"/>
                  </w:tcBorders>
                  <w:noWrap w:val="0"/>
                  <w:vAlign w:val="center"/>
                </w:tcPr>
                <w:p w14:paraId="67CB8F4F">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处理设施</w:t>
                  </w:r>
                </w:p>
              </w:tc>
              <w:tc>
                <w:tcPr>
                  <w:tcW w:w="1255" w:type="pct"/>
                  <w:tcBorders>
                    <w:tl2br w:val="nil"/>
                    <w:tr2bl w:val="nil"/>
                  </w:tcBorders>
                  <w:noWrap w:val="0"/>
                  <w:vAlign w:val="center"/>
                </w:tcPr>
                <w:p w14:paraId="1F3C16D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处理效果</w:t>
                  </w:r>
                </w:p>
              </w:tc>
            </w:tr>
            <w:tr w14:paraId="2C3F4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tcBorders>
                    <w:tl2br w:val="nil"/>
                    <w:tr2bl w:val="nil"/>
                  </w:tcBorders>
                  <w:noWrap w:val="0"/>
                  <w:vAlign w:val="center"/>
                </w:tcPr>
                <w:p w14:paraId="34C264EA">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tc>
              <w:tc>
                <w:tcPr>
                  <w:tcW w:w="969" w:type="pct"/>
                  <w:tcBorders>
                    <w:tl2br w:val="nil"/>
                    <w:tr2bl w:val="nil"/>
                  </w:tcBorders>
                  <w:noWrap w:val="0"/>
                  <w:vAlign w:val="center"/>
                </w:tcPr>
                <w:p w14:paraId="3B95B5B0">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给料</w:t>
                  </w:r>
                  <w:r>
                    <w:rPr>
                      <w:rFonts w:hint="eastAsia" w:ascii="Times New Roman" w:hAnsi="Times New Roman" w:eastAsia="宋体" w:cs="Times New Roman"/>
                      <w:color w:val="auto"/>
                      <w:sz w:val="18"/>
                      <w:szCs w:val="18"/>
                      <w:highlight w:val="none"/>
                      <w:lang w:val="en-US" w:eastAsia="zh-CN"/>
                    </w:rPr>
                    <w:t>粉尘</w:t>
                  </w:r>
                </w:p>
              </w:tc>
              <w:tc>
                <w:tcPr>
                  <w:tcW w:w="2510" w:type="pct"/>
                  <w:tcBorders>
                    <w:tl2br w:val="nil"/>
                    <w:tr2bl w:val="nil"/>
                  </w:tcBorders>
                  <w:noWrap w:val="0"/>
                  <w:vAlign w:val="center"/>
                </w:tcPr>
                <w:p w14:paraId="6E31EA88">
                  <w:pPr>
                    <w:pStyle w:val="4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集气罩+布袋除尘器+一根高</w:t>
                  </w:r>
                  <w:r>
                    <w:rPr>
                      <w:rFonts w:hint="eastAsia" w:cs="Times New Roman"/>
                      <w:color w:val="auto"/>
                      <w:sz w:val="18"/>
                      <w:szCs w:val="18"/>
                      <w:highlight w:val="none"/>
                      <w:lang w:val="en-US" w:eastAsia="zh-CN"/>
                    </w:rPr>
                    <w:t>17.5</w:t>
                  </w:r>
                  <w:r>
                    <w:rPr>
                      <w:rFonts w:hint="default" w:ascii="Times New Roman" w:hAnsi="Times New Roman" w:eastAsia="宋体" w:cs="Times New Roman"/>
                      <w:color w:val="auto"/>
                      <w:sz w:val="18"/>
                      <w:szCs w:val="18"/>
                      <w:highlight w:val="none"/>
                      <w:lang w:val="en-US" w:eastAsia="zh-CN"/>
                    </w:rPr>
                    <w:t>m</w:t>
                  </w:r>
                  <w:r>
                    <w:rPr>
                      <w:rFonts w:hint="eastAsia" w:cs="Times New Roman"/>
                      <w:color w:val="auto"/>
                      <w:sz w:val="18"/>
                      <w:szCs w:val="18"/>
                      <w:highlight w:val="none"/>
                      <w:lang w:val="en-US" w:eastAsia="zh-CN"/>
                    </w:rPr>
                    <w:t>，内径0.8m</w:t>
                  </w:r>
                  <w:r>
                    <w:rPr>
                      <w:rFonts w:hint="default" w:ascii="Times New Roman" w:hAnsi="Times New Roman" w:eastAsia="宋体" w:cs="Times New Roman"/>
                      <w:color w:val="auto"/>
                      <w:sz w:val="18"/>
                      <w:szCs w:val="18"/>
                      <w:highlight w:val="none"/>
                      <w:lang w:val="en-US" w:eastAsia="zh-CN"/>
                    </w:rPr>
                    <w:t>排气筒</w:t>
                  </w:r>
                  <w:r>
                    <w:rPr>
                      <w:rFonts w:hint="eastAsia" w:ascii="Times New Roman" w:hAnsi="Times New Roman" w:eastAsia="宋体" w:cs="Times New Roman"/>
                      <w:color w:val="auto"/>
                      <w:sz w:val="18"/>
                      <w:szCs w:val="18"/>
                      <w:highlight w:val="none"/>
                      <w:lang w:val="en-US" w:eastAsia="zh-CN"/>
                    </w:rPr>
                    <w:t>（DA004）</w:t>
                  </w:r>
                </w:p>
              </w:tc>
              <w:tc>
                <w:tcPr>
                  <w:tcW w:w="1255" w:type="pct"/>
                  <w:vMerge w:val="restart"/>
                  <w:tcBorders>
                    <w:tl2br w:val="nil"/>
                    <w:tr2bl w:val="nil"/>
                  </w:tcBorders>
                  <w:noWrap w:val="0"/>
                  <w:vAlign w:val="center"/>
                </w:tcPr>
                <w:p w14:paraId="60615A4E">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vertAlign w:val="baseline"/>
                      <w:lang w:val="en-US" w:eastAsia="zh-CN"/>
                    </w:rPr>
                    <w:t>铜、镍、钴工业污染物排放标准》（GB25467-2010）</w:t>
                  </w:r>
                  <w:r>
                    <w:rPr>
                      <w:rFonts w:hint="eastAsia" w:ascii="Times New Roman" w:hAnsi="Times New Roman" w:eastAsia="宋体" w:cs="Times New Roman"/>
                      <w:color w:val="auto"/>
                      <w:sz w:val="18"/>
                      <w:szCs w:val="18"/>
                      <w:vertAlign w:val="baseline"/>
                      <w:lang w:val="en-US" w:eastAsia="zh-CN"/>
                    </w:rPr>
                    <w:t>表5、表6标准限值</w:t>
                  </w:r>
                </w:p>
              </w:tc>
            </w:tr>
            <w:tr w14:paraId="34AEC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325319AF">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205DFAFA">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破碎</w:t>
                  </w:r>
                  <w:r>
                    <w:rPr>
                      <w:rFonts w:hint="eastAsia" w:ascii="Times New Roman" w:hAnsi="Times New Roman" w:eastAsia="宋体" w:cs="Times New Roman"/>
                      <w:color w:val="auto"/>
                      <w:sz w:val="18"/>
                      <w:szCs w:val="18"/>
                      <w:highlight w:val="none"/>
                      <w:lang w:val="en-US" w:eastAsia="zh-CN"/>
                    </w:rPr>
                    <w:t>车间粉尘</w:t>
                  </w:r>
                </w:p>
              </w:tc>
              <w:tc>
                <w:tcPr>
                  <w:tcW w:w="2510" w:type="pct"/>
                  <w:tcBorders>
                    <w:tl2br w:val="nil"/>
                    <w:tr2bl w:val="nil"/>
                  </w:tcBorders>
                  <w:noWrap w:val="0"/>
                  <w:vAlign w:val="center"/>
                </w:tcPr>
                <w:p w14:paraId="5F6E564D">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集气罩+布袋除尘器+一根</w:t>
                  </w:r>
                  <w:r>
                    <w:rPr>
                      <w:rFonts w:hint="eastAsia" w:cs="Times New Roman"/>
                      <w:color w:val="auto"/>
                      <w:sz w:val="18"/>
                      <w:szCs w:val="18"/>
                      <w:highlight w:val="none"/>
                      <w:lang w:val="en-US" w:eastAsia="zh-CN"/>
                    </w:rPr>
                    <w:t>高17.5</w:t>
                  </w:r>
                  <w:r>
                    <w:rPr>
                      <w:rFonts w:hint="default" w:ascii="Times New Roman" w:hAnsi="Times New Roman" w:eastAsia="宋体" w:cs="Times New Roman"/>
                      <w:color w:val="auto"/>
                      <w:sz w:val="18"/>
                      <w:szCs w:val="18"/>
                      <w:highlight w:val="none"/>
                      <w:lang w:val="en-US" w:eastAsia="zh-CN"/>
                    </w:rPr>
                    <w:t>m</w:t>
                  </w:r>
                  <w:r>
                    <w:rPr>
                      <w:rFonts w:hint="eastAsia" w:cs="Times New Roman"/>
                      <w:color w:val="auto"/>
                      <w:sz w:val="18"/>
                      <w:szCs w:val="18"/>
                      <w:highlight w:val="none"/>
                      <w:lang w:val="en-US" w:eastAsia="zh-CN"/>
                    </w:rPr>
                    <w:t>，内径0.8m</w:t>
                  </w:r>
                  <w:r>
                    <w:rPr>
                      <w:rFonts w:hint="default" w:ascii="Times New Roman" w:hAnsi="Times New Roman" w:eastAsia="宋体" w:cs="Times New Roman"/>
                      <w:color w:val="auto"/>
                      <w:sz w:val="18"/>
                      <w:szCs w:val="18"/>
                      <w:highlight w:val="none"/>
                      <w:lang w:val="en-US" w:eastAsia="zh-CN"/>
                    </w:rPr>
                    <w:t>排气筒</w:t>
                  </w:r>
                  <w:r>
                    <w:rPr>
                      <w:rFonts w:hint="eastAsia" w:cs="Times New Roman"/>
                      <w:color w:val="auto"/>
                      <w:sz w:val="18"/>
                      <w:szCs w:val="18"/>
                      <w:highlight w:val="none"/>
                      <w:lang w:val="en-US" w:eastAsia="zh-CN"/>
                    </w:rPr>
                    <w:t>（DA005）</w:t>
                  </w:r>
                </w:p>
              </w:tc>
              <w:tc>
                <w:tcPr>
                  <w:tcW w:w="1255" w:type="pct"/>
                  <w:vMerge w:val="continue"/>
                  <w:tcBorders>
                    <w:tl2br w:val="nil"/>
                    <w:tr2bl w:val="nil"/>
                  </w:tcBorders>
                  <w:noWrap w:val="0"/>
                  <w:vAlign w:val="center"/>
                </w:tcPr>
                <w:p w14:paraId="0051C2E6">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06479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246014D5">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03F6D892">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筛分车间粉尘</w:t>
                  </w:r>
                </w:p>
              </w:tc>
              <w:tc>
                <w:tcPr>
                  <w:tcW w:w="2510" w:type="pct"/>
                  <w:tcBorders>
                    <w:tl2br w:val="nil"/>
                    <w:tr2bl w:val="nil"/>
                  </w:tcBorders>
                  <w:shd w:val="clear" w:color="auto" w:fill="auto"/>
                  <w:noWrap w:val="0"/>
                  <w:vAlign w:val="center"/>
                </w:tcPr>
                <w:p w14:paraId="7E9A716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集气罩+布袋除尘器+一根</w:t>
                  </w:r>
                  <w:r>
                    <w:rPr>
                      <w:rFonts w:hint="eastAsia" w:cs="Times New Roman"/>
                      <w:color w:val="auto"/>
                      <w:sz w:val="18"/>
                      <w:szCs w:val="18"/>
                      <w:highlight w:val="none"/>
                      <w:lang w:val="en-US" w:eastAsia="zh-CN"/>
                    </w:rPr>
                    <w:t>高23.5</w:t>
                  </w:r>
                  <w:r>
                    <w:rPr>
                      <w:rFonts w:hint="default" w:ascii="Times New Roman" w:hAnsi="Times New Roman" w:eastAsia="宋体" w:cs="Times New Roman"/>
                      <w:color w:val="auto"/>
                      <w:sz w:val="18"/>
                      <w:szCs w:val="18"/>
                      <w:highlight w:val="none"/>
                      <w:lang w:val="en-US" w:eastAsia="zh-CN"/>
                    </w:rPr>
                    <w:t>m</w:t>
                  </w:r>
                  <w:r>
                    <w:rPr>
                      <w:rFonts w:hint="eastAsia" w:cs="Times New Roman"/>
                      <w:color w:val="auto"/>
                      <w:sz w:val="18"/>
                      <w:szCs w:val="18"/>
                      <w:highlight w:val="none"/>
                      <w:lang w:val="en-US" w:eastAsia="zh-CN"/>
                    </w:rPr>
                    <w:t>，内径1.0m</w:t>
                  </w:r>
                  <w:r>
                    <w:rPr>
                      <w:rFonts w:hint="default" w:ascii="Times New Roman" w:hAnsi="Times New Roman" w:eastAsia="宋体" w:cs="Times New Roman"/>
                      <w:color w:val="auto"/>
                      <w:sz w:val="18"/>
                      <w:szCs w:val="18"/>
                      <w:highlight w:val="none"/>
                      <w:lang w:val="en-US" w:eastAsia="zh-CN"/>
                    </w:rPr>
                    <w:t>排气筒</w:t>
                  </w:r>
                  <w:r>
                    <w:rPr>
                      <w:rFonts w:hint="eastAsia" w:cs="Times New Roman"/>
                      <w:color w:val="auto"/>
                      <w:sz w:val="18"/>
                      <w:szCs w:val="18"/>
                      <w:highlight w:val="none"/>
                      <w:lang w:val="en-US" w:eastAsia="zh-CN"/>
                    </w:rPr>
                    <w:t>（DA006）</w:t>
                  </w:r>
                </w:p>
              </w:tc>
              <w:tc>
                <w:tcPr>
                  <w:tcW w:w="1255" w:type="pct"/>
                  <w:vMerge w:val="continue"/>
                  <w:tcBorders>
                    <w:tl2br w:val="nil"/>
                    <w:tr2bl w:val="nil"/>
                  </w:tcBorders>
                  <w:noWrap w:val="0"/>
                  <w:vAlign w:val="center"/>
                </w:tcPr>
                <w:p w14:paraId="400D89C8">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rPr>
                  </w:pPr>
                </w:p>
              </w:tc>
            </w:tr>
            <w:tr w14:paraId="27DE82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0DCE4DA3">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66482AF9">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铜冶炼渣堆场粉尘</w:t>
                  </w:r>
                </w:p>
              </w:tc>
              <w:tc>
                <w:tcPr>
                  <w:tcW w:w="2510" w:type="pct"/>
                  <w:tcBorders>
                    <w:tl2br w:val="nil"/>
                    <w:tr2bl w:val="nil"/>
                  </w:tcBorders>
                  <w:shd w:val="clear" w:color="auto" w:fill="auto"/>
                  <w:noWrap w:val="0"/>
                  <w:vAlign w:val="center"/>
                </w:tcPr>
                <w:p w14:paraId="487EC83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洒水降尘</w:t>
                  </w:r>
                </w:p>
              </w:tc>
              <w:tc>
                <w:tcPr>
                  <w:tcW w:w="1255" w:type="pct"/>
                  <w:vMerge w:val="continue"/>
                  <w:tcBorders>
                    <w:tl2br w:val="nil"/>
                    <w:tr2bl w:val="nil"/>
                  </w:tcBorders>
                  <w:noWrap w:val="0"/>
                  <w:vAlign w:val="center"/>
                </w:tcPr>
                <w:p w14:paraId="1E6D7313">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rPr>
                  </w:pPr>
                </w:p>
              </w:tc>
            </w:tr>
            <w:tr w14:paraId="78212D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12BD4761">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6A25E1EA">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缓冷场拆包区粉尘</w:t>
                  </w:r>
                </w:p>
              </w:tc>
              <w:tc>
                <w:tcPr>
                  <w:tcW w:w="2510" w:type="pct"/>
                  <w:tcBorders>
                    <w:tl2br w:val="nil"/>
                    <w:tr2bl w:val="nil"/>
                  </w:tcBorders>
                  <w:shd w:val="clear" w:color="auto" w:fill="auto"/>
                  <w:noWrap w:val="0"/>
                  <w:vAlign w:val="center"/>
                </w:tcPr>
                <w:p w14:paraId="51BC852E">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洒水降尘</w:t>
                  </w:r>
                </w:p>
              </w:tc>
              <w:tc>
                <w:tcPr>
                  <w:tcW w:w="1255" w:type="pct"/>
                  <w:vMerge w:val="continue"/>
                  <w:tcBorders>
                    <w:tl2br w:val="nil"/>
                    <w:tr2bl w:val="nil"/>
                  </w:tcBorders>
                  <w:noWrap w:val="0"/>
                  <w:vAlign w:val="center"/>
                </w:tcPr>
                <w:p w14:paraId="0897D1A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rPr>
                  </w:pPr>
                </w:p>
              </w:tc>
            </w:tr>
            <w:tr w14:paraId="788BE0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3CBC18BD">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53FF4765">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原料输送过程中产生的粉尘</w:t>
                  </w:r>
                </w:p>
              </w:tc>
              <w:tc>
                <w:tcPr>
                  <w:tcW w:w="2510" w:type="pct"/>
                  <w:tcBorders>
                    <w:tl2br w:val="nil"/>
                    <w:tr2bl w:val="nil"/>
                  </w:tcBorders>
                  <w:shd w:val="clear" w:color="auto" w:fill="auto"/>
                  <w:noWrap w:val="0"/>
                  <w:vAlign w:val="center"/>
                </w:tcPr>
                <w:p w14:paraId="5C4A5158">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皮带机走廊</w:t>
                  </w:r>
                  <w:r>
                    <w:rPr>
                      <w:rFonts w:hint="eastAsia" w:cs="Times New Roman"/>
                      <w:color w:val="auto"/>
                      <w:sz w:val="18"/>
                      <w:szCs w:val="18"/>
                      <w:highlight w:val="none"/>
                      <w:lang w:val="en-US" w:eastAsia="zh-CN"/>
                    </w:rPr>
                    <w:t>封闭</w:t>
                  </w:r>
                </w:p>
              </w:tc>
              <w:tc>
                <w:tcPr>
                  <w:tcW w:w="1255" w:type="pct"/>
                  <w:vMerge w:val="continue"/>
                  <w:tcBorders>
                    <w:tl2br w:val="nil"/>
                    <w:tr2bl w:val="nil"/>
                  </w:tcBorders>
                  <w:noWrap w:val="0"/>
                  <w:vAlign w:val="center"/>
                </w:tcPr>
                <w:p w14:paraId="04D3C2D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rPr>
                  </w:pPr>
                </w:p>
              </w:tc>
            </w:tr>
            <w:tr w14:paraId="7C4886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4B22D535">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0E516065">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上料、破碎、筛分、工序逸散扬尘</w:t>
                  </w:r>
                </w:p>
              </w:tc>
              <w:tc>
                <w:tcPr>
                  <w:tcW w:w="2510" w:type="pct"/>
                  <w:tcBorders>
                    <w:tl2br w:val="nil"/>
                    <w:tr2bl w:val="nil"/>
                  </w:tcBorders>
                  <w:shd w:val="clear" w:color="auto" w:fill="auto"/>
                  <w:noWrap w:val="0"/>
                  <w:vAlign w:val="center"/>
                </w:tcPr>
                <w:p w14:paraId="507F1C85">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厂房阻隔+喷雾降尘</w:t>
                  </w:r>
                </w:p>
              </w:tc>
              <w:tc>
                <w:tcPr>
                  <w:tcW w:w="1255" w:type="pct"/>
                  <w:vMerge w:val="continue"/>
                  <w:tcBorders>
                    <w:tl2br w:val="nil"/>
                    <w:tr2bl w:val="nil"/>
                  </w:tcBorders>
                  <w:noWrap w:val="0"/>
                  <w:vAlign w:val="center"/>
                </w:tcPr>
                <w:p w14:paraId="5F6C619F">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rPr>
                  </w:pPr>
                </w:p>
              </w:tc>
            </w:tr>
            <w:tr w14:paraId="13FD28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4" w:type="pct"/>
                  <w:vMerge w:val="continue"/>
                  <w:tcBorders>
                    <w:tl2br w:val="nil"/>
                    <w:tr2bl w:val="nil"/>
                  </w:tcBorders>
                  <w:noWrap w:val="0"/>
                  <w:vAlign w:val="center"/>
                </w:tcPr>
                <w:p w14:paraId="092598F8">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456F7433">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药剂废气</w:t>
                  </w:r>
                </w:p>
              </w:tc>
              <w:tc>
                <w:tcPr>
                  <w:tcW w:w="2510" w:type="pct"/>
                  <w:tcBorders>
                    <w:tl2br w:val="nil"/>
                    <w:tr2bl w:val="nil"/>
                  </w:tcBorders>
                  <w:shd w:val="clear" w:color="auto" w:fill="auto"/>
                  <w:noWrap w:val="0"/>
                  <w:vAlign w:val="center"/>
                </w:tcPr>
                <w:p w14:paraId="6FBC86A5">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加强通风</w:t>
                  </w:r>
                </w:p>
              </w:tc>
              <w:tc>
                <w:tcPr>
                  <w:tcW w:w="1255" w:type="pct"/>
                  <w:tcBorders>
                    <w:tl2br w:val="nil"/>
                    <w:tr2bl w:val="nil"/>
                  </w:tcBorders>
                  <w:noWrap w:val="0"/>
                  <w:vAlign w:val="center"/>
                </w:tcPr>
                <w:p w14:paraId="64E1C2B8">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vertAlign w:val="baseline"/>
                      <w:lang w:val="en-US" w:eastAsia="zh-CN"/>
                    </w:rPr>
                    <w:t>恶臭污染物排放标准》（GB14554-93）</w:t>
                  </w:r>
                </w:p>
              </w:tc>
            </w:tr>
            <w:tr w14:paraId="14B660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1B56CCF9">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48BDA52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汽车尾气</w:t>
                  </w:r>
                </w:p>
              </w:tc>
              <w:tc>
                <w:tcPr>
                  <w:tcW w:w="2510" w:type="pct"/>
                  <w:tcBorders>
                    <w:tl2br w:val="nil"/>
                    <w:tr2bl w:val="nil"/>
                  </w:tcBorders>
                  <w:shd w:val="clear" w:color="auto" w:fill="auto"/>
                  <w:noWrap w:val="0"/>
                  <w:vAlign w:val="center"/>
                </w:tcPr>
                <w:p w14:paraId="66B66F2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大气稀释扩散、植物吸收</w:t>
                  </w:r>
                </w:p>
              </w:tc>
              <w:tc>
                <w:tcPr>
                  <w:tcW w:w="1255" w:type="pct"/>
                  <w:tcBorders>
                    <w:tl2br w:val="nil"/>
                    <w:tr2bl w:val="nil"/>
                  </w:tcBorders>
                  <w:noWrap w:val="0"/>
                  <w:vAlign w:val="center"/>
                </w:tcPr>
                <w:p w14:paraId="6DF039D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7854B0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tcBorders>
                    <w:tl2br w:val="nil"/>
                    <w:tr2bl w:val="nil"/>
                  </w:tcBorders>
                  <w:noWrap w:val="0"/>
                  <w:vAlign w:val="center"/>
                </w:tcPr>
                <w:p w14:paraId="6EAEDEB0">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w:t>
                  </w:r>
                </w:p>
              </w:tc>
              <w:tc>
                <w:tcPr>
                  <w:tcW w:w="969" w:type="pct"/>
                  <w:tcBorders>
                    <w:tl2br w:val="nil"/>
                    <w:tr2bl w:val="nil"/>
                  </w:tcBorders>
                  <w:shd w:val="clear" w:color="auto" w:fill="auto"/>
                  <w:noWrap w:val="0"/>
                  <w:vAlign w:val="center"/>
                </w:tcPr>
                <w:p w14:paraId="0EE306BC">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生产废水</w:t>
                  </w:r>
                </w:p>
              </w:tc>
              <w:tc>
                <w:tcPr>
                  <w:tcW w:w="2510" w:type="pct"/>
                  <w:tcBorders>
                    <w:tl2br w:val="nil"/>
                    <w:tr2bl w:val="nil"/>
                  </w:tcBorders>
                  <w:noWrap w:val="0"/>
                  <w:vAlign w:val="center"/>
                </w:tcPr>
                <w:p w14:paraId="19CCD039">
                  <w:pPr>
                    <w:keepNext w:val="0"/>
                    <w:keepLines w:val="0"/>
                    <w:widowControl/>
                    <w:suppressLineNumbers w:val="0"/>
                    <w:jc w:val="left"/>
                    <w:rPr>
                      <w:rFonts w:hint="default" w:ascii="Times New Roman" w:hAnsi="Times New Roman" w:eastAsia="宋体" w:cs="Times New Roman"/>
                      <w:color w:val="auto"/>
                      <w:sz w:val="18"/>
                      <w:szCs w:val="18"/>
                      <w:highlight w:val="none"/>
                      <w:lang w:val="en-US" w:eastAsia="zh-CN"/>
                    </w:rPr>
                  </w:pPr>
                  <w:r>
                    <w:rPr>
                      <w:rFonts w:hint="eastAsia" w:cs="Times New Roman"/>
                      <w:color w:val="000000"/>
                      <w:kern w:val="0"/>
                      <w:sz w:val="18"/>
                      <w:szCs w:val="18"/>
                      <w:lang w:val="en-US" w:eastAsia="zh-CN" w:bidi="ar"/>
                    </w:rPr>
                    <w:t>铜精矿回水和铁精矿回水</w:t>
                  </w:r>
                  <w:r>
                    <w:rPr>
                      <w:rFonts w:hint="eastAsia" w:ascii="Times New Roman" w:hAnsi="Times New Roman" w:eastAsia="宋体" w:cs="Times New Roman"/>
                      <w:color w:val="000000"/>
                      <w:kern w:val="0"/>
                      <w:sz w:val="18"/>
                      <w:szCs w:val="18"/>
                      <w:lang w:val="en-US" w:eastAsia="zh-CN" w:bidi="ar"/>
                    </w:rPr>
                    <w:t>依托</w:t>
                  </w:r>
                  <w:r>
                    <w:rPr>
                      <w:rFonts w:hint="default" w:ascii="Times New Roman" w:hAnsi="Times New Roman" w:eastAsia="宋体" w:cs="Times New Roman"/>
                      <w:color w:val="000000"/>
                      <w:kern w:val="0"/>
                      <w:sz w:val="18"/>
                      <w:szCs w:val="18"/>
                      <w:lang w:val="en-US" w:eastAsia="zh-CN" w:bidi="ar"/>
                    </w:rPr>
                    <w:t>现有</w:t>
                  </w:r>
                  <w:r>
                    <w:rPr>
                      <w:rFonts w:hint="eastAsia" w:cs="Times New Roman"/>
                      <w:color w:val="000000"/>
                      <w:kern w:val="0"/>
                      <w:sz w:val="18"/>
                      <w:szCs w:val="18"/>
                      <w:lang w:val="en-US" w:eastAsia="zh-CN" w:bidi="ar"/>
                    </w:rPr>
                    <w:t>的</w:t>
                  </w:r>
                  <w:r>
                    <w:rPr>
                      <w:rFonts w:hint="default" w:ascii="Times New Roman" w:hAnsi="Times New Roman" w:eastAsia="宋体" w:cs="Times New Roman"/>
                      <w:color w:val="000000"/>
                      <w:kern w:val="0"/>
                      <w:sz w:val="18"/>
                      <w:szCs w:val="18"/>
                      <w:lang w:val="en-US" w:eastAsia="zh-CN" w:bidi="ar"/>
                    </w:rPr>
                    <w:t>1个693m</w:t>
                  </w:r>
                  <w:r>
                    <w:rPr>
                      <w:rFonts w:hint="default" w:ascii="Times New Roman" w:hAnsi="Times New Roman" w:eastAsia="宋体" w:cs="Times New Roman"/>
                      <w:color w:val="000000"/>
                      <w:kern w:val="0"/>
                      <w:sz w:val="18"/>
                      <w:szCs w:val="18"/>
                      <w:vertAlign w:val="superscript"/>
                      <w:lang w:val="en-US" w:eastAsia="zh-CN" w:bidi="ar"/>
                    </w:rPr>
                    <w:t>3</w:t>
                  </w:r>
                  <w:r>
                    <w:rPr>
                      <w:rFonts w:hint="default" w:ascii="Times New Roman" w:hAnsi="Times New Roman" w:eastAsia="宋体" w:cs="Times New Roman"/>
                      <w:color w:val="000000"/>
                      <w:kern w:val="0"/>
                      <w:sz w:val="18"/>
                      <w:szCs w:val="18"/>
                      <w:lang w:val="en-US" w:eastAsia="zh-CN" w:bidi="ar"/>
                    </w:rPr>
                    <w:t>的回水池</w:t>
                  </w:r>
                  <w:r>
                    <w:rPr>
                      <w:rFonts w:hint="eastAsia" w:cs="Times New Roman"/>
                      <w:color w:val="000000"/>
                      <w:kern w:val="0"/>
                      <w:sz w:val="18"/>
                      <w:szCs w:val="18"/>
                      <w:lang w:val="en-US" w:eastAsia="zh-CN" w:bidi="ar"/>
                    </w:rPr>
                    <w:t>，尾矿回收依托现有的</w:t>
                  </w:r>
                  <w:r>
                    <w:rPr>
                      <w:rFonts w:hint="default" w:ascii="Times New Roman" w:hAnsi="Times New Roman" w:eastAsia="宋体" w:cs="Times New Roman"/>
                      <w:color w:val="000000"/>
                      <w:kern w:val="0"/>
                      <w:sz w:val="18"/>
                      <w:szCs w:val="18"/>
                      <w:lang w:val="en-US" w:eastAsia="zh-CN" w:bidi="ar"/>
                    </w:rPr>
                    <w:t>1个122.5m</w:t>
                  </w:r>
                  <w:r>
                    <w:rPr>
                      <w:rFonts w:hint="default" w:ascii="Times New Roman" w:hAnsi="Times New Roman" w:eastAsia="宋体" w:cs="Times New Roman"/>
                      <w:color w:val="000000"/>
                      <w:kern w:val="0"/>
                      <w:sz w:val="18"/>
                      <w:szCs w:val="18"/>
                      <w:vertAlign w:val="superscript"/>
                      <w:lang w:val="en-US" w:eastAsia="zh-CN" w:bidi="ar"/>
                    </w:rPr>
                    <w:t>3</w:t>
                  </w:r>
                  <w:r>
                    <w:rPr>
                      <w:rFonts w:hint="default" w:ascii="Times New Roman" w:hAnsi="Times New Roman" w:eastAsia="宋体" w:cs="Times New Roman"/>
                      <w:color w:val="000000"/>
                      <w:kern w:val="0"/>
                      <w:sz w:val="18"/>
                      <w:szCs w:val="18"/>
                      <w:lang w:val="en-US" w:eastAsia="zh-CN" w:bidi="ar"/>
                    </w:rPr>
                    <w:t>回水池，</w:t>
                  </w:r>
                  <w:r>
                    <w:rPr>
                      <w:rFonts w:hint="eastAsia" w:cs="Times New Roman"/>
                      <w:color w:val="000000"/>
                      <w:kern w:val="0"/>
                      <w:sz w:val="18"/>
                      <w:szCs w:val="18"/>
                      <w:lang w:val="en-US" w:eastAsia="zh-CN" w:bidi="ar"/>
                    </w:rPr>
                    <w:t>回水从浓缩池溢流至回收池，</w:t>
                  </w:r>
                  <w:r>
                    <w:rPr>
                      <w:rFonts w:hint="eastAsia" w:ascii="Times New Roman" w:hAnsi="Times New Roman" w:eastAsia="宋体" w:cs="Times New Roman"/>
                      <w:color w:val="auto"/>
                      <w:kern w:val="2"/>
                      <w:sz w:val="18"/>
                      <w:szCs w:val="18"/>
                      <w:lang w:val="en-US" w:eastAsia="zh-CN" w:bidi="ar-SA"/>
                    </w:rPr>
                    <w:t>再由厂前现有回水泵站内的回水泵打回磨浮车间循环利用</w:t>
                  </w:r>
                  <w:r>
                    <w:rPr>
                      <w:rFonts w:hint="default"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000000"/>
                      <w:kern w:val="0"/>
                      <w:sz w:val="18"/>
                      <w:szCs w:val="18"/>
                      <w:lang w:val="en-US" w:eastAsia="zh-CN" w:bidi="ar"/>
                    </w:rPr>
                    <w:t>不外排；缓冷场</w:t>
                  </w:r>
                  <w:r>
                    <w:rPr>
                      <w:rFonts w:hint="eastAsia" w:cs="Times New Roman"/>
                      <w:color w:val="000000"/>
                      <w:kern w:val="0"/>
                      <w:sz w:val="18"/>
                      <w:szCs w:val="18"/>
                      <w:lang w:val="en-US" w:eastAsia="zh-CN" w:bidi="ar"/>
                    </w:rPr>
                    <w:t>废水</w:t>
                  </w:r>
                  <w:r>
                    <w:rPr>
                      <w:rFonts w:hint="default" w:ascii="Times New Roman" w:hAnsi="Times New Roman" w:eastAsia="宋体" w:cs="Times New Roman"/>
                      <w:color w:val="000000"/>
                      <w:kern w:val="0"/>
                      <w:sz w:val="18"/>
                      <w:szCs w:val="18"/>
                      <w:lang w:val="en-US" w:eastAsia="zh-CN" w:bidi="ar"/>
                    </w:rPr>
                    <w:t>依托现有1个600m</w:t>
                  </w:r>
                  <w:r>
                    <w:rPr>
                      <w:rFonts w:hint="default" w:ascii="Times New Roman" w:hAnsi="Times New Roman" w:eastAsia="宋体" w:cs="Times New Roman"/>
                      <w:color w:val="000000"/>
                      <w:kern w:val="0"/>
                      <w:sz w:val="18"/>
                      <w:szCs w:val="18"/>
                      <w:vertAlign w:val="superscript"/>
                      <w:lang w:val="en-US" w:eastAsia="zh-CN" w:bidi="ar"/>
                    </w:rPr>
                    <w:t>3</w:t>
                  </w:r>
                  <w:r>
                    <w:rPr>
                      <w:rFonts w:hint="default" w:ascii="Times New Roman" w:hAnsi="Times New Roman" w:eastAsia="宋体" w:cs="Times New Roman"/>
                      <w:color w:val="000000"/>
                      <w:kern w:val="0"/>
                      <w:sz w:val="18"/>
                      <w:szCs w:val="18"/>
                      <w:lang w:val="en-US" w:eastAsia="zh-CN" w:bidi="ar"/>
                    </w:rPr>
                    <w:t>缓冷场循环水池对废水进行收集</w:t>
                  </w:r>
                  <w:r>
                    <w:rPr>
                      <w:rFonts w:hint="eastAsia" w:cs="Times New Roman"/>
                      <w:color w:val="000000"/>
                      <w:kern w:val="0"/>
                      <w:sz w:val="18"/>
                      <w:szCs w:val="18"/>
                      <w:lang w:val="en-US" w:eastAsia="zh-CN" w:bidi="ar"/>
                    </w:rPr>
                    <w:t>加入絮凝剂处理后回用于缓冷工序，不外排</w:t>
                  </w:r>
                  <w:r>
                    <w:rPr>
                      <w:rFonts w:hint="eastAsia" w:ascii="Times New Roman" w:hAnsi="Times New Roman" w:eastAsia="宋体" w:cs="Times New Roman"/>
                      <w:color w:val="000000"/>
                      <w:kern w:val="0"/>
                      <w:sz w:val="18"/>
                      <w:szCs w:val="18"/>
                      <w:lang w:val="en-US" w:eastAsia="zh-CN" w:bidi="ar"/>
                    </w:rPr>
                    <w:t>。</w:t>
                  </w:r>
                </w:p>
              </w:tc>
              <w:tc>
                <w:tcPr>
                  <w:tcW w:w="1255" w:type="pct"/>
                  <w:tcBorders>
                    <w:tl2br w:val="nil"/>
                    <w:tr2bl w:val="nil"/>
                  </w:tcBorders>
                  <w:noWrap w:val="0"/>
                  <w:vAlign w:val="center"/>
                </w:tcPr>
                <w:p w14:paraId="05C0C1EA">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000000"/>
                      <w:kern w:val="0"/>
                      <w:sz w:val="18"/>
                      <w:szCs w:val="18"/>
                      <w:lang w:val="en-US" w:eastAsia="zh-CN" w:bidi="ar"/>
                    </w:rPr>
                    <w:t>《铜选矿厂废水回收利用规范》（GB/T29773</w:t>
                  </w:r>
                  <w:r>
                    <w:rPr>
                      <w:rFonts w:hint="default" w:ascii="Times New Roman" w:hAnsi="Times New Roman" w:eastAsia="宋体" w:cs="Times New Roman"/>
                      <w:color w:val="000000"/>
                      <w:kern w:val="0"/>
                      <w:sz w:val="18"/>
                      <w:szCs w:val="18"/>
                      <w:lang w:val="en-US" w:eastAsia="zh-CN" w:bidi="ar"/>
                    </w:rPr>
                    <w:t>-</w:t>
                  </w:r>
                  <w:r>
                    <w:rPr>
                      <w:rFonts w:hint="eastAsia" w:ascii="Times New Roman" w:hAnsi="Times New Roman" w:eastAsia="宋体" w:cs="Times New Roman"/>
                      <w:color w:val="000000"/>
                      <w:kern w:val="0"/>
                      <w:sz w:val="18"/>
                      <w:szCs w:val="18"/>
                      <w:lang w:val="en-US" w:eastAsia="zh-CN" w:bidi="ar"/>
                    </w:rPr>
                    <w:t>2013）回水水质标准</w:t>
                  </w:r>
                </w:p>
              </w:tc>
            </w:tr>
            <w:tr w14:paraId="7EC217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264" w:type="pct"/>
                  <w:vMerge w:val="continue"/>
                  <w:tcBorders>
                    <w:tl2br w:val="nil"/>
                    <w:tr2bl w:val="nil"/>
                  </w:tcBorders>
                  <w:noWrap w:val="0"/>
                  <w:vAlign w:val="center"/>
                </w:tcPr>
                <w:p w14:paraId="0A50929F">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shd w:val="clear" w:color="auto" w:fill="auto"/>
                  <w:noWrap w:val="0"/>
                  <w:vAlign w:val="center"/>
                </w:tcPr>
                <w:p w14:paraId="77ABBF1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生活污水</w:t>
                  </w:r>
                </w:p>
              </w:tc>
              <w:tc>
                <w:tcPr>
                  <w:tcW w:w="2510" w:type="pct"/>
                  <w:tcBorders>
                    <w:tl2br w:val="nil"/>
                    <w:tr2bl w:val="nil"/>
                  </w:tcBorders>
                  <w:noWrap w:val="0"/>
                  <w:vAlign w:val="center"/>
                </w:tcPr>
                <w:p w14:paraId="0CAB5809">
                  <w:pPr>
                    <w:keepNext w:val="0"/>
                    <w:keepLines w:val="0"/>
                    <w:widowControl/>
                    <w:suppressLineNumbers w:val="0"/>
                    <w:jc w:val="left"/>
                    <w:rPr>
                      <w:rFonts w:hint="eastAsia" w:cs="Times New Roman"/>
                      <w:color w:val="000000"/>
                      <w:kern w:val="0"/>
                      <w:sz w:val="18"/>
                      <w:szCs w:val="18"/>
                      <w:lang w:val="en-US" w:eastAsia="zh-CN" w:bidi="ar"/>
                    </w:rPr>
                  </w:pPr>
                  <w:r>
                    <w:rPr>
                      <w:rFonts w:hint="eastAsia" w:ascii="Times New Roman" w:hAnsi="Times New Roman" w:eastAsia="宋体" w:cs="Times New Roman"/>
                      <w:b w:val="0"/>
                      <w:bCs w:val="0"/>
                      <w:color w:val="auto"/>
                      <w:sz w:val="18"/>
                      <w:szCs w:val="18"/>
                      <w:lang w:val="en-US" w:eastAsia="zh-CN"/>
                    </w:rPr>
                    <w:t>选厂职工生活废水依托公司冶炼厂已建的处理规模为200m</w:t>
                  </w:r>
                  <w:r>
                    <w:rPr>
                      <w:rFonts w:hint="eastAsia" w:ascii="Times New Roman" w:hAnsi="Times New Roman" w:eastAsia="宋体" w:cs="Times New Roman"/>
                      <w:b w:val="0"/>
                      <w:bCs w:val="0"/>
                      <w:color w:val="auto"/>
                      <w:sz w:val="18"/>
                      <w:szCs w:val="18"/>
                      <w:vertAlign w:val="superscript"/>
                      <w:lang w:val="en-US" w:eastAsia="zh-CN"/>
                    </w:rPr>
                    <w:t>3</w:t>
                  </w:r>
                  <w:r>
                    <w:rPr>
                      <w:rFonts w:hint="eastAsia" w:ascii="Times New Roman" w:hAnsi="Times New Roman" w:eastAsia="宋体" w:cs="Times New Roman"/>
                      <w:b w:val="0"/>
                      <w:bCs w:val="0"/>
                      <w:color w:val="auto"/>
                      <w:sz w:val="18"/>
                      <w:szCs w:val="18"/>
                      <w:lang w:val="en-US" w:eastAsia="zh-CN"/>
                    </w:rPr>
                    <w:t>/d、处理工艺为“A/O+接触氧化+消毒”的生活污水处理设施</w:t>
                  </w:r>
                  <w:r>
                    <w:rPr>
                      <w:rFonts w:hint="eastAsia" w:eastAsia="宋体" w:cs="Times New Roman"/>
                      <w:b w:val="0"/>
                      <w:bCs w:val="0"/>
                      <w:color w:val="auto"/>
                      <w:sz w:val="18"/>
                      <w:szCs w:val="18"/>
                      <w:lang w:val="en-US" w:eastAsia="zh-CN"/>
                    </w:rPr>
                    <w:t>。</w:t>
                  </w:r>
                </w:p>
              </w:tc>
              <w:tc>
                <w:tcPr>
                  <w:tcW w:w="1255" w:type="pct"/>
                  <w:tcBorders>
                    <w:tl2br w:val="nil"/>
                    <w:tr2bl w:val="nil"/>
                  </w:tcBorders>
                  <w:noWrap w:val="0"/>
                  <w:vAlign w:val="center"/>
                </w:tcPr>
                <w:p w14:paraId="319DEBEA">
                  <w:pPr>
                    <w:pStyle w:val="3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cs="Times New Roman" w:eastAsiaTheme="minorEastAsia"/>
                      <w:color w:val="auto"/>
                      <w:sz w:val="18"/>
                      <w:szCs w:val="18"/>
                      <w:highlight w:val="none"/>
                      <w:lang w:val="en-US" w:eastAsia="zh-CN"/>
                    </w:rPr>
                    <w:t>《城市污水再生利用 城市杂用水水质》（GB/T18920-2020）表1</w:t>
                  </w:r>
                  <w:r>
                    <w:rPr>
                      <w:rFonts w:hint="eastAsia" w:cs="Times New Roman" w:eastAsiaTheme="minorEastAsia"/>
                      <w:color w:val="auto"/>
                      <w:sz w:val="18"/>
                      <w:szCs w:val="18"/>
                      <w:highlight w:val="none"/>
                      <w:lang w:val="en-US" w:eastAsia="zh-CN"/>
                    </w:rPr>
                    <w:t>“</w:t>
                  </w:r>
                  <w:r>
                    <w:rPr>
                      <w:rFonts w:hint="default" w:ascii="Times New Roman" w:hAnsi="Times New Roman" w:cs="Times New Roman" w:eastAsiaTheme="minorEastAsia"/>
                      <w:color w:val="auto"/>
                      <w:sz w:val="18"/>
                      <w:szCs w:val="18"/>
                      <w:highlight w:val="none"/>
                      <w:lang w:val="en-US" w:eastAsia="zh-CN"/>
                    </w:rPr>
                    <w:t>城市绿化、道路清扫、消防、建筑施工</w:t>
                  </w:r>
                  <w:r>
                    <w:rPr>
                      <w:rFonts w:hint="eastAsia" w:cs="Times New Roman" w:eastAsiaTheme="minorEastAsia"/>
                      <w:color w:val="auto"/>
                      <w:sz w:val="18"/>
                      <w:szCs w:val="18"/>
                      <w:highlight w:val="none"/>
                      <w:lang w:val="en-US" w:eastAsia="zh-CN"/>
                    </w:rPr>
                    <w:t>”</w:t>
                  </w:r>
                  <w:r>
                    <w:rPr>
                      <w:rFonts w:hint="default" w:ascii="Times New Roman" w:hAnsi="Times New Roman" w:cs="Times New Roman" w:eastAsiaTheme="minorEastAsia"/>
                      <w:color w:val="auto"/>
                      <w:sz w:val="18"/>
                      <w:szCs w:val="18"/>
                      <w:highlight w:val="none"/>
                      <w:lang w:val="en-US" w:eastAsia="zh-CN"/>
                    </w:rPr>
                    <w:t>限值要求</w:t>
                  </w:r>
                </w:p>
              </w:tc>
            </w:tr>
            <w:tr w14:paraId="5597E4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noWrap w:val="0"/>
                  <w:vAlign w:val="center"/>
                </w:tcPr>
                <w:p w14:paraId="5C38F684">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w:t>
                  </w:r>
                </w:p>
              </w:tc>
              <w:tc>
                <w:tcPr>
                  <w:tcW w:w="969" w:type="pct"/>
                  <w:tcBorders>
                    <w:tl2br w:val="nil"/>
                    <w:tr2bl w:val="nil"/>
                  </w:tcBorders>
                  <w:noWrap w:val="0"/>
                  <w:vAlign w:val="center"/>
                </w:tcPr>
                <w:p w14:paraId="30516290">
                  <w:pPr>
                    <w:pStyle w:val="4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球磨机、浮选机、</w:t>
                  </w:r>
                  <w:r>
                    <w:rPr>
                      <w:rFonts w:hint="eastAsia" w:cs="Times New Roman"/>
                      <w:color w:val="auto"/>
                      <w:kern w:val="0"/>
                      <w:sz w:val="18"/>
                      <w:szCs w:val="18"/>
                      <w:highlight w:val="none"/>
                      <w:lang w:val="en-US" w:eastAsia="zh-CN"/>
                    </w:rPr>
                    <w:t>磁选机</w:t>
                  </w:r>
                  <w:r>
                    <w:rPr>
                      <w:rFonts w:hint="eastAsia" w:ascii="Times New Roman" w:hAnsi="Times New Roman" w:eastAsia="宋体" w:cs="Times New Roman"/>
                      <w:color w:val="auto"/>
                      <w:kern w:val="0"/>
                      <w:sz w:val="18"/>
                      <w:szCs w:val="18"/>
                      <w:highlight w:val="none"/>
                      <w:lang w:val="en-US" w:eastAsia="zh-CN"/>
                    </w:rPr>
                    <w:t>、</w:t>
                  </w:r>
                  <w:r>
                    <w:rPr>
                      <w:rFonts w:hint="default" w:ascii="Times New Roman" w:hAnsi="Times New Roman" w:eastAsia="宋体" w:cs="Times New Roman"/>
                      <w:color w:val="auto"/>
                      <w:kern w:val="0"/>
                      <w:sz w:val="18"/>
                      <w:szCs w:val="18"/>
                      <w:highlight w:val="none"/>
                    </w:rPr>
                    <w:t>泵</w:t>
                  </w:r>
                  <w:r>
                    <w:rPr>
                      <w:rFonts w:hint="default" w:ascii="Times New Roman" w:hAnsi="Times New Roman" w:eastAsia="宋体" w:cs="Times New Roman"/>
                      <w:color w:val="auto"/>
                      <w:kern w:val="0"/>
                      <w:sz w:val="18"/>
                      <w:szCs w:val="18"/>
                      <w:highlight w:val="none"/>
                      <w:lang w:val="en-US" w:eastAsia="zh-CN"/>
                    </w:rPr>
                    <w:t>等设备</w:t>
                  </w:r>
                  <w:r>
                    <w:rPr>
                      <w:rFonts w:hint="default" w:ascii="Times New Roman" w:hAnsi="Times New Roman" w:eastAsia="宋体" w:cs="Times New Roman"/>
                      <w:color w:val="auto"/>
                      <w:kern w:val="0"/>
                      <w:sz w:val="18"/>
                      <w:szCs w:val="18"/>
                      <w:highlight w:val="none"/>
                    </w:rPr>
                    <w:t>噪声</w:t>
                  </w:r>
                </w:p>
              </w:tc>
              <w:tc>
                <w:tcPr>
                  <w:tcW w:w="2510" w:type="pct"/>
                  <w:tcBorders>
                    <w:tl2br w:val="nil"/>
                    <w:tr2bl w:val="nil"/>
                  </w:tcBorders>
                  <w:noWrap w:val="0"/>
                  <w:vAlign w:val="center"/>
                </w:tcPr>
                <w:p w14:paraId="7879704D">
                  <w:pPr>
                    <w:pStyle w:val="4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选用低噪声设备、减振、厂房隔声及合理布局</w:t>
                  </w:r>
                  <w:r>
                    <w:rPr>
                      <w:rFonts w:hint="default" w:ascii="Times New Roman" w:hAnsi="Times New Roman" w:eastAsia="宋体" w:cs="Times New Roman"/>
                      <w:color w:val="auto"/>
                      <w:kern w:val="0"/>
                      <w:sz w:val="18"/>
                      <w:szCs w:val="18"/>
                      <w:highlight w:val="none"/>
                      <w:lang w:eastAsia="zh-CN"/>
                    </w:rPr>
                    <w:t>。</w:t>
                  </w:r>
                </w:p>
              </w:tc>
              <w:tc>
                <w:tcPr>
                  <w:tcW w:w="1255" w:type="pct"/>
                  <w:tcBorders>
                    <w:tl2br w:val="nil"/>
                    <w:tr2bl w:val="nil"/>
                  </w:tcBorders>
                  <w:noWrap w:val="0"/>
                  <w:vAlign w:val="center"/>
                </w:tcPr>
                <w:p w14:paraId="5C741043">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《工业企业厂界环境噪声排放标准》（GB12348-2008）</w:t>
                  </w: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类标准限值。</w:t>
                  </w:r>
                </w:p>
              </w:tc>
            </w:tr>
            <w:tr w14:paraId="220BF2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tcBorders>
                    <w:tl2br w:val="nil"/>
                    <w:tr2bl w:val="nil"/>
                  </w:tcBorders>
                  <w:noWrap w:val="0"/>
                  <w:vAlign w:val="center"/>
                </w:tcPr>
                <w:p w14:paraId="70C4DB98">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969" w:type="pct"/>
                  <w:tcBorders>
                    <w:tl2br w:val="nil"/>
                    <w:tr2bl w:val="nil"/>
                  </w:tcBorders>
                  <w:noWrap w:val="0"/>
                  <w:vAlign w:val="center"/>
                </w:tcPr>
                <w:p w14:paraId="1DF89728">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尾渣</w:t>
                  </w:r>
                </w:p>
              </w:tc>
              <w:tc>
                <w:tcPr>
                  <w:tcW w:w="2510" w:type="pct"/>
                  <w:tcBorders>
                    <w:tl2br w:val="nil"/>
                    <w:tr2bl w:val="nil"/>
                  </w:tcBorders>
                  <w:noWrap w:val="0"/>
                  <w:vAlign w:val="center"/>
                </w:tcPr>
                <w:p w14:paraId="61B7CE48">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w:t>
                  </w:r>
                </w:p>
              </w:tc>
              <w:tc>
                <w:tcPr>
                  <w:tcW w:w="1255" w:type="pct"/>
                  <w:vMerge w:val="restart"/>
                  <w:tcBorders>
                    <w:tl2br w:val="nil"/>
                    <w:tr2bl w:val="nil"/>
                  </w:tcBorders>
                  <w:noWrap w:val="0"/>
                  <w:vAlign w:val="center"/>
                </w:tcPr>
                <w:p w14:paraId="52BB1837">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固废均得到妥善处置，处置率为100%</w:t>
                  </w:r>
                </w:p>
              </w:tc>
            </w:tr>
            <w:tr w14:paraId="671EA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63BC7EBC">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4BC480FC">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沉淀池污泥</w:t>
                  </w:r>
                </w:p>
              </w:tc>
              <w:tc>
                <w:tcPr>
                  <w:tcW w:w="2510" w:type="pct"/>
                  <w:tcBorders>
                    <w:tl2br w:val="nil"/>
                    <w:tr2bl w:val="nil"/>
                  </w:tcBorders>
                  <w:noWrap w:val="0"/>
                  <w:vAlign w:val="center"/>
                </w:tcPr>
                <w:p w14:paraId="207EBFF8">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由渣浆泵泵入项目浮选工段进行再次浮选</w:t>
                  </w:r>
                </w:p>
              </w:tc>
              <w:tc>
                <w:tcPr>
                  <w:tcW w:w="1255" w:type="pct"/>
                  <w:vMerge w:val="continue"/>
                  <w:tcBorders>
                    <w:tl2br w:val="nil"/>
                    <w:tr2bl w:val="nil"/>
                  </w:tcBorders>
                  <w:noWrap w:val="0"/>
                  <w:vAlign w:val="center"/>
                </w:tcPr>
                <w:p w14:paraId="0400323D">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5AAF4D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701FAF5A">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7DFC2630">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除尘灰</w:t>
                  </w:r>
                </w:p>
              </w:tc>
              <w:tc>
                <w:tcPr>
                  <w:tcW w:w="2510" w:type="pct"/>
                  <w:tcBorders>
                    <w:tl2br w:val="nil"/>
                    <w:tr2bl w:val="nil"/>
                  </w:tcBorders>
                  <w:noWrap w:val="0"/>
                  <w:vAlign w:val="center"/>
                </w:tcPr>
                <w:p w14:paraId="695FFE65">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收集后作为原料进入浮选工艺</w:t>
                  </w:r>
                </w:p>
              </w:tc>
              <w:tc>
                <w:tcPr>
                  <w:tcW w:w="1255" w:type="pct"/>
                  <w:vMerge w:val="continue"/>
                  <w:tcBorders>
                    <w:tl2br w:val="nil"/>
                    <w:tr2bl w:val="nil"/>
                  </w:tcBorders>
                  <w:noWrap w:val="0"/>
                  <w:vAlign w:val="center"/>
                </w:tcPr>
                <w:p w14:paraId="14C61E30">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53515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4533C04C">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1152278F">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w:t>
                  </w:r>
                  <w:r>
                    <w:rPr>
                      <w:rFonts w:hint="eastAsia" w:ascii="Times New Roman" w:hAnsi="Times New Roman" w:eastAsia="宋体" w:cs="Times New Roman"/>
                      <w:color w:val="auto"/>
                      <w:kern w:val="2"/>
                      <w:sz w:val="18"/>
                      <w:szCs w:val="18"/>
                      <w:highlight w:val="none"/>
                      <w:lang w:val="en-US" w:eastAsia="zh-CN" w:bidi="ar-SA"/>
                    </w:rPr>
                    <w:t>润滑油和废油桶</w:t>
                  </w:r>
                </w:p>
              </w:tc>
              <w:tc>
                <w:tcPr>
                  <w:tcW w:w="2510" w:type="pct"/>
                  <w:tcBorders>
                    <w:tl2br w:val="nil"/>
                    <w:tr2bl w:val="nil"/>
                  </w:tcBorders>
                  <w:noWrap w:val="0"/>
                  <w:vAlign w:val="center"/>
                </w:tcPr>
                <w:p w14:paraId="22F31AA0">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依托公司厂区</w:t>
                  </w:r>
                  <w:r>
                    <w:rPr>
                      <w:rFonts w:hint="eastAsia" w:ascii="Times New Roman" w:hAnsi="Times New Roman" w:eastAsia="宋体" w:cs="Times New Roman"/>
                      <w:color w:val="auto"/>
                      <w:kern w:val="2"/>
                      <w:sz w:val="18"/>
                      <w:szCs w:val="18"/>
                      <w:highlight w:val="none"/>
                      <w:lang w:val="en-US" w:eastAsia="zh-CN" w:bidi="ar-SA"/>
                    </w:rPr>
                    <w:t>5</w:t>
                  </w:r>
                  <w:r>
                    <w:rPr>
                      <w:rFonts w:hint="eastAsia" w:ascii="宋体" w:hAnsi="宋体" w:eastAsia="宋体" w:cs="宋体"/>
                      <w:color w:val="auto"/>
                      <w:kern w:val="2"/>
                      <w:sz w:val="18"/>
                      <w:szCs w:val="18"/>
                      <w:highlight w:val="none"/>
                      <w:lang w:val="en-US" w:eastAsia="zh-CN" w:bidi="ar-SA"/>
                    </w:rPr>
                    <w:t>＃</w:t>
                  </w:r>
                  <w:r>
                    <w:rPr>
                      <w:rFonts w:hint="eastAsia" w:ascii="Times New Roman" w:hAnsi="Times New Roman" w:eastAsia="宋体" w:cs="Times New Roman"/>
                      <w:color w:val="auto"/>
                      <w:kern w:val="2"/>
                      <w:sz w:val="18"/>
                      <w:szCs w:val="18"/>
                      <w:highlight w:val="none"/>
                      <w:lang w:val="en-US" w:eastAsia="zh-CN" w:bidi="ar-SA"/>
                    </w:rPr>
                    <w:t>危险废物贮存库</w:t>
                  </w:r>
                  <w:r>
                    <w:rPr>
                      <w:rFonts w:hint="default" w:ascii="Times New Roman" w:hAnsi="Times New Roman" w:eastAsia="宋体" w:cs="Times New Roman"/>
                      <w:color w:val="auto"/>
                      <w:kern w:val="2"/>
                      <w:sz w:val="18"/>
                      <w:szCs w:val="18"/>
                      <w:highlight w:val="none"/>
                      <w:lang w:val="en-US" w:eastAsia="zh-CN" w:bidi="ar-SA"/>
                    </w:rPr>
                    <w:t>，定期交由</w:t>
                  </w:r>
                  <w:r>
                    <w:rPr>
                      <w:rFonts w:hint="eastAsia" w:ascii="Times New Roman" w:hAnsi="Times New Roman" w:eastAsia="宋体" w:cs="Times New Roman"/>
                      <w:color w:val="auto"/>
                      <w:kern w:val="2"/>
                      <w:sz w:val="18"/>
                      <w:szCs w:val="18"/>
                      <w:highlight w:val="none"/>
                      <w:lang w:val="en-US" w:eastAsia="zh-CN" w:bidi="ar-SA"/>
                    </w:rPr>
                    <w:t>云南广莱再生资源回收有限公司清运</w:t>
                  </w:r>
                  <w:r>
                    <w:rPr>
                      <w:rFonts w:hint="default" w:ascii="Times New Roman" w:hAnsi="Times New Roman" w:eastAsia="宋体" w:cs="Times New Roman"/>
                      <w:color w:val="auto"/>
                      <w:kern w:val="2"/>
                      <w:sz w:val="18"/>
                      <w:szCs w:val="18"/>
                      <w:highlight w:val="none"/>
                      <w:lang w:val="en-US" w:eastAsia="zh-CN" w:bidi="ar-SA"/>
                    </w:rPr>
                    <w:t>处置</w:t>
                  </w:r>
                  <w:r>
                    <w:rPr>
                      <w:rFonts w:hint="eastAsia" w:ascii="Times New Roman" w:hAnsi="Times New Roman" w:eastAsia="宋体" w:cs="Times New Roman"/>
                      <w:color w:val="auto"/>
                      <w:kern w:val="2"/>
                      <w:sz w:val="18"/>
                      <w:szCs w:val="18"/>
                      <w:highlight w:val="none"/>
                      <w:lang w:val="en-US" w:eastAsia="zh-CN" w:bidi="ar-SA"/>
                    </w:rPr>
                    <w:t>。</w:t>
                  </w:r>
                </w:p>
              </w:tc>
              <w:tc>
                <w:tcPr>
                  <w:tcW w:w="1255" w:type="pct"/>
                  <w:vMerge w:val="continue"/>
                  <w:tcBorders>
                    <w:tl2br w:val="nil"/>
                    <w:tr2bl w:val="nil"/>
                  </w:tcBorders>
                  <w:noWrap w:val="0"/>
                  <w:vAlign w:val="center"/>
                </w:tcPr>
                <w:p w14:paraId="7D29A560">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42A0AB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noWrap w:val="0"/>
                  <w:vAlign w:val="center"/>
                </w:tcPr>
                <w:p w14:paraId="2064250A">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969" w:type="pct"/>
                  <w:tcBorders>
                    <w:tl2br w:val="nil"/>
                    <w:tr2bl w:val="nil"/>
                  </w:tcBorders>
                  <w:noWrap w:val="0"/>
                  <w:vAlign w:val="center"/>
                </w:tcPr>
                <w:p w14:paraId="1140C899">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生活垃圾</w:t>
                  </w:r>
                </w:p>
              </w:tc>
              <w:tc>
                <w:tcPr>
                  <w:tcW w:w="2510" w:type="pct"/>
                  <w:tcBorders>
                    <w:tl2br w:val="nil"/>
                    <w:tr2bl w:val="nil"/>
                  </w:tcBorders>
                  <w:noWrap w:val="0"/>
                  <w:vAlign w:val="center"/>
                </w:tcPr>
                <w:p w14:paraId="04E15042">
                  <w:pPr>
                    <w:pStyle w:val="5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依托公司厂区生活垃圾收集设施，统一收集后交由当地环卫部门处理</w:t>
                  </w:r>
                </w:p>
              </w:tc>
              <w:tc>
                <w:tcPr>
                  <w:tcW w:w="1255" w:type="pct"/>
                  <w:vMerge w:val="continue"/>
                  <w:tcBorders>
                    <w:tl2br w:val="nil"/>
                    <w:tr2bl w:val="nil"/>
                  </w:tcBorders>
                  <w:noWrap w:val="0"/>
                  <w:vAlign w:val="center"/>
                </w:tcPr>
                <w:p w14:paraId="2EB41356">
                  <w:pPr>
                    <w:pStyle w:val="45"/>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r>
          </w:tbl>
          <w:p w14:paraId="07A2986B">
            <w:pPr>
              <w:pStyle w:val="30"/>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s="Times New Roman"/>
                <w:color w:val="auto"/>
                <w:sz w:val="24"/>
                <w:szCs w:val="24"/>
                <w:lang w:eastAsia="zh-CN"/>
              </w:rPr>
            </w:pPr>
          </w:p>
          <w:p w14:paraId="2045557B">
            <w:pPr>
              <w:pStyle w:val="30"/>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lang w:eastAsia="zh-CN"/>
              </w:rPr>
            </w:pPr>
          </w:p>
        </w:tc>
      </w:tr>
    </w:tbl>
    <w:p w14:paraId="7B9C8742">
      <w:pPr>
        <w:pStyle w:val="3"/>
        <w:keepNext/>
        <w:keepLines w:val="0"/>
        <w:pageBreakBefore w:val="0"/>
        <w:widowControl w:val="0"/>
        <w:kinsoku/>
        <w:wordWrap/>
        <w:overflowPunct w:val="0"/>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lang w:val="en-US" w:eastAsia="zh-CN"/>
        </w:rPr>
      </w:pPr>
      <w:bookmarkStart w:id="19" w:name="_Toc11370"/>
      <w:bookmarkStart w:id="20" w:name="_Toc13449"/>
      <w:bookmarkStart w:id="21" w:name="_Toc16552"/>
      <w:r>
        <w:rPr>
          <w:rFonts w:hint="default" w:ascii="Times New Roman" w:hAnsi="Times New Roman" w:eastAsia="宋体" w:cs="Times New Roman"/>
          <w:color w:val="auto"/>
          <w:lang w:val="en-US" w:eastAsia="zh-CN"/>
        </w:rPr>
        <w:t>六、结论与建议</w:t>
      </w:r>
      <w:bookmarkEnd w:id="19"/>
      <w:bookmarkEnd w:id="20"/>
      <w:bookmarkEnd w:id="21"/>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8522"/>
      </w:tblGrid>
      <w:tr w14:paraId="3B2A52CC">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1134" w:hRule="atLeast"/>
          <w:jc w:val="center"/>
        </w:trPr>
        <w:tc>
          <w:tcPr>
            <w:tcW w:w="5000" w:type="pct"/>
            <w:tcBorders>
              <w:tl2br w:val="nil"/>
              <w:tr2bl w:val="nil"/>
            </w:tcBorders>
            <w:noWrap w:val="0"/>
            <w:vAlign w:val="center"/>
          </w:tcPr>
          <w:p w14:paraId="6F20C9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设符合国家产业政策和环保政策，项目选址合理，项目周边500m无自然保护区、风景名胜区、居住区、文化和农村地区中人群较集中的区域及地下水集中式饮用水源和热水、矿泉水、温泉等特殊地下水资源。</w:t>
            </w:r>
          </w:p>
          <w:p w14:paraId="6917C4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本项目建设符合</w:t>
            </w:r>
            <w:r>
              <w:rPr>
                <w:rFonts w:hint="eastAsia" w:ascii="Times New Roman" w:hAnsi="Times New Roman" w:eastAsia="宋体" w:cs="Times New Roman"/>
                <w:color w:val="auto"/>
                <w:sz w:val="24"/>
                <w:szCs w:val="24"/>
              </w:rPr>
              <w:t>所在地“三线一单”（生态保护红线、环境质量底线、资源利用上线和生态环境准入清单）中相关要求，符合相关生态环境保护法律法规政策。</w:t>
            </w:r>
            <w:r>
              <w:rPr>
                <w:rFonts w:hint="default" w:ascii="Times New Roman" w:hAnsi="Times New Roman" w:eastAsia="宋体" w:cs="Times New Roman"/>
                <w:color w:val="auto"/>
                <w:sz w:val="24"/>
                <w:szCs w:val="24"/>
              </w:rPr>
              <w:t>项目运营期产生的废气、废水、噪声、固废通过采取相应的措施处理、处置后，能够达标排放，不会对项目区及外环境造成大的影响。通过分析，项目采取的污染控制措施有效、可行。在认真落实环评中提出的污染防治对策措施，保证治理设施正常运转，确保污染物达标排放的情况下，项目建设不会降低和改变该区域的环境质量和环境功能。从环境保护角度，项目的建设是可行的。</w:t>
            </w:r>
          </w:p>
          <w:p w14:paraId="1EF447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0F507F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693B6F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463E38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46A1DD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086BEB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37A8D5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5DF77B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6407A3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09DE15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59E76F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1A6BF7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3C53B5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361C15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2C9268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1CE11D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3167FA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p>
          <w:p w14:paraId="4493E30C">
            <w:pPr>
              <w:adjustRightInd w:val="0"/>
              <w:snapToGrid w:val="0"/>
              <w:spacing w:line="240" w:lineRule="auto"/>
              <w:ind w:firstLine="0" w:firstLineChars="0"/>
              <w:rPr>
                <w:rFonts w:hint="eastAsia" w:ascii="Times New Roman" w:hAnsi="Times New Roman" w:eastAsia="宋体" w:cs="Times New Roman"/>
                <w:color w:val="auto"/>
                <w:kern w:val="21"/>
                <w:lang w:eastAsia="zh-CN"/>
              </w:rPr>
            </w:pPr>
          </w:p>
        </w:tc>
      </w:tr>
    </w:tbl>
    <w:p w14:paraId="7BFD4A1C">
      <w:pPr>
        <w:rPr>
          <w:rFonts w:hint="default"/>
          <w:lang w:val="en-US" w:eastAsia="zh-CN"/>
        </w:rPr>
      </w:pPr>
    </w:p>
    <w:p w14:paraId="79BC76B6">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8F96073">
      <w:pPr>
        <w:widowControl/>
        <w:adjustRightInd w:val="0"/>
        <w:snapToGrid w:val="0"/>
        <w:spacing w:line="240" w:lineRule="auto"/>
        <w:ind w:firstLine="640"/>
        <w:outlineLvl w:val="0"/>
        <w:rPr>
          <w:rFonts w:hint="default" w:ascii="Times New Roman" w:hAnsi="Times New Roman" w:eastAsia="宋体" w:cs="Times New Roman"/>
          <w:snapToGrid w:val="0"/>
          <w:color w:val="auto"/>
          <w:kern w:val="21"/>
          <w:sz w:val="21"/>
          <w:szCs w:val="21"/>
        </w:rPr>
      </w:pPr>
      <w:bookmarkStart w:id="22" w:name="_Toc11263"/>
      <w:bookmarkStart w:id="23" w:name="_Toc7073"/>
      <w:bookmarkStart w:id="24" w:name="_Toc32209"/>
      <w:r>
        <w:rPr>
          <w:rFonts w:hint="default" w:ascii="Times New Roman" w:hAnsi="Times New Roman" w:eastAsia="宋体" w:cs="Times New Roman"/>
          <w:snapToGrid w:val="0"/>
          <w:color w:val="auto"/>
          <w:kern w:val="21"/>
          <w:sz w:val="32"/>
          <w:szCs w:val="32"/>
        </w:rPr>
        <w:t>附表</w:t>
      </w:r>
      <w:bookmarkEnd w:id="22"/>
      <w:bookmarkEnd w:id="23"/>
      <w:bookmarkEnd w:id="24"/>
    </w:p>
    <w:p w14:paraId="6D1FEB89">
      <w:pPr>
        <w:ind w:firstLine="760"/>
        <w:jc w:val="center"/>
        <w:outlineLvl w:val="0"/>
        <w:rPr>
          <w:rFonts w:hint="default" w:ascii="Times New Roman" w:hAnsi="Times New Roman" w:eastAsia="宋体" w:cs="Times New Roman"/>
          <w:snapToGrid w:val="0"/>
          <w:color w:val="auto"/>
          <w:kern w:val="21"/>
          <w:sz w:val="38"/>
          <w:szCs w:val="38"/>
        </w:rPr>
      </w:pPr>
      <w:bookmarkStart w:id="25" w:name="_Toc25490"/>
      <w:bookmarkStart w:id="26" w:name="_Toc3766"/>
      <w:bookmarkStart w:id="27" w:name="_Toc2165"/>
      <w:r>
        <w:rPr>
          <w:rFonts w:hint="default" w:ascii="Times New Roman" w:hAnsi="Times New Roman" w:eastAsia="宋体" w:cs="Times New Roman"/>
          <w:snapToGrid w:val="0"/>
          <w:color w:val="auto"/>
          <w:kern w:val="21"/>
          <w:sz w:val="38"/>
          <w:szCs w:val="38"/>
        </w:rPr>
        <w:t>建设项目污染物排放量汇总表</w:t>
      </w:r>
      <w:bookmarkEnd w:id="25"/>
      <w:bookmarkEnd w:id="26"/>
      <w:bookmarkEnd w:id="27"/>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126"/>
        <w:gridCol w:w="1559"/>
        <w:gridCol w:w="1276"/>
        <w:gridCol w:w="1701"/>
        <w:gridCol w:w="1559"/>
        <w:gridCol w:w="1761"/>
        <w:gridCol w:w="1689"/>
        <w:gridCol w:w="1096"/>
      </w:tblGrid>
      <w:tr w14:paraId="39EC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021" w:type="dxa"/>
            <w:tcBorders>
              <w:tl2br w:val="nil"/>
              <w:tr2bl w:val="nil"/>
            </w:tcBorders>
            <w:noWrap w:val="0"/>
            <w:tcMar>
              <w:left w:w="28" w:type="dxa"/>
              <w:right w:w="28" w:type="dxa"/>
            </w:tcMar>
            <w:vAlign w:val="center"/>
          </w:tcPr>
          <w:p w14:paraId="5774332E">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p w14:paraId="62EC920C">
            <w:pPr>
              <w:pStyle w:val="30"/>
              <w:rPr>
                <w:rFonts w:hint="default" w:ascii="Times New Roman" w:hAnsi="Times New Roman" w:eastAsia="宋体" w:cs="Times New Roman"/>
                <w:color w:val="auto"/>
              </w:rPr>
            </w:pPr>
          </w:p>
          <w:p w14:paraId="2E3C4DD1">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分类</w:t>
            </w:r>
          </w:p>
        </w:tc>
        <w:tc>
          <w:tcPr>
            <w:tcW w:w="2126" w:type="dxa"/>
            <w:tcBorders>
              <w:tl2br w:val="nil"/>
              <w:tr2bl w:val="nil"/>
            </w:tcBorders>
            <w:noWrap w:val="0"/>
            <w:tcMar>
              <w:left w:w="28" w:type="dxa"/>
              <w:right w:w="28" w:type="dxa"/>
            </w:tcMar>
            <w:vAlign w:val="center"/>
          </w:tcPr>
          <w:p w14:paraId="65DDBE57">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污染物名称</w:t>
            </w:r>
          </w:p>
        </w:tc>
        <w:tc>
          <w:tcPr>
            <w:tcW w:w="1559" w:type="dxa"/>
            <w:tcBorders>
              <w:tl2br w:val="nil"/>
              <w:tr2bl w:val="nil"/>
            </w:tcBorders>
            <w:noWrap w:val="0"/>
            <w:tcMar>
              <w:left w:w="28" w:type="dxa"/>
              <w:right w:w="28" w:type="dxa"/>
            </w:tcMar>
            <w:vAlign w:val="center"/>
          </w:tcPr>
          <w:p w14:paraId="1E683B70">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现有工程</w:t>
            </w:r>
          </w:p>
          <w:p w14:paraId="7CCFF80B">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排放量（固体废物产生量）</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p>
        </w:tc>
        <w:tc>
          <w:tcPr>
            <w:tcW w:w="1276" w:type="dxa"/>
            <w:tcBorders>
              <w:tl2br w:val="nil"/>
              <w:tr2bl w:val="nil"/>
            </w:tcBorders>
            <w:noWrap w:val="0"/>
            <w:tcMar>
              <w:left w:w="28" w:type="dxa"/>
              <w:right w:w="28" w:type="dxa"/>
            </w:tcMar>
            <w:vAlign w:val="center"/>
          </w:tcPr>
          <w:p w14:paraId="6A7FDA80">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现有工程</w:t>
            </w:r>
          </w:p>
          <w:p w14:paraId="2617FF0E">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许可排放量</w:t>
            </w:r>
          </w:p>
          <w:p w14:paraId="4B62A149">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2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p>
        </w:tc>
        <w:tc>
          <w:tcPr>
            <w:tcW w:w="1701" w:type="dxa"/>
            <w:tcBorders>
              <w:tl2br w:val="nil"/>
              <w:tr2bl w:val="nil"/>
            </w:tcBorders>
            <w:noWrap w:val="0"/>
            <w:tcMar>
              <w:left w:w="28" w:type="dxa"/>
              <w:right w:w="28" w:type="dxa"/>
            </w:tcMar>
            <w:vAlign w:val="center"/>
          </w:tcPr>
          <w:p w14:paraId="08BF8E76">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在建工程</w:t>
            </w:r>
          </w:p>
          <w:p w14:paraId="70FA424D">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排放量（固体废物产生量）</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p>
        </w:tc>
        <w:tc>
          <w:tcPr>
            <w:tcW w:w="1559" w:type="dxa"/>
            <w:tcBorders>
              <w:tl2br w:val="nil"/>
              <w:tr2bl w:val="nil"/>
            </w:tcBorders>
            <w:noWrap w:val="0"/>
            <w:tcMar>
              <w:left w:w="28" w:type="dxa"/>
              <w:right w:w="28" w:type="dxa"/>
            </w:tcMar>
            <w:vAlign w:val="center"/>
          </w:tcPr>
          <w:p w14:paraId="209C6E51">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本项目</w:t>
            </w:r>
          </w:p>
          <w:p w14:paraId="770A0905">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排放量（固体废物产生量）</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4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rPr>
              <w:fldChar w:fldCharType="end"/>
            </w:r>
          </w:p>
        </w:tc>
        <w:tc>
          <w:tcPr>
            <w:tcW w:w="1761" w:type="dxa"/>
            <w:tcBorders>
              <w:tl2br w:val="nil"/>
              <w:tr2bl w:val="nil"/>
            </w:tcBorders>
            <w:noWrap w:val="0"/>
            <w:tcMar>
              <w:left w:w="28" w:type="dxa"/>
              <w:right w:w="28" w:type="dxa"/>
            </w:tcMar>
            <w:vAlign w:val="center"/>
          </w:tcPr>
          <w:p w14:paraId="7B08E46E">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以新带老削减量</w:t>
            </w:r>
          </w:p>
          <w:p w14:paraId="3AD03EAD">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（新建项目不填）</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5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⑤</w:t>
            </w:r>
            <w:r>
              <w:rPr>
                <w:rFonts w:hint="default" w:ascii="Times New Roman" w:hAnsi="Times New Roman" w:eastAsia="宋体" w:cs="Times New Roman"/>
                <w:color w:val="auto"/>
              </w:rPr>
              <w:fldChar w:fldCharType="end"/>
            </w:r>
          </w:p>
        </w:tc>
        <w:tc>
          <w:tcPr>
            <w:tcW w:w="1689" w:type="dxa"/>
            <w:tcBorders>
              <w:tl2br w:val="nil"/>
              <w:tr2bl w:val="nil"/>
            </w:tcBorders>
            <w:noWrap w:val="0"/>
            <w:tcMar>
              <w:left w:w="28" w:type="dxa"/>
              <w:right w:w="28" w:type="dxa"/>
            </w:tcMar>
            <w:vAlign w:val="center"/>
          </w:tcPr>
          <w:p w14:paraId="03D5AEC6">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本项目建成后</w:t>
            </w:r>
          </w:p>
          <w:p w14:paraId="03CE4434">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全厂排放量（固体废物产生量）</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6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color w:val="auto"/>
              </w:rPr>
              <w:fldChar w:fldCharType="end"/>
            </w:r>
          </w:p>
        </w:tc>
        <w:tc>
          <w:tcPr>
            <w:tcW w:w="1096" w:type="dxa"/>
            <w:tcBorders>
              <w:tl2br w:val="nil"/>
              <w:tr2bl w:val="nil"/>
            </w:tcBorders>
            <w:noWrap w:val="0"/>
            <w:tcMar>
              <w:left w:w="28" w:type="dxa"/>
              <w:right w:w="28" w:type="dxa"/>
            </w:tcMar>
            <w:vAlign w:val="center"/>
          </w:tcPr>
          <w:p w14:paraId="397B94EB">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变化量</w:t>
            </w:r>
          </w:p>
          <w:p w14:paraId="1FCA4D42">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7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⑦</w:t>
            </w:r>
            <w:r>
              <w:rPr>
                <w:rFonts w:hint="default" w:ascii="Times New Roman" w:hAnsi="Times New Roman" w:eastAsia="宋体" w:cs="Times New Roman"/>
                <w:color w:val="auto"/>
              </w:rPr>
              <w:fldChar w:fldCharType="end"/>
            </w:r>
          </w:p>
        </w:tc>
      </w:tr>
      <w:tr w14:paraId="77B9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21" w:type="dxa"/>
            <w:vMerge w:val="restart"/>
            <w:tcBorders>
              <w:tl2br w:val="nil"/>
              <w:tr2bl w:val="nil"/>
            </w:tcBorders>
            <w:noWrap w:val="0"/>
            <w:vAlign w:val="center"/>
          </w:tcPr>
          <w:p w14:paraId="5BB3E12E">
            <w:pPr>
              <w:pStyle w:val="3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废气</w:t>
            </w:r>
            <w:r>
              <w:rPr>
                <w:rFonts w:hint="eastAsia" w:cs="Times New Roman"/>
                <w:color w:val="auto"/>
                <w:lang w:eastAsia="zh-CN"/>
              </w:rPr>
              <w:t>（</w:t>
            </w:r>
            <w:r>
              <w:rPr>
                <w:rFonts w:hint="eastAsia" w:cs="Times New Roman"/>
                <w:color w:val="auto"/>
                <w:lang w:val="en-US" w:eastAsia="zh-CN"/>
              </w:rPr>
              <w:t>t/a</w:t>
            </w:r>
            <w:r>
              <w:rPr>
                <w:rFonts w:hint="eastAsia" w:cs="Times New Roman"/>
                <w:color w:val="auto"/>
                <w:lang w:eastAsia="zh-CN"/>
              </w:rPr>
              <w:t>）</w:t>
            </w:r>
          </w:p>
        </w:tc>
        <w:tc>
          <w:tcPr>
            <w:tcW w:w="2126" w:type="dxa"/>
            <w:tcBorders>
              <w:tl2br w:val="nil"/>
              <w:tr2bl w:val="nil"/>
            </w:tcBorders>
            <w:noWrap w:val="0"/>
            <w:vAlign w:val="center"/>
          </w:tcPr>
          <w:p w14:paraId="6B87B49F">
            <w:pPr>
              <w:pStyle w:val="3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有组织粉尘</w:t>
            </w:r>
          </w:p>
        </w:tc>
        <w:tc>
          <w:tcPr>
            <w:tcW w:w="1559" w:type="dxa"/>
            <w:tcBorders>
              <w:tl2br w:val="nil"/>
              <w:tr2bl w:val="nil"/>
            </w:tcBorders>
            <w:noWrap w:val="0"/>
            <w:vAlign w:val="center"/>
          </w:tcPr>
          <w:p w14:paraId="72CCA86D">
            <w:pPr>
              <w:pStyle w:val="30"/>
              <w:rPr>
                <w:rFonts w:hint="default" w:ascii="Times New Roman" w:hAnsi="Times New Roman" w:eastAsia="宋体" w:cs="Times New Roman"/>
                <w:color w:val="auto"/>
                <w:lang w:val="en-US" w:eastAsia="zh-CN"/>
              </w:rPr>
            </w:pPr>
            <w:r>
              <w:rPr>
                <w:rFonts w:hint="eastAsia" w:cs="Times New Roman"/>
                <w:color w:val="auto"/>
                <w:lang w:val="en-US" w:eastAsia="zh-CN"/>
              </w:rPr>
              <w:t>2.31</w:t>
            </w:r>
          </w:p>
        </w:tc>
        <w:tc>
          <w:tcPr>
            <w:tcW w:w="1276" w:type="dxa"/>
            <w:tcBorders>
              <w:tl2br w:val="nil"/>
              <w:tr2bl w:val="nil"/>
            </w:tcBorders>
            <w:noWrap w:val="0"/>
            <w:vAlign w:val="center"/>
          </w:tcPr>
          <w:p w14:paraId="7E00D7C9">
            <w:pPr>
              <w:pStyle w:val="3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01" w:type="dxa"/>
            <w:tcBorders>
              <w:tl2br w:val="nil"/>
              <w:tr2bl w:val="nil"/>
            </w:tcBorders>
            <w:noWrap w:val="0"/>
            <w:vAlign w:val="center"/>
          </w:tcPr>
          <w:p w14:paraId="1351CEFA">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9" w:type="dxa"/>
            <w:tcBorders>
              <w:tl2br w:val="nil"/>
              <w:tr2bl w:val="nil"/>
            </w:tcBorders>
            <w:noWrap w:val="0"/>
            <w:vAlign w:val="center"/>
          </w:tcPr>
          <w:p w14:paraId="4DA47732">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3.15</w:t>
            </w:r>
          </w:p>
        </w:tc>
        <w:tc>
          <w:tcPr>
            <w:tcW w:w="1761" w:type="dxa"/>
            <w:tcBorders>
              <w:tl2br w:val="nil"/>
              <w:tr2bl w:val="nil"/>
            </w:tcBorders>
            <w:noWrap w:val="0"/>
            <w:vAlign w:val="center"/>
          </w:tcPr>
          <w:p w14:paraId="5C40992C">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2.31</w:t>
            </w:r>
          </w:p>
        </w:tc>
        <w:tc>
          <w:tcPr>
            <w:tcW w:w="1689" w:type="dxa"/>
            <w:tcBorders>
              <w:tl2br w:val="nil"/>
              <w:tr2bl w:val="nil"/>
            </w:tcBorders>
            <w:noWrap w:val="0"/>
            <w:vAlign w:val="center"/>
          </w:tcPr>
          <w:p w14:paraId="70DF1032">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3.15</w:t>
            </w:r>
          </w:p>
        </w:tc>
        <w:tc>
          <w:tcPr>
            <w:tcW w:w="1096" w:type="dxa"/>
            <w:tcBorders>
              <w:tl2br w:val="nil"/>
              <w:tr2bl w:val="nil"/>
            </w:tcBorders>
            <w:noWrap w:val="0"/>
            <w:vAlign w:val="center"/>
          </w:tcPr>
          <w:p w14:paraId="50D82159">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+0.84</w:t>
            </w:r>
          </w:p>
        </w:tc>
      </w:tr>
      <w:tr w14:paraId="20D3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21" w:type="dxa"/>
            <w:vMerge w:val="continue"/>
            <w:tcBorders>
              <w:tl2br w:val="nil"/>
              <w:tr2bl w:val="nil"/>
            </w:tcBorders>
            <w:noWrap w:val="0"/>
            <w:vAlign w:val="center"/>
          </w:tcPr>
          <w:p w14:paraId="7EE8EC40">
            <w:pPr>
              <w:pStyle w:val="30"/>
              <w:rPr>
                <w:rFonts w:hint="default" w:ascii="Times New Roman" w:hAnsi="Times New Roman" w:eastAsia="宋体" w:cs="Times New Roman"/>
                <w:color w:val="auto"/>
              </w:rPr>
            </w:pPr>
          </w:p>
        </w:tc>
        <w:tc>
          <w:tcPr>
            <w:tcW w:w="2126" w:type="dxa"/>
            <w:tcBorders>
              <w:tl2br w:val="nil"/>
              <w:tr2bl w:val="nil"/>
            </w:tcBorders>
            <w:noWrap w:val="0"/>
            <w:vAlign w:val="center"/>
          </w:tcPr>
          <w:p w14:paraId="7DC00736">
            <w:pPr>
              <w:pStyle w:val="3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无组织粉尘</w:t>
            </w:r>
          </w:p>
        </w:tc>
        <w:tc>
          <w:tcPr>
            <w:tcW w:w="1559" w:type="dxa"/>
            <w:tcBorders>
              <w:tl2br w:val="nil"/>
              <w:tr2bl w:val="nil"/>
            </w:tcBorders>
            <w:noWrap w:val="0"/>
            <w:vAlign w:val="center"/>
          </w:tcPr>
          <w:p w14:paraId="3FA04846">
            <w:pPr>
              <w:pStyle w:val="30"/>
              <w:rPr>
                <w:rFonts w:hint="default" w:ascii="Times New Roman" w:hAnsi="Times New Roman" w:eastAsia="宋体" w:cs="Times New Roman"/>
                <w:color w:val="auto"/>
                <w:lang w:val="en-US" w:eastAsia="zh-CN"/>
              </w:rPr>
            </w:pPr>
            <w:r>
              <w:rPr>
                <w:rFonts w:hint="eastAsia" w:cs="Times New Roman"/>
                <w:color w:val="auto"/>
                <w:lang w:val="en-US" w:eastAsia="zh-CN"/>
              </w:rPr>
              <w:t>8.16</w:t>
            </w:r>
          </w:p>
        </w:tc>
        <w:tc>
          <w:tcPr>
            <w:tcW w:w="1276" w:type="dxa"/>
            <w:tcBorders>
              <w:tl2br w:val="nil"/>
              <w:tr2bl w:val="nil"/>
            </w:tcBorders>
            <w:noWrap w:val="0"/>
            <w:vAlign w:val="center"/>
          </w:tcPr>
          <w:p w14:paraId="363636E8">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01" w:type="dxa"/>
            <w:tcBorders>
              <w:tl2br w:val="nil"/>
              <w:tr2bl w:val="nil"/>
            </w:tcBorders>
            <w:noWrap w:val="0"/>
            <w:vAlign w:val="center"/>
          </w:tcPr>
          <w:p w14:paraId="0F5C4BA1">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9" w:type="dxa"/>
            <w:tcBorders>
              <w:tl2br w:val="nil"/>
              <w:tr2bl w:val="nil"/>
            </w:tcBorders>
            <w:noWrap w:val="0"/>
            <w:vAlign w:val="center"/>
          </w:tcPr>
          <w:p w14:paraId="597D97B8">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10.73</w:t>
            </w:r>
          </w:p>
        </w:tc>
        <w:tc>
          <w:tcPr>
            <w:tcW w:w="1761" w:type="dxa"/>
            <w:tcBorders>
              <w:tl2br w:val="nil"/>
              <w:tr2bl w:val="nil"/>
            </w:tcBorders>
            <w:noWrap w:val="0"/>
            <w:vAlign w:val="center"/>
          </w:tcPr>
          <w:p w14:paraId="76518C37">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8.16</w:t>
            </w:r>
          </w:p>
        </w:tc>
        <w:tc>
          <w:tcPr>
            <w:tcW w:w="1689" w:type="dxa"/>
            <w:tcBorders>
              <w:tl2br w:val="nil"/>
              <w:tr2bl w:val="nil"/>
            </w:tcBorders>
            <w:noWrap w:val="0"/>
            <w:vAlign w:val="center"/>
          </w:tcPr>
          <w:p w14:paraId="087D35B5">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10.73</w:t>
            </w:r>
          </w:p>
        </w:tc>
        <w:tc>
          <w:tcPr>
            <w:tcW w:w="1096" w:type="dxa"/>
            <w:tcBorders>
              <w:tl2br w:val="nil"/>
              <w:tr2bl w:val="nil"/>
            </w:tcBorders>
            <w:noWrap w:val="0"/>
            <w:vAlign w:val="center"/>
          </w:tcPr>
          <w:p w14:paraId="0FB5603E">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+2.57</w:t>
            </w:r>
          </w:p>
        </w:tc>
      </w:tr>
      <w:tr w14:paraId="7178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trPr>
        <w:tc>
          <w:tcPr>
            <w:tcW w:w="1021" w:type="dxa"/>
            <w:tcBorders>
              <w:tl2br w:val="nil"/>
              <w:tr2bl w:val="nil"/>
            </w:tcBorders>
            <w:shd w:val="clear" w:color="auto" w:fill="auto"/>
            <w:noWrap w:val="0"/>
            <w:vAlign w:val="center"/>
          </w:tcPr>
          <w:p w14:paraId="58FED7B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outlineLvl w:val="9"/>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rPr>
              <w:t>废水</w:t>
            </w:r>
            <w:r>
              <w:rPr>
                <w:rFonts w:hint="eastAsia" w:ascii="Times New Roman" w:hAnsi="Times New Roman" w:cs="Times New Roman"/>
                <w:color w:val="auto"/>
                <w:sz w:val="18"/>
                <w:szCs w:val="18"/>
                <w:highlight w:val="none"/>
                <w:lang w:val="en-US" w:eastAsia="zh-CN"/>
              </w:rPr>
              <w:t>（</w:t>
            </w:r>
            <w:r>
              <w:rPr>
                <w:rFonts w:hint="eastAsia" w:ascii="Times New Roman" w:hAnsi="Times New Roman" w:cs="Times New Roman"/>
                <w:bCs/>
                <w:color w:val="auto"/>
                <w:kern w:val="0"/>
                <w:sz w:val="18"/>
                <w:szCs w:val="18"/>
                <w:highlight w:val="none"/>
                <w:lang w:val="en-US" w:eastAsia="zh-CN"/>
              </w:rPr>
              <w:t>m</w:t>
            </w:r>
            <w:r>
              <w:rPr>
                <w:rFonts w:hint="eastAsia" w:ascii="Times New Roman" w:hAnsi="Times New Roman" w:cs="Times New Roman"/>
                <w:bCs/>
                <w:color w:val="auto"/>
                <w:kern w:val="0"/>
                <w:sz w:val="18"/>
                <w:szCs w:val="18"/>
                <w:highlight w:val="none"/>
                <w:vertAlign w:val="superscript"/>
                <w:lang w:val="en-US" w:eastAsia="zh-CN"/>
              </w:rPr>
              <w:t>3</w:t>
            </w:r>
            <w:r>
              <w:rPr>
                <w:rFonts w:hint="eastAsia" w:ascii="Times New Roman" w:hAnsi="Times New Roman" w:cs="Times New Roman"/>
                <w:bCs/>
                <w:color w:val="auto"/>
                <w:kern w:val="0"/>
                <w:sz w:val="18"/>
                <w:szCs w:val="18"/>
                <w:highlight w:val="none"/>
                <w:lang w:val="en-US" w:eastAsia="zh-CN"/>
              </w:rPr>
              <w:t>/a</w:t>
            </w:r>
            <w:r>
              <w:rPr>
                <w:rFonts w:hint="eastAsia" w:ascii="Times New Roman" w:hAnsi="Times New Roman" w:cs="Times New Roman"/>
                <w:color w:val="auto"/>
                <w:sz w:val="18"/>
                <w:szCs w:val="18"/>
                <w:highlight w:val="none"/>
                <w:lang w:val="en-US" w:eastAsia="zh-CN"/>
              </w:rPr>
              <w:t>）</w:t>
            </w:r>
          </w:p>
        </w:tc>
        <w:tc>
          <w:tcPr>
            <w:tcW w:w="2126" w:type="dxa"/>
            <w:tcBorders>
              <w:tl2br w:val="nil"/>
              <w:tr2bl w:val="nil"/>
            </w:tcBorders>
            <w:noWrap w:val="0"/>
            <w:vAlign w:val="center"/>
          </w:tcPr>
          <w:p w14:paraId="19583D23">
            <w:pPr>
              <w:pStyle w:val="30"/>
              <w:rPr>
                <w:rFonts w:hint="default" w:ascii="Times New Roman" w:hAnsi="Times New Roman" w:eastAsia="宋体" w:cs="Times New Roman"/>
                <w:color w:val="auto"/>
                <w:lang w:val="en-US" w:eastAsia="zh-CN"/>
              </w:rPr>
            </w:pPr>
            <w:r>
              <w:rPr>
                <w:rFonts w:hint="eastAsia" w:cs="Times New Roman"/>
                <w:color w:val="auto"/>
                <w:lang w:val="en-US" w:eastAsia="zh-CN"/>
              </w:rPr>
              <w:t>生产废水</w:t>
            </w:r>
          </w:p>
        </w:tc>
        <w:tc>
          <w:tcPr>
            <w:tcW w:w="1559" w:type="dxa"/>
            <w:tcBorders>
              <w:tl2br w:val="nil"/>
              <w:tr2bl w:val="nil"/>
            </w:tcBorders>
            <w:noWrap w:val="0"/>
            <w:vAlign w:val="center"/>
          </w:tcPr>
          <w:p w14:paraId="6663BE4C">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eastAsia" w:ascii="Times New Roman" w:hAnsi="Times New Roman" w:cs="Times New Roman"/>
                <w:color w:val="auto"/>
                <w:lang w:val="en-US" w:eastAsia="zh-CN"/>
              </w:rPr>
              <w:t>/</w:t>
            </w:r>
          </w:p>
        </w:tc>
        <w:tc>
          <w:tcPr>
            <w:tcW w:w="1276" w:type="dxa"/>
            <w:tcBorders>
              <w:tl2br w:val="nil"/>
              <w:tr2bl w:val="nil"/>
            </w:tcBorders>
            <w:noWrap w:val="0"/>
            <w:vAlign w:val="center"/>
          </w:tcPr>
          <w:p w14:paraId="1F95EC63">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01" w:type="dxa"/>
            <w:tcBorders>
              <w:tl2br w:val="nil"/>
              <w:tr2bl w:val="nil"/>
            </w:tcBorders>
            <w:noWrap w:val="0"/>
            <w:vAlign w:val="center"/>
          </w:tcPr>
          <w:p w14:paraId="5D454201">
            <w:pPr>
              <w:pStyle w:val="3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9" w:type="dxa"/>
            <w:tcBorders>
              <w:tl2br w:val="nil"/>
              <w:tr2bl w:val="nil"/>
            </w:tcBorders>
            <w:noWrap w:val="0"/>
            <w:vAlign w:val="center"/>
          </w:tcPr>
          <w:p w14:paraId="230F2C18">
            <w:pPr>
              <w:pStyle w:val="30"/>
              <w:rPr>
                <w:rFonts w:hint="eastAsia" w:ascii="Times New Roman" w:hAnsi="Times New Roman" w:eastAsia="宋体" w:cs="Times New Roman"/>
                <w:color w:val="auto"/>
                <w:lang w:val="en-US" w:eastAsia="zh-CN"/>
              </w:rPr>
            </w:pPr>
          </w:p>
        </w:tc>
        <w:tc>
          <w:tcPr>
            <w:tcW w:w="1761" w:type="dxa"/>
            <w:tcBorders>
              <w:tl2br w:val="nil"/>
              <w:tr2bl w:val="nil"/>
            </w:tcBorders>
            <w:noWrap w:val="0"/>
            <w:vAlign w:val="center"/>
          </w:tcPr>
          <w:p w14:paraId="7C9F9EDD">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689" w:type="dxa"/>
            <w:tcBorders>
              <w:tl2br w:val="nil"/>
              <w:tr2bl w:val="nil"/>
            </w:tcBorders>
            <w:noWrap w:val="0"/>
            <w:vAlign w:val="center"/>
          </w:tcPr>
          <w:p w14:paraId="56E1F6E7">
            <w:pPr>
              <w:pStyle w:val="30"/>
              <w:rPr>
                <w:rFonts w:hint="eastAsia" w:ascii="Times New Roman" w:hAnsi="Times New Roman" w:eastAsia="宋体" w:cs="Times New Roman"/>
                <w:color w:val="auto"/>
                <w:lang w:val="en-US" w:eastAsia="zh-CN"/>
              </w:rPr>
            </w:pPr>
          </w:p>
        </w:tc>
        <w:tc>
          <w:tcPr>
            <w:tcW w:w="1096" w:type="dxa"/>
            <w:tcBorders>
              <w:tl2br w:val="nil"/>
              <w:tr2bl w:val="nil"/>
            </w:tcBorders>
            <w:noWrap w:val="0"/>
            <w:vAlign w:val="center"/>
          </w:tcPr>
          <w:p w14:paraId="4A29599B">
            <w:pPr>
              <w:pStyle w:val="30"/>
              <w:rPr>
                <w:rFonts w:hint="default" w:ascii="Times New Roman" w:hAnsi="Times New Roman" w:eastAsia="宋体" w:cs="Times New Roman"/>
                <w:color w:val="auto"/>
                <w:lang w:val="en-US" w:eastAsia="zh-CN"/>
              </w:rPr>
            </w:pPr>
          </w:p>
        </w:tc>
      </w:tr>
      <w:tr w14:paraId="6AF6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21" w:type="dxa"/>
            <w:vMerge w:val="restart"/>
            <w:tcBorders>
              <w:tl2br w:val="nil"/>
              <w:tr2bl w:val="nil"/>
            </w:tcBorders>
            <w:noWrap w:val="0"/>
            <w:vAlign w:val="center"/>
          </w:tcPr>
          <w:p w14:paraId="4089D2C6">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一般工业固体废物</w:t>
            </w:r>
            <w:r>
              <w:rPr>
                <w:rFonts w:hint="default" w:ascii="Times New Roman" w:hAnsi="Times New Roman" w:eastAsia="宋体" w:cs="Times New Roman"/>
                <w:snapToGrid w:val="0"/>
                <w:color w:val="auto"/>
                <w:kern w:val="21"/>
                <w:sz w:val="18"/>
                <w:szCs w:val="18"/>
              </w:rPr>
              <w:t>（t/a）</w:t>
            </w:r>
          </w:p>
        </w:tc>
        <w:tc>
          <w:tcPr>
            <w:tcW w:w="2126" w:type="dxa"/>
            <w:tcBorders>
              <w:tl2br w:val="nil"/>
              <w:tr2bl w:val="nil"/>
            </w:tcBorders>
            <w:noWrap w:val="0"/>
            <w:vAlign w:val="center"/>
          </w:tcPr>
          <w:p w14:paraId="2517696D">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尾渣</w:t>
            </w:r>
          </w:p>
        </w:tc>
        <w:tc>
          <w:tcPr>
            <w:tcW w:w="1559" w:type="dxa"/>
            <w:tcBorders>
              <w:tl2br w:val="nil"/>
              <w:tr2bl w:val="nil"/>
            </w:tcBorders>
            <w:noWrap w:val="0"/>
            <w:vAlign w:val="center"/>
          </w:tcPr>
          <w:p w14:paraId="2F6DADFD">
            <w:pPr>
              <w:pStyle w:val="30"/>
              <w:rPr>
                <w:rFonts w:hint="default" w:ascii="Times New Roman" w:hAnsi="Times New Roman" w:eastAsia="宋体" w:cs="Times New Roman"/>
                <w:color w:val="auto"/>
                <w:lang w:val="en-US"/>
              </w:rPr>
            </w:pPr>
            <w:r>
              <w:rPr>
                <w:rFonts w:hint="eastAsia" w:cs="Times New Roman"/>
                <w:snapToGrid w:val="0"/>
                <w:color w:val="auto"/>
                <w:kern w:val="21"/>
                <w:sz w:val="18"/>
                <w:szCs w:val="18"/>
                <w:lang w:val="en-US" w:eastAsia="zh-CN"/>
              </w:rPr>
              <w:t>195030</w:t>
            </w:r>
          </w:p>
        </w:tc>
        <w:tc>
          <w:tcPr>
            <w:tcW w:w="1276" w:type="dxa"/>
            <w:tcBorders>
              <w:tl2br w:val="nil"/>
              <w:tr2bl w:val="nil"/>
            </w:tcBorders>
            <w:noWrap w:val="0"/>
            <w:vAlign w:val="center"/>
          </w:tcPr>
          <w:p w14:paraId="2E54AD9E">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01" w:type="dxa"/>
            <w:tcBorders>
              <w:tl2br w:val="nil"/>
              <w:tr2bl w:val="nil"/>
            </w:tcBorders>
            <w:noWrap w:val="0"/>
            <w:vAlign w:val="center"/>
          </w:tcPr>
          <w:p w14:paraId="31368FF4">
            <w:pPr>
              <w:pStyle w:val="3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9" w:type="dxa"/>
            <w:tcBorders>
              <w:tl2br w:val="nil"/>
              <w:tr2bl w:val="nil"/>
            </w:tcBorders>
            <w:noWrap w:val="0"/>
            <w:vAlign w:val="center"/>
          </w:tcPr>
          <w:p w14:paraId="5AB6B2BD">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245549.7</w:t>
            </w:r>
          </w:p>
        </w:tc>
        <w:tc>
          <w:tcPr>
            <w:tcW w:w="1761" w:type="dxa"/>
            <w:tcBorders>
              <w:tl2br w:val="nil"/>
              <w:tr2bl w:val="nil"/>
            </w:tcBorders>
            <w:noWrap w:val="0"/>
            <w:vAlign w:val="center"/>
          </w:tcPr>
          <w:p w14:paraId="5AEF66DD">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195030</w:t>
            </w:r>
          </w:p>
        </w:tc>
        <w:tc>
          <w:tcPr>
            <w:tcW w:w="1689" w:type="dxa"/>
            <w:tcBorders>
              <w:tl2br w:val="nil"/>
              <w:tr2bl w:val="nil"/>
            </w:tcBorders>
            <w:noWrap w:val="0"/>
            <w:vAlign w:val="center"/>
          </w:tcPr>
          <w:p w14:paraId="675D1506">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245549.7</w:t>
            </w:r>
          </w:p>
        </w:tc>
        <w:tc>
          <w:tcPr>
            <w:tcW w:w="1096" w:type="dxa"/>
            <w:tcBorders>
              <w:tl2br w:val="nil"/>
              <w:tr2bl w:val="nil"/>
            </w:tcBorders>
            <w:noWrap w:val="0"/>
            <w:vAlign w:val="center"/>
          </w:tcPr>
          <w:p w14:paraId="78C35802">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+50519.7</w:t>
            </w:r>
          </w:p>
        </w:tc>
      </w:tr>
      <w:tr w14:paraId="76C4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021" w:type="dxa"/>
            <w:vMerge w:val="continue"/>
            <w:tcBorders>
              <w:tl2br w:val="nil"/>
              <w:tr2bl w:val="nil"/>
            </w:tcBorders>
            <w:noWrap w:val="0"/>
            <w:vAlign w:val="center"/>
          </w:tcPr>
          <w:p w14:paraId="451F5202">
            <w:pPr>
              <w:pStyle w:val="30"/>
              <w:rPr>
                <w:rFonts w:hint="default" w:ascii="Times New Roman" w:hAnsi="Times New Roman" w:eastAsia="宋体" w:cs="Times New Roman"/>
                <w:color w:val="auto"/>
              </w:rPr>
            </w:pPr>
          </w:p>
        </w:tc>
        <w:tc>
          <w:tcPr>
            <w:tcW w:w="2126" w:type="dxa"/>
            <w:tcBorders>
              <w:tl2br w:val="nil"/>
              <w:tr2bl w:val="nil"/>
            </w:tcBorders>
            <w:noWrap w:val="0"/>
            <w:vAlign w:val="center"/>
          </w:tcPr>
          <w:p w14:paraId="00AD70B0">
            <w:pPr>
              <w:pStyle w:val="30"/>
              <w:rPr>
                <w:rFonts w:hint="default" w:ascii="Times New Roman" w:hAnsi="Times New Roman" w:eastAsia="宋体" w:cs="Times New Roman"/>
                <w:color w:val="auto"/>
                <w:lang w:val="en-US" w:eastAsia="zh-CN"/>
              </w:rPr>
            </w:pPr>
            <w:r>
              <w:rPr>
                <w:rFonts w:hint="eastAsia" w:cs="Times New Roman"/>
                <w:color w:val="auto"/>
                <w:lang w:val="en-US" w:eastAsia="zh-CN"/>
              </w:rPr>
              <w:t>回水池污泥</w:t>
            </w:r>
          </w:p>
        </w:tc>
        <w:tc>
          <w:tcPr>
            <w:tcW w:w="1559" w:type="dxa"/>
            <w:tcBorders>
              <w:tl2br w:val="nil"/>
              <w:tr2bl w:val="nil"/>
            </w:tcBorders>
            <w:noWrap w:val="0"/>
            <w:vAlign w:val="center"/>
          </w:tcPr>
          <w:p w14:paraId="0AA37EA4">
            <w:pPr>
              <w:pStyle w:val="30"/>
              <w:rPr>
                <w:rFonts w:hint="default" w:ascii="Times New Roman" w:hAnsi="Times New Roman" w:eastAsia="宋体" w:cs="Times New Roman"/>
                <w:color w:val="auto"/>
                <w:lang w:val="en-US" w:eastAsia="zh-CN"/>
              </w:rPr>
            </w:pPr>
            <w:r>
              <w:rPr>
                <w:rFonts w:hint="eastAsia" w:cs="Times New Roman"/>
                <w:color w:val="auto"/>
                <w:lang w:val="en-US" w:eastAsia="zh-CN"/>
              </w:rPr>
              <w:t>935</w:t>
            </w:r>
          </w:p>
        </w:tc>
        <w:tc>
          <w:tcPr>
            <w:tcW w:w="1276" w:type="dxa"/>
            <w:tcBorders>
              <w:tl2br w:val="nil"/>
              <w:tr2bl w:val="nil"/>
            </w:tcBorders>
            <w:noWrap w:val="0"/>
            <w:vAlign w:val="center"/>
          </w:tcPr>
          <w:p w14:paraId="05995148">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01" w:type="dxa"/>
            <w:tcBorders>
              <w:tl2br w:val="nil"/>
              <w:tr2bl w:val="nil"/>
            </w:tcBorders>
            <w:noWrap w:val="0"/>
            <w:vAlign w:val="center"/>
          </w:tcPr>
          <w:p w14:paraId="4A721CF3">
            <w:pPr>
              <w:pStyle w:val="3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9" w:type="dxa"/>
            <w:tcBorders>
              <w:tl2br w:val="nil"/>
              <w:tr2bl w:val="nil"/>
            </w:tcBorders>
            <w:noWrap w:val="0"/>
            <w:vAlign w:val="center"/>
          </w:tcPr>
          <w:p w14:paraId="11F4150D">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1200</w:t>
            </w:r>
          </w:p>
        </w:tc>
        <w:tc>
          <w:tcPr>
            <w:tcW w:w="1761" w:type="dxa"/>
            <w:tcBorders>
              <w:tl2br w:val="nil"/>
              <w:tr2bl w:val="nil"/>
            </w:tcBorders>
            <w:noWrap w:val="0"/>
            <w:vAlign w:val="center"/>
          </w:tcPr>
          <w:p w14:paraId="78262785">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935</w:t>
            </w:r>
          </w:p>
        </w:tc>
        <w:tc>
          <w:tcPr>
            <w:tcW w:w="1689" w:type="dxa"/>
            <w:tcBorders>
              <w:tl2br w:val="nil"/>
              <w:tr2bl w:val="nil"/>
            </w:tcBorders>
            <w:noWrap w:val="0"/>
            <w:vAlign w:val="center"/>
          </w:tcPr>
          <w:p w14:paraId="6CE1B015">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1200</w:t>
            </w:r>
          </w:p>
        </w:tc>
        <w:tc>
          <w:tcPr>
            <w:tcW w:w="1096" w:type="dxa"/>
            <w:tcBorders>
              <w:tl2br w:val="nil"/>
              <w:tr2bl w:val="nil"/>
            </w:tcBorders>
            <w:noWrap w:val="0"/>
            <w:vAlign w:val="center"/>
          </w:tcPr>
          <w:p w14:paraId="5EF161CC">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+265</w:t>
            </w:r>
          </w:p>
        </w:tc>
      </w:tr>
      <w:tr w14:paraId="2FB6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tcBorders>
              <w:tl2br w:val="nil"/>
              <w:tr2bl w:val="nil"/>
            </w:tcBorders>
            <w:noWrap w:val="0"/>
            <w:vAlign w:val="center"/>
          </w:tcPr>
          <w:p w14:paraId="24C1C555">
            <w:pPr>
              <w:pStyle w:val="30"/>
              <w:rPr>
                <w:rFonts w:hint="default" w:ascii="Times New Roman" w:hAnsi="Times New Roman" w:eastAsia="宋体" w:cs="Times New Roman"/>
                <w:color w:val="auto"/>
              </w:rPr>
            </w:pPr>
          </w:p>
        </w:tc>
        <w:tc>
          <w:tcPr>
            <w:tcW w:w="2126" w:type="dxa"/>
            <w:tcBorders>
              <w:tl2br w:val="nil"/>
              <w:tr2bl w:val="nil"/>
            </w:tcBorders>
            <w:noWrap w:val="0"/>
            <w:vAlign w:val="center"/>
          </w:tcPr>
          <w:p w14:paraId="177774FF">
            <w:pPr>
              <w:pStyle w:val="30"/>
              <w:rPr>
                <w:rFonts w:hint="eastAsia" w:ascii="Times New Roman" w:hAnsi="Times New Roman" w:eastAsia="宋体" w:cs="Times New Roman"/>
                <w:color w:val="auto"/>
                <w:lang w:eastAsia="zh-CN"/>
              </w:rPr>
            </w:pPr>
            <w:r>
              <w:rPr>
                <w:rFonts w:hint="eastAsia" w:cs="Times New Roman"/>
                <w:color w:val="auto"/>
                <w:lang w:val="en-US" w:eastAsia="zh-CN"/>
              </w:rPr>
              <w:t>除尘灰</w:t>
            </w:r>
          </w:p>
        </w:tc>
        <w:tc>
          <w:tcPr>
            <w:tcW w:w="1559" w:type="dxa"/>
            <w:tcBorders>
              <w:tl2br w:val="nil"/>
              <w:tr2bl w:val="nil"/>
            </w:tcBorders>
            <w:noWrap w:val="0"/>
            <w:vAlign w:val="center"/>
          </w:tcPr>
          <w:p w14:paraId="58B826E5">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240.89</w:t>
            </w:r>
          </w:p>
        </w:tc>
        <w:tc>
          <w:tcPr>
            <w:tcW w:w="1276" w:type="dxa"/>
            <w:tcBorders>
              <w:tl2br w:val="nil"/>
              <w:tr2bl w:val="nil"/>
            </w:tcBorders>
            <w:noWrap w:val="0"/>
            <w:vAlign w:val="center"/>
          </w:tcPr>
          <w:p w14:paraId="5DE7DDF2">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01" w:type="dxa"/>
            <w:tcBorders>
              <w:tl2br w:val="nil"/>
              <w:tr2bl w:val="nil"/>
            </w:tcBorders>
            <w:noWrap w:val="0"/>
            <w:vAlign w:val="center"/>
          </w:tcPr>
          <w:p w14:paraId="32B6EB16">
            <w:pPr>
              <w:pStyle w:val="3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9" w:type="dxa"/>
            <w:tcBorders>
              <w:tl2br w:val="nil"/>
              <w:tr2bl w:val="nil"/>
            </w:tcBorders>
            <w:noWrap w:val="0"/>
            <w:vAlign w:val="center"/>
          </w:tcPr>
          <w:p w14:paraId="43CF8A8F">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315.01</w:t>
            </w:r>
          </w:p>
        </w:tc>
        <w:tc>
          <w:tcPr>
            <w:tcW w:w="1761" w:type="dxa"/>
            <w:tcBorders>
              <w:tl2br w:val="nil"/>
              <w:tr2bl w:val="nil"/>
            </w:tcBorders>
            <w:noWrap w:val="0"/>
            <w:vAlign w:val="center"/>
          </w:tcPr>
          <w:p w14:paraId="7AF00C44">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240.89</w:t>
            </w:r>
          </w:p>
        </w:tc>
        <w:tc>
          <w:tcPr>
            <w:tcW w:w="1689" w:type="dxa"/>
            <w:tcBorders>
              <w:tl2br w:val="nil"/>
              <w:tr2bl w:val="nil"/>
            </w:tcBorders>
            <w:noWrap w:val="0"/>
            <w:vAlign w:val="center"/>
          </w:tcPr>
          <w:p w14:paraId="55E6CCB0">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315.01</w:t>
            </w:r>
          </w:p>
        </w:tc>
        <w:tc>
          <w:tcPr>
            <w:tcW w:w="1096" w:type="dxa"/>
            <w:tcBorders>
              <w:tl2br w:val="nil"/>
              <w:tr2bl w:val="nil"/>
            </w:tcBorders>
            <w:noWrap w:val="0"/>
            <w:vAlign w:val="center"/>
          </w:tcPr>
          <w:p w14:paraId="30FB4720">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+74.12</w:t>
            </w:r>
          </w:p>
        </w:tc>
      </w:tr>
      <w:tr w14:paraId="464F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tcBorders>
              <w:tl2br w:val="nil"/>
              <w:tr2bl w:val="nil"/>
            </w:tcBorders>
            <w:noWrap w:val="0"/>
            <w:vAlign w:val="center"/>
          </w:tcPr>
          <w:p w14:paraId="450DF165">
            <w:pPr>
              <w:pStyle w:val="30"/>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r>
              <w:rPr>
                <w:rFonts w:hint="default" w:ascii="Times New Roman" w:hAnsi="Times New Roman" w:eastAsia="宋体" w:cs="Times New Roman"/>
                <w:snapToGrid w:val="0"/>
                <w:color w:val="auto"/>
                <w:kern w:val="21"/>
                <w:sz w:val="18"/>
                <w:szCs w:val="18"/>
              </w:rPr>
              <w:t>（t/a）</w:t>
            </w:r>
          </w:p>
        </w:tc>
        <w:tc>
          <w:tcPr>
            <w:tcW w:w="2126" w:type="dxa"/>
            <w:tcBorders>
              <w:tl2br w:val="nil"/>
              <w:tr2bl w:val="nil"/>
            </w:tcBorders>
            <w:noWrap w:val="0"/>
            <w:vAlign w:val="center"/>
          </w:tcPr>
          <w:p w14:paraId="5FDD986E">
            <w:pPr>
              <w:pStyle w:val="3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废</w:t>
            </w:r>
            <w:r>
              <w:rPr>
                <w:rFonts w:hint="eastAsia" w:cs="Times New Roman"/>
                <w:color w:val="auto"/>
                <w:lang w:val="en-US" w:eastAsia="zh-CN"/>
              </w:rPr>
              <w:t>润滑油</w:t>
            </w:r>
          </w:p>
        </w:tc>
        <w:tc>
          <w:tcPr>
            <w:tcW w:w="1559" w:type="dxa"/>
            <w:tcBorders>
              <w:tl2br w:val="nil"/>
              <w:tr2bl w:val="nil"/>
            </w:tcBorders>
            <w:noWrap w:val="0"/>
            <w:vAlign w:val="center"/>
          </w:tcPr>
          <w:p w14:paraId="65A37A6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lang w:val="en-US"/>
              </w:rPr>
            </w:pPr>
            <w:r>
              <w:rPr>
                <w:rFonts w:hint="eastAsia" w:cs="Times New Roman"/>
                <w:color w:val="auto"/>
                <w:lang w:val="en-US" w:eastAsia="zh-CN"/>
              </w:rPr>
              <w:t>0.01</w:t>
            </w:r>
          </w:p>
        </w:tc>
        <w:tc>
          <w:tcPr>
            <w:tcW w:w="1276" w:type="dxa"/>
            <w:tcBorders>
              <w:tl2br w:val="nil"/>
              <w:tr2bl w:val="nil"/>
            </w:tcBorders>
            <w:noWrap w:val="0"/>
            <w:vAlign w:val="center"/>
          </w:tcPr>
          <w:p w14:paraId="3D5D699D">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01" w:type="dxa"/>
            <w:tcBorders>
              <w:tl2br w:val="nil"/>
              <w:tr2bl w:val="nil"/>
            </w:tcBorders>
            <w:noWrap w:val="0"/>
            <w:vAlign w:val="center"/>
          </w:tcPr>
          <w:p w14:paraId="001C8868">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9" w:type="dxa"/>
            <w:tcBorders>
              <w:tl2br w:val="nil"/>
              <w:tr2bl w:val="nil"/>
            </w:tcBorders>
            <w:noWrap w:val="0"/>
            <w:vAlign w:val="center"/>
          </w:tcPr>
          <w:p w14:paraId="1B9A77CB">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0.03</w:t>
            </w:r>
          </w:p>
        </w:tc>
        <w:tc>
          <w:tcPr>
            <w:tcW w:w="1761" w:type="dxa"/>
            <w:tcBorders>
              <w:tl2br w:val="nil"/>
              <w:tr2bl w:val="nil"/>
            </w:tcBorders>
            <w:noWrap w:val="0"/>
            <w:vAlign w:val="center"/>
          </w:tcPr>
          <w:p w14:paraId="7AAFB8D0">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w:t>
            </w:r>
          </w:p>
        </w:tc>
        <w:tc>
          <w:tcPr>
            <w:tcW w:w="1689" w:type="dxa"/>
            <w:tcBorders>
              <w:tl2br w:val="nil"/>
              <w:tr2bl w:val="nil"/>
            </w:tcBorders>
            <w:noWrap w:val="0"/>
            <w:vAlign w:val="center"/>
          </w:tcPr>
          <w:p w14:paraId="05BE2BAE">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0.03</w:t>
            </w:r>
          </w:p>
        </w:tc>
        <w:tc>
          <w:tcPr>
            <w:tcW w:w="1096" w:type="dxa"/>
            <w:tcBorders>
              <w:tl2br w:val="nil"/>
              <w:tr2bl w:val="nil"/>
            </w:tcBorders>
            <w:noWrap w:val="0"/>
            <w:vAlign w:val="center"/>
          </w:tcPr>
          <w:p w14:paraId="43ECCE68">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w:t>
            </w:r>
          </w:p>
        </w:tc>
      </w:tr>
      <w:tr w14:paraId="2A88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tcBorders>
              <w:tl2br w:val="nil"/>
              <w:tr2bl w:val="nil"/>
            </w:tcBorders>
            <w:noWrap w:val="0"/>
            <w:vAlign w:val="center"/>
          </w:tcPr>
          <w:p w14:paraId="56F46D63">
            <w:pPr>
              <w:pStyle w:val="30"/>
              <w:rPr>
                <w:rFonts w:hint="default" w:ascii="Times New Roman" w:hAnsi="Times New Roman" w:eastAsia="宋体" w:cs="Times New Roman"/>
                <w:color w:val="auto"/>
              </w:rPr>
            </w:pPr>
          </w:p>
        </w:tc>
        <w:tc>
          <w:tcPr>
            <w:tcW w:w="2126" w:type="dxa"/>
            <w:tcBorders>
              <w:tl2br w:val="nil"/>
              <w:tr2bl w:val="nil"/>
            </w:tcBorders>
            <w:noWrap w:val="0"/>
            <w:vAlign w:val="center"/>
          </w:tcPr>
          <w:p w14:paraId="368BFD58">
            <w:pPr>
              <w:pStyle w:val="30"/>
              <w:rPr>
                <w:rFonts w:hint="eastAsia" w:ascii="Times New Roman" w:hAnsi="Times New Roman" w:eastAsia="宋体" w:cs="Times New Roman"/>
                <w:color w:val="auto"/>
                <w:lang w:val="en-US" w:eastAsia="zh-CN"/>
              </w:rPr>
            </w:pPr>
            <w:r>
              <w:rPr>
                <w:rFonts w:hint="eastAsia" w:cs="Times New Roman"/>
                <w:color w:val="auto"/>
                <w:lang w:val="en-US" w:eastAsia="zh-CN"/>
              </w:rPr>
              <w:t>废油桶</w:t>
            </w:r>
          </w:p>
        </w:tc>
        <w:tc>
          <w:tcPr>
            <w:tcW w:w="1559" w:type="dxa"/>
            <w:tcBorders>
              <w:tl2br w:val="nil"/>
              <w:tr2bl w:val="nil"/>
            </w:tcBorders>
            <w:noWrap w:val="0"/>
            <w:vAlign w:val="center"/>
          </w:tcPr>
          <w:p w14:paraId="17A0F216">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0.03</w:t>
            </w:r>
          </w:p>
        </w:tc>
        <w:tc>
          <w:tcPr>
            <w:tcW w:w="1276" w:type="dxa"/>
            <w:tcBorders>
              <w:tl2br w:val="nil"/>
              <w:tr2bl w:val="nil"/>
            </w:tcBorders>
            <w:noWrap w:val="0"/>
            <w:vAlign w:val="center"/>
          </w:tcPr>
          <w:p w14:paraId="3176A4DD">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01" w:type="dxa"/>
            <w:tcBorders>
              <w:tl2br w:val="nil"/>
              <w:tr2bl w:val="nil"/>
            </w:tcBorders>
            <w:noWrap w:val="0"/>
            <w:vAlign w:val="center"/>
          </w:tcPr>
          <w:p w14:paraId="43052103">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559" w:type="dxa"/>
            <w:tcBorders>
              <w:tl2br w:val="nil"/>
              <w:tr2bl w:val="nil"/>
            </w:tcBorders>
            <w:noWrap w:val="0"/>
            <w:vAlign w:val="center"/>
          </w:tcPr>
          <w:p w14:paraId="5FB6ACDE">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w:t>
            </w:r>
          </w:p>
        </w:tc>
        <w:tc>
          <w:tcPr>
            <w:tcW w:w="1761" w:type="dxa"/>
            <w:tcBorders>
              <w:tl2br w:val="nil"/>
              <w:tr2bl w:val="nil"/>
            </w:tcBorders>
            <w:noWrap w:val="0"/>
            <w:vAlign w:val="center"/>
          </w:tcPr>
          <w:p w14:paraId="02E699B0">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0.03</w:t>
            </w:r>
          </w:p>
        </w:tc>
        <w:tc>
          <w:tcPr>
            <w:tcW w:w="1689" w:type="dxa"/>
            <w:tcBorders>
              <w:tl2br w:val="nil"/>
              <w:tr2bl w:val="nil"/>
            </w:tcBorders>
            <w:noWrap w:val="0"/>
            <w:vAlign w:val="center"/>
          </w:tcPr>
          <w:p w14:paraId="0EC14042">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w:t>
            </w:r>
          </w:p>
        </w:tc>
        <w:tc>
          <w:tcPr>
            <w:tcW w:w="1096" w:type="dxa"/>
            <w:tcBorders>
              <w:tl2br w:val="nil"/>
              <w:tr2bl w:val="nil"/>
            </w:tcBorders>
            <w:noWrap w:val="0"/>
            <w:vAlign w:val="center"/>
          </w:tcPr>
          <w:p w14:paraId="3AF80C87">
            <w:pPr>
              <w:pStyle w:val="3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w:t>
            </w:r>
          </w:p>
        </w:tc>
      </w:tr>
    </w:tbl>
    <w:p w14:paraId="60F33C6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注：</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6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1"/>
          <w:sz w:val="21"/>
          <w:szCs w:val="21"/>
        </w:rPr>
        <w:t>⑥</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1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1"/>
          <w:sz w:val="21"/>
          <w:szCs w:val="21"/>
        </w:rPr>
        <w:t>①</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3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1"/>
          <w:sz w:val="21"/>
          <w:szCs w:val="21"/>
        </w:rPr>
        <w:t>③</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4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1"/>
          <w:sz w:val="21"/>
          <w:szCs w:val="21"/>
        </w:rPr>
        <w:t>④</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5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1"/>
          <w:sz w:val="21"/>
          <w:szCs w:val="21"/>
        </w:rPr>
        <w:t>⑤</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7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1"/>
          <w:sz w:val="21"/>
          <w:szCs w:val="21"/>
        </w:rPr>
        <w:t>⑦</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6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1"/>
          <w:sz w:val="21"/>
          <w:szCs w:val="21"/>
        </w:rPr>
        <w:t>⑥</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1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1"/>
          <w:sz w:val="21"/>
          <w:szCs w:val="21"/>
        </w:rPr>
        <w:t>①</w:t>
      </w:r>
      <w:r>
        <w:rPr>
          <w:rFonts w:hint="default" w:ascii="Times New Roman" w:hAnsi="Times New Roman" w:eastAsia="宋体" w:cs="Times New Roman"/>
          <w:snapToGrid w:val="0"/>
          <w:color w:val="auto"/>
          <w:kern w:val="21"/>
          <w:sz w:val="21"/>
          <w:szCs w:val="21"/>
        </w:rPr>
        <w:fldChar w:fldCharType="end"/>
      </w:r>
    </w:p>
    <w:p w14:paraId="45A11158">
      <w:pPr>
        <w:rPr>
          <w:rFonts w:hint="default"/>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9ADACF-F087-47BD-A005-B9622EC5F0EA}"/>
  </w:font>
  <w:font w:name="黑体">
    <w:panose1 w:val="02010609060101010101"/>
    <w:charset w:val="86"/>
    <w:family w:val="auto"/>
    <w:pitch w:val="default"/>
    <w:sig w:usb0="800002BF" w:usb1="38CF7CFA" w:usb2="00000016" w:usb3="00000000" w:csb0="00040001" w:csb1="00000000"/>
    <w:embedRegular r:id="rId2" w:fontKey="{225E041F-B68F-4AAA-9CBD-EE64709E9F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353679E-1F65-4040-87F7-058D0F5A28E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C36E238-B871-4220-AC7A-3B77BC6CE4F9}"/>
  </w:font>
  <w:font w:name="楷体_GB2312">
    <w:panose1 w:val="02010609030101010101"/>
    <w:charset w:val="86"/>
    <w:family w:val="modern"/>
    <w:pitch w:val="default"/>
    <w:sig w:usb0="00000001" w:usb1="080E0000" w:usb2="00000000" w:usb3="00000000" w:csb0="00040000" w:csb1="00000000"/>
    <w:embedRegular r:id="rId5" w:fontKey="{6C1FB0A4-14AA-4FE7-A9FB-78D56A5A64EB}"/>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6" w:fontKey="{30B68248-21B6-4686-94A2-34279AE20DAC}"/>
  </w:font>
  <w:font w:name="Wingdings 2">
    <w:panose1 w:val="05020102010507070707"/>
    <w:charset w:val="02"/>
    <w:family w:val="roman"/>
    <w:pitch w:val="default"/>
    <w:sig w:usb0="00000000" w:usb1="00000000" w:usb2="00000000" w:usb3="00000000" w:csb0="80000000" w:csb1="00000000"/>
    <w:embedRegular r:id="rId7" w:fontKey="{8C8F1F97-8D04-48CE-B710-8FDDC7E87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8F222">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E66F3">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42E66F3">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280B0">
    <w:pPr>
      <w:pStyle w:val="17"/>
      <w:pBdr>
        <w:bottom w:val="single" w:color="auto" w:sz="4" w:space="1"/>
      </w:pBdr>
      <w:rPr>
        <w:rFonts w:hint="default" w:eastAsia="宋体"/>
        <w:lang w:val="en-US" w:eastAsia="zh-CN"/>
      </w:rPr>
    </w:pPr>
    <w:r>
      <w:rPr>
        <w:rFonts w:hint="eastAsia"/>
        <w:lang w:val="en-US" w:eastAsia="zh-CN"/>
      </w:rPr>
      <w:t>易门铜业渣选工艺流程提效升级改造项目                                          环境影响报告表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AC11C4"/>
    <w:rsid w:val="00005402"/>
    <w:rsid w:val="00303F39"/>
    <w:rsid w:val="00615EA1"/>
    <w:rsid w:val="00CB3C62"/>
    <w:rsid w:val="018067FB"/>
    <w:rsid w:val="01AC75F0"/>
    <w:rsid w:val="01CC5EE4"/>
    <w:rsid w:val="0200793B"/>
    <w:rsid w:val="022B0E5C"/>
    <w:rsid w:val="02497534"/>
    <w:rsid w:val="027A76EE"/>
    <w:rsid w:val="02E62FD5"/>
    <w:rsid w:val="03200295"/>
    <w:rsid w:val="044955CA"/>
    <w:rsid w:val="04877EA0"/>
    <w:rsid w:val="049820AD"/>
    <w:rsid w:val="04DC01EC"/>
    <w:rsid w:val="05094D59"/>
    <w:rsid w:val="050B287F"/>
    <w:rsid w:val="05125A5C"/>
    <w:rsid w:val="054F4E62"/>
    <w:rsid w:val="05760640"/>
    <w:rsid w:val="0580326D"/>
    <w:rsid w:val="05812B41"/>
    <w:rsid w:val="05BC1DCB"/>
    <w:rsid w:val="06344057"/>
    <w:rsid w:val="065B15E4"/>
    <w:rsid w:val="068B1EC9"/>
    <w:rsid w:val="06A77839"/>
    <w:rsid w:val="06B003FD"/>
    <w:rsid w:val="06D870D9"/>
    <w:rsid w:val="076B3AA9"/>
    <w:rsid w:val="07A82607"/>
    <w:rsid w:val="07CB4548"/>
    <w:rsid w:val="080A32C2"/>
    <w:rsid w:val="083420ED"/>
    <w:rsid w:val="09242161"/>
    <w:rsid w:val="09497E1A"/>
    <w:rsid w:val="09864BCA"/>
    <w:rsid w:val="0A1F763A"/>
    <w:rsid w:val="0A2166A1"/>
    <w:rsid w:val="0A391C3C"/>
    <w:rsid w:val="0ABD286D"/>
    <w:rsid w:val="0B0D78EB"/>
    <w:rsid w:val="0B3D575C"/>
    <w:rsid w:val="0B8247A8"/>
    <w:rsid w:val="0C120997"/>
    <w:rsid w:val="0D1C7D1F"/>
    <w:rsid w:val="0D270472"/>
    <w:rsid w:val="0D556D8D"/>
    <w:rsid w:val="0D5D20E6"/>
    <w:rsid w:val="0DF76096"/>
    <w:rsid w:val="0E121122"/>
    <w:rsid w:val="0E39220B"/>
    <w:rsid w:val="0F3A0931"/>
    <w:rsid w:val="0F587009"/>
    <w:rsid w:val="0F7A6F7F"/>
    <w:rsid w:val="0FEB39D9"/>
    <w:rsid w:val="10E172EA"/>
    <w:rsid w:val="10E36DA6"/>
    <w:rsid w:val="10F36FE9"/>
    <w:rsid w:val="115F5105"/>
    <w:rsid w:val="11603F53"/>
    <w:rsid w:val="11895257"/>
    <w:rsid w:val="11D97041"/>
    <w:rsid w:val="122D652B"/>
    <w:rsid w:val="12B46304"/>
    <w:rsid w:val="13165211"/>
    <w:rsid w:val="136C3083"/>
    <w:rsid w:val="13961EAE"/>
    <w:rsid w:val="13AC347F"/>
    <w:rsid w:val="13C92283"/>
    <w:rsid w:val="13CE5AEB"/>
    <w:rsid w:val="14627FE2"/>
    <w:rsid w:val="146B6E96"/>
    <w:rsid w:val="14861F22"/>
    <w:rsid w:val="15761F97"/>
    <w:rsid w:val="16175528"/>
    <w:rsid w:val="168129A1"/>
    <w:rsid w:val="16E41182"/>
    <w:rsid w:val="16FF7D6A"/>
    <w:rsid w:val="171933AA"/>
    <w:rsid w:val="175E2CE2"/>
    <w:rsid w:val="179B5CE4"/>
    <w:rsid w:val="183A374F"/>
    <w:rsid w:val="184E0FA9"/>
    <w:rsid w:val="18622CA6"/>
    <w:rsid w:val="18E15576"/>
    <w:rsid w:val="18ED6A14"/>
    <w:rsid w:val="19C77265"/>
    <w:rsid w:val="1A036562"/>
    <w:rsid w:val="1A1F2BFD"/>
    <w:rsid w:val="1A7F6AB4"/>
    <w:rsid w:val="1A9E6FA5"/>
    <w:rsid w:val="1AD339E7"/>
    <w:rsid w:val="1B09565B"/>
    <w:rsid w:val="1B486183"/>
    <w:rsid w:val="1B4D5548"/>
    <w:rsid w:val="1BCF41AF"/>
    <w:rsid w:val="1CB02232"/>
    <w:rsid w:val="1CE04199"/>
    <w:rsid w:val="1D5726AE"/>
    <w:rsid w:val="1D970CFC"/>
    <w:rsid w:val="1DC835AB"/>
    <w:rsid w:val="1DCC309C"/>
    <w:rsid w:val="1E0F2F88"/>
    <w:rsid w:val="1E4075E6"/>
    <w:rsid w:val="1E8E096D"/>
    <w:rsid w:val="1EDF0BAD"/>
    <w:rsid w:val="1F5E021E"/>
    <w:rsid w:val="1F973235"/>
    <w:rsid w:val="1FFC578E"/>
    <w:rsid w:val="20915ED7"/>
    <w:rsid w:val="20B971DB"/>
    <w:rsid w:val="20C95670"/>
    <w:rsid w:val="210C7C53"/>
    <w:rsid w:val="215D04AF"/>
    <w:rsid w:val="217E28FF"/>
    <w:rsid w:val="218B501C"/>
    <w:rsid w:val="21EF7359"/>
    <w:rsid w:val="22262119"/>
    <w:rsid w:val="226D6E70"/>
    <w:rsid w:val="22CF2CE6"/>
    <w:rsid w:val="231B23CF"/>
    <w:rsid w:val="239D4B92"/>
    <w:rsid w:val="23B819CC"/>
    <w:rsid w:val="250A44A9"/>
    <w:rsid w:val="256736AA"/>
    <w:rsid w:val="25D845A8"/>
    <w:rsid w:val="26775B6F"/>
    <w:rsid w:val="2682440C"/>
    <w:rsid w:val="273677D8"/>
    <w:rsid w:val="28013942"/>
    <w:rsid w:val="281573ED"/>
    <w:rsid w:val="28245D50"/>
    <w:rsid w:val="285717B4"/>
    <w:rsid w:val="28E76FDC"/>
    <w:rsid w:val="291853E7"/>
    <w:rsid w:val="29AC3D81"/>
    <w:rsid w:val="29AE7AF9"/>
    <w:rsid w:val="29B8321F"/>
    <w:rsid w:val="29CE019B"/>
    <w:rsid w:val="29E259F5"/>
    <w:rsid w:val="29FD638B"/>
    <w:rsid w:val="2A585CB7"/>
    <w:rsid w:val="2AFB6D6E"/>
    <w:rsid w:val="2AFC6642"/>
    <w:rsid w:val="2B4D6E9E"/>
    <w:rsid w:val="2BA80578"/>
    <w:rsid w:val="2BE033DD"/>
    <w:rsid w:val="2C300C99"/>
    <w:rsid w:val="2C3047F6"/>
    <w:rsid w:val="2CA84CD4"/>
    <w:rsid w:val="2CE11F94"/>
    <w:rsid w:val="2D1A7254"/>
    <w:rsid w:val="2E0E0B66"/>
    <w:rsid w:val="2E8D23D3"/>
    <w:rsid w:val="2EA414CB"/>
    <w:rsid w:val="2F4131BE"/>
    <w:rsid w:val="2F7B047E"/>
    <w:rsid w:val="2FA07EE4"/>
    <w:rsid w:val="30281C88"/>
    <w:rsid w:val="30E65DCB"/>
    <w:rsid w:val="31440D43"/>
    <w:rsid w:val="3195334D"/>
    <w:rsid w:val="31AC0DC2"/>
    <w:rsid w:val="31CD6F8B"/>
    <w:rsid w:val="323D3BBF"/>
    <w:rsid w:val="3240150B"/>
    <w:rsid w:val="32CC5CB8"/>
    <w:rsid w:val="32F77286"/>
    <w:rsid w:val="33274478"/>
    <w:rsid w:val="334119DE"/>
    <w:rsid w:val="33435756"/>
    <w:rsid w:val="33D12052"/>
    <w:rsid w:val="33E12879"/>
    <w:rsid w:val="344C063B"/>
    <w:rsid w:val="34586FDF"/>
    <w:rsid w:val="34DD75AA"/>
    <w:rsid w:val="350B4052"/>
    <w:rsid w:val="361372D3"/>
    <w:rsid w:val="370472AB"/>
    <w:rsid w:val="370C5E5F"/>
    <w:rsid w:val="37441455"/>
    <w:rsid w:val="376143FD"/>
    <w:rsid w:val="380354B4"/>
    <w:rsid w:val="381A45AC"/>
    <w:rsid w:val="38561A88"/>
    <w:rsid w:val="38683FB3"/>
    <w:rsid w:val="3930052B"/>
    <w:rsid w:val="394C69E7"/>
    <w:rsid w:val="39AB7BB1"/>
    <w:rsid w:val="3A322081"/>
    <w:rsid w:val="3A445910"/>
    <w:rsid w:val="3AA0348E"/>
    <w:rsid w:val="3AD969A0"/>
    <w:rsid w:val="3AF85078"/>
    <w:rsid w:val="3B077069"/>
    <w:rsid w:val="3B1F2E6A"/>
    <w:rsid w:val="3B2E2848"/>
    <w:rsid w:val="3BBA0580"/>
    <w:rsid w:val="3BF515B8"/>
    <w:rsid w:val="3C033CD5"/>
    <w:rsid w:val="3C2A4C61"/>
    <w:rsid w:val="3D5F5C2A"/>
    <w:rsid w:val="3D666316"/>
    <w:rsid w:val="3D762284"/>
    <w:rsid w:val="3DAC214A"/>
    <w:rsid w:val="3DB17760"/>
    <w:rsid w:val="3E4D1237"/>
    <w:rsid w:val="3E8135D7"/>
    <w:rsid w:val="3EC12316"/>
    <w:rsid w:val="3ED03C16"/>
    <w:rsid w:val="3EE138F7"/>
    <w:rsid w:val="3F116709"/>
    <w:rsid w:val="3F310B59"/>
    <w:rsid w:val="40505BD0"/>
    <w:rsid w:val="40890521"/>
    <w:rsid w:val="40980342"/>
    <w:rsid w:val="415E19AD"/>
    <w:rsid w:val="41A01FC6"/>
    <w:rsid w:val="42604346"/>
    <w:rsid w:val="426B4382"/>
    <w:rsid w:val="427B20EB"/>
    <w:rsid w:val="438020AF"/>
    <w:rsid w:val="43C7383A"/>
    <w:rsid w:val="43E20674"/>
    <w:rsid w:val="44250560"/>
    <w:rsid w:val="4447497A"/>
    <w:rsid w:val="44B85878"/>
    <w:rsid w:val="45DB537A"/>
    <w:rsid w:val="45FF375F"/>
    <w:rsid w:val="467F21AA"/>
    <w:rsid w:val="46B362F7"/>
    <w:rsid w:val="46F96400"/>
    <w:rsid w:val="4734568A"/>
    <w:rsid w:val="476E221E"/>
    <w:rsid w:val="47A53E92"/>
    <w:rsid w:val="47C02A7A"/>
    <w:rsid w:val="47CA1B4A"/>
    <w:rsid w:val="47CA38F8"/>
    <w:rsid w:val="47EB386F"/>
    <w:rsid w:val="48030BB8"/>
    <w:rsid w:val="483800B4"/>
    <w:rsid w:val="48474F49"/>
    <w:rsid w:val="488066AD"/>
    <w:rsid w:val="4882187E"/>
    <w:rsid w:val="488E0DCA"/>
    <w:rsid w:val="48934632"/>
    <w:rsid w:val="48C540C0"/>
    <w:rsid w:val="49942410"/>
    <w:rsid w:val="49A308A5"/>
    <w:rsid w:val="49D942C7"/>
    <w:rsid w:val="49FE1F7F"/>
    <w:rsid w:val="4A1B668D"/>
    <w:rsid w:val="4A5E2A1E"/>
    <w:rsid w:val="4A69564B"/>
    <w:rsid w:val="4ABE526B"/>
    <w:rsid w:val="4AD14F9E"/>
    <w:rsid w:val="4AE90539"/>
    <w:rsid w:val="4B3A0D95"/>
    <w:rsid w:val="4B9C55AC"/>
    <w:rsid w:val="4B9E1324"/>
    <w:rsid w:val="4C577725"/>
    <w:rsid w:val="4C714C8A"/>
    <w:rsid w:val="4C9E35A6"/>
    <w:rsid w:val="4CA706AC"/>
    <w:rsid w:val="4CB608EF"/>
    <w:rsid w:val="4CC969BE"/>
    <w:rsid w:val="4D7B7443"/>
    <w:rsid w:val="4E257ADB"/>
    <w:rsid w:val="4E2B2C17"/>
    <w:rsid w:val="4EA330F5"/>
    <w:rsid w:val="4EFA4C29"/>
    <w:rsid w:val="4EFF657E"/>
    <w:rsid w:val="4FA42C81"/>
    <w:rsid w:val="4FA7451F"/>
    <w:rsid w:val="4FC275AB"/>
    <w:rsid w:val="4FE65048"/>
    <w:rsid w:val="500B0F52"/>
    <w:rsid w:val="50B36869"/>
    <w:rsid w:val="51087240"/>
    <w:rsid w:val="513444D8"/>
    <w:rsid w:val="516D0DAE"/>
    <w:rsid w:val="51AB479B"/>
    <w:rsid w:val="532C5467"/>
    <w:rsid w:val="53E67D0C"/>
    <w:rsid w:val="541C1258"/>
    <w:rsid w:val="548D6100"/>
    <w:rsid w:val="54AD25D8"/>
    <w:rsid w:val="54C618EB"/>
    <w:rsid w:val="5523384E"/>
    <w:rsid w:val="55287EB0"/>
    <w:rsid w:val="553C395C"/>
    <w:rsid w:val="55BA31FE"/>
    <w:rsid w:val="55DF4A13"/>
    <w:rsid w:val="55E069DD"/>
    <w:rsid w:val="55F07154"/>
    <w:rsid w:val="55FF3307"/>
    <w:rsid w:val="56A47A0A"/>
    <w:rsid w:val="56A65531"/>
    <w:rsid w:val="56B075A6"/>
    <w:rsid w:val="56BD7670"/>
    <w:rsid w:val="571F7091"/>
    <w:rsid w:val="57574A7D"/>
    <w:rsid w:val="57917F8F"/>
    <w:rsid w:val="57D13123"/>
    <w:rsid w:val="58466651"/>
    <w:rsid w:val="585B059D"/>
    <w:rsid w:val="585F008D"/>
    <w:rsid w:val="587D6765"/>
    <w:rsid w:val="589D2963"/>
    <w:rsid w:val="59914276"/>
    <w:rsid w:val="59E3084A"/>
    <w:rsid w:val="5A0F7891"/>
    <w:rsid w:val="5A225816"/>
    <w:rsid w:val="5A3D61AC"/>
    <w:rsid w:val="5A731BCE"/>
    <w:rsid w:val="5ABC3575"/>
    <w:rsid w:val="5B44356A"/>
    <w:rsid w:val="5B4517BC"/>
    <w:rsid w:val="5B527A35"/>
    <w:rsid w:val="5C873EB3"/>
    <w:rsid w:val="5D4E06D0"/>
    <w:rsid w:val="5DA402F0"/>
    <w:rsid w:val="5DBB3FB7"/>
    <w:rsid w:val="5E1E2D9D"/>
    <w:rsid w:val="5E282CCF"/>
    <w:rsid w:val="5E8A5738"/>
    <w:rsid w:val="5F3D27AA"/>
    <w:rsid w:val="5F4955F3"/>
    <w:rsid w:val="5F613AD9"/>
    <w:rsid w:val="5F7408C2"/>
    <w:rsid w:val="5FAB1E0A"/>
    <w:rsid w:val="5FC94FCE"/>
    <w:rsid w:val="5FD255E8"/>
    <w:rsid w:val="60BF5B6D"/>
    <w:rsid w:val="61251748"/>
    <w:rsid w:val="61412A26"/>
    <w:rsid w:val="617F70AA"/>
    <w:rsid w:val="620A72BB"/>
    <w:rsid w:val="62314848"/>
    <w:rsid w:val="626D33A6"/>
    <w:rsid w:val="62886432"/>
    <w:rsid w:val="629E17B2"/>
    <w:rsid w:val="62AC11C4"/>
    <w:rsid w:val="62F835B8"/>
    <w:rsid w:val="6385381A"/>
    <w:rsid w:val="63984453"/>
    <w:rsid w:val="63D3125A"/>
    <w:rsid w:val="63F7561D"/>
    <w:rsid w:val="64001F99"/>
    <w:rsid w:val="6417181C"/>
    <w:rsid w:val="641A755E"/>
    <w:rsid w:val="646C600B"/>
    <w:rsid w:val="65037FF2"/>
    <w:rsid w:val="65270184"/>
    <w:rsid w:val="6530528B"/>
    <w:rsid w:val="65384140"/>
    <w:rsid w:val="65BC6B1F"/>
    <w:rsid w:val="65C23A09"/>
    <w:rsid w:val="65F8742B"/>
    <w:rsid w:val="66216982"/>
    <w:rsid w:val="66B07D06"/>
    <w:rsid w:val="67006EDF"/>
    <w:rsid w:val="6740552D"/>
    <w:rsid w:val="67627252"/>
    <w:rsid w:val="67DA328C"/>
    <w:rsid w:val="67EB36EB"/>
    <w:rsid w:val="68DC4DE2"/>
    <w:rsid w:val="68E048D2"/>
    <w:rsid w:val="6951757E"/>
    <w:rsid w:val="69845BA5"/>
    <w:rsid w:val="69AC0C58"/>
    <w:rsid w:val="6A18009C"/>
    <w:rsid w:val="6A5312FA"/>
    <w:rsid w:val="6B941191"/>
    <w:rsid w:val="6BCC55E2"/>
    <w:rsid w:val="6D1A412B"/>
    <w:rsid w:val="6D5E2269"/>
    <w:rsid w:val="6D6F4477"/>
    <w:rsid w:val="6D836174"/>
    <w:rsid w:val="6D965EA7"/>
    <w:rsid w:val="6DC01176"/>
    <w:rsid w:val="6E7E0654"/>
    <w:rsid w:val="6E934195"/>
    <w:rsid w:val="6EF07839"/>
    <w:rsid w:val="6F3B6D06"/>
    <w:rsid w:val="6F4B4A6F"/>
    <w:rsid w:val="6F946416"/>
    <w:rsid w:val="6FAA3E8C"/>
    <w:rsid w:val="70074E3A"/>
    <w:rsid w:val="70480FAF"/>
    <w:rsid w:val="70734AF5"/>
    <w:rsid w:val="71AD37BF"/>
    <w:rsid w:val="721B697B"/>
    <w:rsid w:val="72C2773E"/>
    <w:rsid w:val="746565D3"/>
    <w:rsid w:val="746A3BEA"/>
    <w:rsid w:val="749D7B1B"/>
    <w:rsid w:val="751002ED"/>
    <w:rsid w:val="75122901"/>
    <w:rsid w:val="75CD2682"/>
    <w:rsid w:val="76796366"/>
    <w:rsid w:val="76B37ACA"/>
    <w:rsid w:val="77440722"/>
    <w:rsid w:val="779D6084"/>
    <w:rsid w:val="783469E8"/>
    <w:rsid w:val="784529A4"/>
    <w:rsid w:val="785E75C1"/>
    <w:rsid w:val="78CA4C57"/>
    <w:rsid w:val="792E3438"/>
    <w:rsid w:val="793A1DDD"/>
    <w:rsid w:val="79CE69C9"/>
    <w:rsid w:val="79FC52E4"/>
    <w:rsid w:val="7A2860D9"/>
    <w:rsid w:val="7BD858DD"/>
    <w:rsid w:val="7C376AA7"/>
    <w:rsid w:val="7C865EDA"/>
    <w:rsid w:val="7CAC1243"/>
    <w:rsid w:val="7D1B3CD3"/>
    <w:rsid w:val="7DFC1D56"/>
    <w:rsid w:val="7E0D3F64"/>
    <w:rsid w:val="7E2272E3"/>
    <w:rsid w:val="7E696CC0"/>
    <w:rsid w:val="7E725B75"/>
    <w:rsid w:val="7EC34622"/>
    <w:rsid w:val="7F233313"/>
    <w:rsid w:val="7F8D69DE"/>
    <w:rsid w:val="7F985AAF"/>
    <w:rsid w:val="7FA02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spacing w:line="360" w:lineRule="auto"/>
      <w:ind w:left="0" w:firstLine="0" w:firstLineChars="0"/>
      <w:jc w:val="center"/>
      <w:outlineLvl w:val="0"/>
    </w:pPr>
    <w:rPr>
      <w:rFonts w:ascii="Times New Roman" w:hAnsi="Times New Roman" w:eastAsia="宋体"/>
      <w:b/>
      <w:bCs/>
      <w:color w:val="000000"/>
      <w:kern w:val="44"/>
      <w:sz w:val="30"/>
      <w:szCs w:val="30"/>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unhideWhenUsed/>
    <w:qFormat/>
    <w:uiPriority w:val="0"/>
    <w:pPr>
      <w:spacing w:beforeAutospacing="0" w:after="0" w:afterAutospacing="0" w:line="360" w:lineRule="auto"/>
      <w:ind w:firstLine="663" w:firstLineChars="150"/>
      <w:jc w:val="left"/>
      <w:outlineLvl w:val="2"/>
    </w:pPr>
    <w:rPr>
      <w:rFonts w:hint="eastAsia" w:ascii="Times New Roman" w:hAnsi="Times New Roman" w:eastAsia="宋体"/>
      <w:b/>
      <w:bCs/>
      <w:sz w:val="24"/>
      <w:lang w:bidi="ar"/>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left="60" w:leftChars="25" w:right="60" w:rightChars="25"/>
      <w:jc w:val="center"/>
    </w:pPr>
    <w:rPr>
      <w:rFonts w:ascii="Courier New" w:hAnsi="Courier New" w:eastAsia="宋体" w:cs="Courier New"/>
      <w:kern w:val="2"/>
      <w:sz w:val="21"/>
      <w:szCs w:val="24"/>
      <w:lang w:val="en-US" w:eastAsia="zh-CN" w:bidi="ar-SA"/>
    </w:rPr>
  </w:style>
  <w:style w:type="paragraph" w:styleId="7">
    <w:name w:val="Normal Indent"/>
    <w:basedOn w:val="1"/>
    <w:next w:val="8"/>
    <w:qFormat/>
    <w:uiPriority w:val="0"/>
    <w:pPr>
      <w:ind w:firstLine="420" w:firstLineChars="200"/>
    </w:pPr>
  </w:style>
  <w:style w:type="paragraph" w:styleId="8">
    <w:name w:val="Body Text First Indent 2"/>
    <w:basedOn w:val="9"/>
    <w:next w:val="11"/>
    <w:qFormat/>
    <w:uiPriority w:val="0"/>
    <w:pPr>
      <w:ind w:firstLine="420" w:firstLineChars="200"/>
    </w:pPr>
  </w:style>
  <w:style w:type="paragraph" w:styleId="9">
    <w:name w:val="Body Text Indent"/>
    <w:basedOn w:val="1"/>
    <w:next w:val="10"/>
    <w:qFormat/>
    <w:uiPriority w:val="0"/>
    <w:pPr>
      <w:spacing w:after="120"/>
      <w:ind w:left="420" w:leftChars="200"/>
    </w:pPr>
    <w:rPr>
      <w:kern w:val="0"/>
      <w:sz w:val="24"/>
      <w:szCs w:val="20"/>
    </w:rPr>
  </w:style>
  <w:style w:type="paragraph" w:customStyle="1" w:styleId="10">
    <w:name w:val="样式 正文文本缩进 + 宋体 小四 居中 行距: 固定值 23 磅1"/>
    <w:basedOn w:val="1"/>
    <w:qFormat/>
    <w:uiPriority w:val="0"/>
    <w:pPr>
      <w:spacing w:line="460" w:lineRule="exact"/>
      <w:ind w:left="-181" w:leftChars="-86"/>
    </w:pPr>
    <w:rPr>
      <w:rFonts w:ascii="宋体" w:hAnsi="宋体" w:eastAsia="宋体" w:cs="宋体"/>
      <w:color w:val="000000"/>
    </w:rPr>
  </w:style>
  <w:style w:type="paragraph" w:styleId="11">
    <w:name w:val="Body Text First Indent"/>
    <w:basedOn w:val="12"/>
    <w:next w:val="1"/>
    <w:qFormat/>
    <w:uiPriority w:val="0"/>
    <w:pPr>
      <w:ind w:firstLine="420" w:firstLineChars="100"/>
    </w:pPr>
    <w:rPr>
      <w:sz w:val="24"/>
    </w:rPr>
  </w:style>
  <w:style w:type="paragraph" w:styleId="12">
    <w:name w:val="Body Text"/>
    <w:basedOn w:val="1"/>
    <w:next w:val="1"/>
    <w:qFormat/>
    <w:uiPriority w:val="0"/>
    <w:pPr>
      <w:widowControl/>
      <w:snapToGrid w:val="0"/>
      <w:spacing w:before="60" w:after="160" w:line="259" w:lineRule="auto"/>
      <w:ind w:right="113"/>
    </w:pPr>
    <w:rPr>
      <w:kern w:val="0"/>
      <w:sz w:val="18"/>
      <w:szCs w:val="20"/>
    </w:rPr>
  </w:style>
  <w:style w:type="paragraph" w:styleId="13">
    <w:name w:val="toa heading"/>
    <w:basedOn w:val="1"/>
    <w:next w:val="1"/>
    <w:unhideWhenUsed/>
    <w:qFormat/>
    <w:uiPriority w:val="99"/>
    <w:pPr>
      <w:spacing w:before="120"/>
    </w:pPr>
    <w:rPr>
      <w:rFonts w:ascii="Cambria" w:hAnsi="Cambria" w:eastAsia="宋体" w:cs="Times New Roman"/>
      <w:sz w:val="24"/>
      <w:szCs w:val="24"/>
    </w:rPr>
  </w:style>
  <w:style w:type="paragraph" w:styleId="14">
    <w:name w:val="annotation text"/>
    <w:basedOn w:val="1"/>
    <w:qFormat/>
    <w:uiPriority w:val="0"/>
    <w:pPr>
      <w:jc w:val="left"/>
    </w:pPr>
  </w:style>
  <w:style w:type="paragraph" w:styleId="15">
    <w:name w:val="Plain Text"/>
    <w:basedOn w:val="1"/>
    <w:next w:val="1"/>
    <w:qFormat/>
    <w:uiPriority w:val="0"/>
    <w:pPr>
      <w:spacing w:line="240" w:lineRule="atLeast"/>
      <w:ind w:firstLine="0" w:firstLineChars="0"/>
    </w:pPr>
    <w:rPr>
      <w:rFonts w:ascii="宋体" w:hAnsi="宋体"/>
      <w:sz w:val="18"/>
      <w:szCs w:val="21"/>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next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Body Text 2"/>
    <w:basedOn w:val="1"/>
    <w:qFormat/>
    <w:uiPriority w:val="0"/>
    <w:pPr>
      <w:spacing w:after="120" w:line="480" w:lineRule="auto"/>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paragraph" w:customStyle="1" w:styleId="25">
    <w:name w:val="样式 标题 1 + 四号 段前: 0 磅 段后: 0 磅 行距: 1.5 倍行距"/>
    <w:basedOn w:val="26"/>
    <w:next w:val="27"/>
    <w:qFormat/>
    <w:uiPriority w:val="0"/>
    <w:pPr>
      <w:spacing w:line="360" w:lineRule="auto"/>
      <w:jc w:val="center"/>
    </w:pPr>
  </w:style>
  <w:style w:type="paragraph" w:customStyle="1" w:styleId="26">
    <w:name w:val="报告表正文"/>
    <w:basedOn w:val="1"/>
    <w:qFormat/>
    <w:uiPriority w:val="0"/>
    <w:pPr>
      <w:keepNext/>
      <w:wordWrap w:val="0"/>
      <w:topLinePunct/>
      <w:adjustRightInd w:val="0"/>
      <w:snapToGrid w:val="0"/>
      <w:spacing w:line="360" w:lineRule="auto"/>
      <w:ind w:firstLine="883" w:firstLineChars="200"/>
      <w:jc w:val="left"/>
    </w:pPr>
    <w:rPr>
      <w:sz w:val="24"/>
    </w:rPr>
  </w:style>
  <w:style w:type="paragraph" w:customStyle="1" w:styleId="27">
    <w:name w:val="文本正文"/>
    <w:basedOn w:val="1"/>
    <w:qFormat/>
    <w:uiPriority w:val="0"/>
    <w:pPr>
      <w:snapToGrid w:val="0"/>
      <w:spacing w:line="360" w:lineRule="auto"/>
      <w:ind w:firstLine="510"/>
      <w:jc w:val="left"/>
    </w:pPr>
    <w:rPr>
      <w:spacing w:val="4"/>
      <w:kern w:val="24"/>
      <w:szCs w:val="24"/>
      <w:lang w:val="zh-CN"/>
    </w:rPr>
  </w:style>
  <w:style w:type="paragraph" w:customStyle="1" w:styleId="28">
    <w:name w:val="Default"/>
    <w:basedOn w:val="29"/>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paragraph" w:customStyle="1" w:styleId="29">
    <w:name w:val="纯文本1"/>
    <w:basedOn w:val="1"/>
    <w:qFormat/>
    <w:uiPriority w:val="0"/>
    <w:pPr>
      <w:adjustRightInd w:val="0"/>
    </w:pPr>
    <w:rPr>
      <w:rFonts w:ascii="宋体" w:hAnsi="Courier New"/>
      <w:szCs w:val="20"/>
    </w:rPr>
  </w:style>
  <w:style w:type="paragraph" w:customStyle="1" w:styleId="30">
    <w:name w:val="表格"/>
    <w:basedOn w:val="7"/>
    <w:next w:val="1"/>
    <w:qFormat/>
    <w:uiPriority w:val="0"/>
    <w:pPr>
      <w:adjustRightInd w:val="0"/>
      <w:snapToGrid w:val="0"/>
      <w:spacing w:line="240" w:lineRule="auto"/>
      <w:ind w:firstLine="0" w:firstLineChars="0"/>
      <w:jc w:val="center"/>
    </w:pPr>
    <w:rPr>
      <w:color w:val="auto"/>
      <w:sz w:val="18"/>
    </w:rPr>
  </w:style>
  <w:style w:type="paragraph" w:customStyle="1" w:styleId="31">
    <w:name w:val="Normal Indent1"/>
    <w:basedOn w:val="1"/>
    <w:qFormat/>
    <w:uiPriority w:val="0"/>
    <w:pPr>
      <w:ind w:firstLine="420" w:firstLineChars="200"/>
    </w:pPr>
  </w:style>
  <w:style w:type="paragraph" w:customStyle="1" w:styleId="32">
    <w:name w:val="表格内容"/>
    <w:basedOn w:val="33"/>
    <w:qFormat/>
    <w:uiPriority w:val="0"/>
    <w:rPr>
      <w:b w:val="0"/>
    </w:rPr>
  </w:style>
  <w:style w:type="paragraph" w:customStyle="1" w:styleId="33">
    <w:name w:val="表格标题"/>
    <w:basedOn w:val="1"/>
    <w:next w:val="1"/>
    <w:qFormat/>
    <w:uiPriority w:val="0"/>
    <w:pPr>
      <w:jc w:val="center"/>
    </w:pPr>
    <w:rPr>
      <w:b/>
      <w:sz w:val="21"/>
    </w:rPr>
  </w:style>
  <w:style w:type="paragraph" w:customStyle="1" w:styleId="34">
    <w:name w:val="报告正文"/>
    <w:basedOn w:val="1"/>
    <w:qFormat/>
    <w:uiPriority w:val="0"/>
    <w:pPr>
      <w:adjustRightInd w:val="0"/>
      <w:snapToGrid w:val="0"/>
      <w:spacing w:beforeLines="50" w:afterLines="50"/>
    </w:pPr>
    <w:rPr>
      <w:color w:val="auto"/>
      <w:spacing w:val="4"/>
      <w:sz w:val="24"/>
      <w:szCs w:val="22"/>
    </w:rPr>
  </w:style>
  <w:style w:type="paragraph" w:customStyle="1" w:styleId="35">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36">
    <w:name w:val="正文1"/>
    <w:basedOn w:val="11"/>
    <w:qFormat/>
    <w:uiPriority w:val="0"/>
  </w:style>
  <w:style w:type="paragraph" w:customStyle="1" w:styleId="37">
    <w:name w:val="GT正文"/>
    <w:basedOn w:val="1"/>
    <w:qFormat/>
    <w:uiPriority w:val="0"/>
    <w:pPr>
      <w:topLinePunct/>
      <w:adjustRightInd w:val="0"/>
      <w:snapToGrid w:val="0"/>
      <w:spacing w:line="360" w:lineRule="auto"/>
      <w:ind w:firstLine="480" w:firstLineChars="200"/>
    </w:pPr>
    <w:rPr>
      <w:rFonts w:ascii="Times New Roman" w:hAnsi="Times New Roman" w:eastAsia="宋体" w:cs="Times New Roman"/>
      <w:sz w:val="24"/>
    </w:rPr>
  </w:style>
  <w:style w:type="paragraph" w:customStyle="1" w:styleId="38">
    <w:name w:val="表头"/>
    <w:basedOn w:val="39"/>
    <w:qFormat/>
    <w:uiPriority w:val="0"/>
    <w:pPr>
      <w:adjustRightInd w:val="0"/>
      <w:snapToGrid w:val="0"/>
      <w:spacing w:line="240" w:lineRule="auto"/>
      <w:ind w:firstLine="0" w:firstLineChars="0"/>
      <w:jc w:val="center"/>
    </w:pPr>
    <w:rPr>
      <w:rFonts w:hint="eastAsia" w:ascii="宋体" w:hAnsi="宋体" w:eastAsia="黑体" w:cs="宋体"/>
      <w:kern w:val="21"/>
      <w:sz w:val="21"/>
      <w:szCs w:val="21"/>
    </w:rPr>
  </w:style>
  <w:style w:type="paragraph" w:customStyle="1" w:styleId="3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40">
    <w:name w:val="111正文"/>
    <w:basedOn w:val="1"/>
    <w:semiHidden/>
    <w:qFormat/>
    <w:uiPriority w:val="0"/>
    <w:rPr>
      <w:rFonts w:ascii="Times New Roman" w:hAnsi="Times New Roman" w:eastAsia="宋体" w:cs="Times New Roman"/>
      <w:szCs w:val="24"/>
    </w:rPr>
  </w:style>
  <w:style w:type="paragraph" w:customStyle="1" w:styleId="41">
    <w:name w:val="表格文字"/>
    <w:basedOn w:val="42"/>
    <w:qFormat/>
    <w:uiPriority w:val="0"/>
    <w:pPr>
      <w:tabs>
        <w:tab w:val="left" w:pos="5327"/>
        <w:tab w:val="left" w:pos="6326"/>
        <w:tab w:val="left" w:pos="7230"/>
        <w:tab w:val="left" w:pos="9301"/>
      </w:tabs>
      <w:autoSpaceDE w:val="0"/>
      <w:autoSpaceDN w:val="0"/>
      <w:adjustRightInd w:val="0"/>
      <w:snapToGrid w:val="0"/>
      <w:spacing w:before="40" w:after="40"/>
      <w:jc w:val="center"/>
      <w:textAlignment w:val="baseline"/>
    </w:pPr>
    <w:rPr>
      <w:rFonts w:hAnsi="宋体"/>
      <w:color w:val="FF0000"/>
      <w:kern w:val="24"/>
      <w:szCs w:val="20"/>
    </w:rPr>
  </w:style>
  <w:style w:type="paragraph" w:customStyle="1" w:styleId="42">
    <w:name w:val="样式1"/>
    <w:basedOn w:val="19"/>
    <w:qFormat/>
    <w:uiPriority w:val="0"/>
    <w:pPr>
      <w:spacing w:after="40" w:line="300" w:lineRule="atLeast"/>
      <w:ind w:firstLine="600" w:firstLineChars="200"/>
      <w:jc w:val="center"/>
      <w:outlineLvl w:val="2"/>
    </w:pPr>
    <w:rPr>
      <w:rFonts w:ascii="Times New Roman" w:hAnsi="Times New Roman" w:eastAsia="楷体_GB2312"/>
      <w:sz w:val="24"/>
      <w:szCs w:val="20"/>
    </w:rPr>
  </w:style>
  <w:style w:type="table" w:customStyle="1" w:styleId="43">
    <w:name w:val="网格型1"/>
    <w:basedOn w:val="2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44">
    <w:name w:val="p0"/>
    <w:basedOn w:val="1"/>
    <w:qFormat/>
    <w:uiPriority w:val="0"/>
    <w:pPr>
      <w:widowControl/>
      <w:jc w:val="left"/>
    </w:pPr>
    <w:rPr>
      <w:sz w:val="20"/>
    </w:rPr>
  </w:style>
  <w:style w:type="paragraph" w:customStyle="1" w:styleId="45">
    <w:name w:val="表格修改"/>
    <w:basedOn w:val="1"/>
    <w:qFormat/>
    <w:uiPriority w:val="0"/>
    <w:pPr>
      <w:spacing w:line="240" w:lineRule="auto"/>
      <w:ind w:firstLine="0" w:firstLineChars="0"/>
      <w:jc w:val="center"/>
    </w:pPr>
    <w:rPr>
      <w:rFonts w:hint="eastAsia" w:ascii="Times New Roman" w:hAnsi="Times New Roman" w:eastAsia="宋体"/>
      <w:color w:val="0000FF"/>
      <w:sz w:val="18"/>
      <w:szCs w:val="28"/>
    </w:rPr>
  </w:style>
  <w:style w:type="paragraph" w:customStyle="1" w:styleId="46">
    <w:name w:val="正文修改"/>
    <w:basedOn w:val="1"/>
    <w:link w:val="50"/>
    <w:qFormat/>
    <w:uiPriority w:val="0"/>
    <w:rPr>
      <w:rFonts w:hint="eastAsia" w:ascii="Times New Roman" w:hAnsi="Times New Roman" w:eastAsia="宋体"/>
      <w:color w:val="0000FF"/>
    </w:rPr>
  </w:style>
  <w:style w:type="table" w:customStyle="1" w:styleId="47">
    <w:name w:val="Table Normal"/>
    <w:semiHidden/>
    <w:unhideWhenUsed/>
    <w:qFormat/>
    <w:uiPriority w:val="0"/>
    <w:tblPr>
      <w:tblCellMar>
        <w:top w:w="0" w:type="dxa"/>
        <w:left w:w="0" w:type="dxa"/>
        <w:bottom w:w="0" w:type="dxa"/>
        <w:right w:w="0" w:type="dxa"/>
      </w:tblCellMar>
    </w:tblPr>
  </w:style>
  <w:style w:type="paragraph" w:customStyle="1" w:styleId="48">
    <w:name w:val="Table Text"/>
    <w:basedOn w:val="1"/>
    <w:semiHidden/>
    <w:qFormat/>
    <w:uiPriority w:val="0"/>
    <w:rPr>
      <w:rFonts w:ascii="宋体" w:hAnsi="宋体" w:eastAsia="宋体" w:cs="宋体"/>
      <w:sz w:val="24"/>
      <w:szCs w:val="24"/>
      <w:lang w:val="en-US" w:eastAsia="en-US" w:bidi="ar-SA"/>
    </w:rPr>
  </w:style>
  <w:style w:type="paragraph" w:customStyle="1" w:styleId="49">
    <w:name w:val="样式 宋体 加粗 首行缩进:  0.99 厘米 行距: 1.5 倍行距"/>
    <w:basedOn w:val="1"/>
    <w:qFormat/>
    <w:uiPriority w:val="0"/>
    <w:pPr>
      <w:adjustRightInd w:val="0"/>
      <w:snapToGrid w:val="0"/>
      <w:spacing w:line="360" w:lineRule="auto"/>
      <w:ind w:firstLine="480" w:firstLineChars="200"/>
    </w:pPr>
    <w:rPr>
      <w:rFonts w:ascii="宋体" w:hAnsi="宋体" w:cs="宋体"/>
      <w:b/>
      <w:bCs/>
      <w:sz w:val="24"/>
      <w:szCs w:val="24"/>
    </w:rPr>
  </w:style>
  <w:style w:type="character" w:customStyle="1" w:styleId="50">
    <w:name w:val="正文修改 Char"/>
    <w:link w:val="46"/>
    <w:qFormat/>
    <w:uiPriority w:val="0"/>
    <w:rPr>
      <w:rFonts w:hint="eastAsia" w:ascii="Times New Roman" w:hAnsi="Times New Roman" w:eastAsia="宋体"/>
      <w:color w:val="0000FF"/>
    </w:rPr>
  </w:style>
  <w:style w:type="paragraph" w:customStyle="1" w:styleId="51">
    <w:name w:val="翔一正文"/>
    <w:basedOn w:val="1"/>
    <w:next w:val="1"/>
    <w:semiHidden/>
    <w:qFormat/>
    <w:uiPriority w:val="0"/>
    <w:pPr>
      <w:spacing w:line="360" w:lineRule="auto"/>
      <w:ind w:firstLine="1446" w:firstLineChars="200"/>
    </w:pPr>
    <w:rPr>
      <w:sz w:val="24"/>
      <w:szCs w:val="21"/>
    </w:rPr>
  </w:style>
  <w:style w:type="paragraph" w:customStyle="1" w:styleId="52">
    <w:name w:val="正文_16"/>
    <w:qFormat/>
    <w:uiPriority w:val="0"/>
    <w:pPr>
      <w:widowControl w:val="0"/>
      <w:jc w:val="both"/>
    </w:pPr>
    <w:rPr>
      <w:rFonts w:ascii="等线" w:hAnsi="等线" w:eastAsia="等线" w:cs="Times New Roman"/>
      <w:kern w:val="2"/>
      <w:sz w:val="21"/>
      <w:szCs w:val="22"/>
      <w:lang w:val="en-US" w:eastAsia="zh-CN" w:bidi="ar-SA"/>
    </w:rPr>
  </w:style>
  <w:style w:type="paragraph" w:customStyle="1" w:styleId="53">
    <w:name w:val="表格格式"/>
    <w:basedOn w:val="1"/>
    <w:semiHidden/>
    <w:qFormat/>
    <w:uiPriority w:val="0"/>
    <w:pPr>
      <w:kinsoku/>
      <w:overflowPunct w:val="0"/>
      <w:autoSpaceDE/>
      <w:autoSpaceDN/>
      <w:spacing w:line="320" w:lineRule="exact"/>
      <w:ind w:left="0" w:leftChars="0" w:firstLine="0" w:firstLineChars="0"/>
      <w:jc w:val="center"/>
    </w:pPr>
    <w:rPr>
      <w:rFonts w:hint="eastAsia" w:ascii="Times New Roman" w:hAnsi="Times New Roman" w:eastAsia="宋体"/>
      <w:sz w:val="18"/>
      <w:szCs w:val="18"/>
    </w:rPr>
  </w:style>
  <w:style w:type="paragraph" w:customStyle="1" w:styleId="54">
    <w:name w:val="表头图号"/>
    <w:basedOn w:val="1"/>
    <w:qFormat/>
    <w:uiPriority w:val="0"/>
    <w:pPr>
      <w:spacing w:line="300" w:lineRule="auto"/>
      <w:ind w:firstLine="0" w:firstLineChars="0"/>
      <w:jc w:val="center"/>
    </w:pPr>
    <w:rPr>
      <w:rFonts w:ascii="黑体" w:hAnsi="黑体" w:eastAsia="黑体" w:cs="黑体"/>
      <w:color w:val="000000"/>
      <w:kern w:val="2"/>
      <w:sz w:val="21"/>
      <w:szCs w:val="21"/>
      <w:lang w:val="en-US" w:eastAsia="en-US" w:bidi="ar-SA"/>
    </w:rPr>
  </w:style>
  <w:style w:type="paragraph" w:customStyle="1" w:styleId="55">
    <w:name w:val="txtBox Char"/>
    <w:basedOn w:val="1"/>
    <w:qFormat/>
    <w:uiPriority w:val="0"/>
    <w:pPr>
      <w:jc w:val="center"/>
    </w:pPr>
  </w:style>
  <w:style w:type="paragraph" w:customStyle="1" w:styleId="56">
    <w:name w:val="表格小五"/>
    <w:basedOn w:val="1"/>
    <w:qFormat/>
    <w:uiPriority w:val="0"/>
    <w:pPr>
      <w:adjustRightInd w:val="0"/>
      <w:snapToGrid w:val="0"/>
      <w:spacing w:line="240" w:lineRule="auto"/>
      <w:ind w:firstLine="0" w:firstLineChars="0"/>
      <w:jc w:val="center"/>
    </w:pPr>
    <w:rPr>
      <w:sz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wmf"/><Relationship Id="rId22" Type="http://schemas.openxmlformats.org/officeDocument/2006/relationships/oleObject" Target="embeddings/oleObject9.bin"/><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133</Pages>
  <Words>38665</Words>
  <Characters>39891</Characters>
  <Lines>0</Lines>
  <Paragraphs>0</Paragraphs>
  <TotalTime>3</TotalTime>
  <ScaleCrop>false</ScaleCrop>
  <LinksUpToDate>false</LinksUpToDate>
  <CharactersWithSpaces>39996</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2026-03-13T02:17:00Z</dcterms:created>
  <dc:creator>木木</dc:creator>
  <cp:lastModifiedBy>丫头</cp:lastModifiedBy>
  <cp:lastPrinted>2026-04-20T01:21:00Z</cp:lastPrinted>
  <dcterms:modified xsi:type="dcterms:W3CDTF">2026-06-11T06:46:41Z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F03D905D855043D88E3636816E0B6C84_11</vt:lpwstr>
  </property>
  <property fmtid="{D5CDD505-2E9C-101B-9397-08002B2CF9AE}" pid="4" name="KSOTemplateDocerSaveRecord">
    <vt:lpwstr>eyJoZGlkIjoiMDE2MDg0NTg3NDMzODVkZWQxMjM2NGEwNmQxZTU2NDMiLCJ1c2VySWQiOiIxODE3MTE4OTM4In0=</vt:lpwstr>
  </property>
</Properties>
</file>