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hint="default" w:ascii="Times New Roman" w:hAnsi="Times New Roman" w:eastAsia="宋体" w:cs="Times New Roman"/>
          <w:color w:val="auto"/>
          <w:kern w:val="2"/>
          <w:sz w:val="36"/>
          <w:szCs w:val="36"/>
          <w:highlight w:val="none"/>
          <w:lang w:val="en-US" w:eastAsia="zh-CN" w:bidi="ar-SA"/>
        </w:rPr>
        <w:id w:val="147453948"/>
        <w15:color w:val="DBDBDB"/>
        <w:docPartObj>
          <w:docPartGallery w:val="Table of Contents"/>
          <w:docPartUnique/>
        </w:docPartObj>
      </w:sdtPr>
      <w:sdtEndPr>
        <w:rPr>
          <w:rFonts w:hint="default" w:ascii="Times New Roman" w:hAnsi="Times New Roman" w:eastAsia="宋体" w:cs="Times New Roman"/>
          <w:color w:val="auto"/>
          <w:kern w:val="2"/>
          <w:sz w:val="21"/>
          <w:szCs w:val="24"/>
          <w:highlight w:val="none"/>
          <w:lang w:val="en-US" w:eastAsia="zh-CN"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b w:val="0"/>
              <w:bCs w:val="0"/>
              <w:color w:val="auto"/>
              <w:kern w:val="2"/>
              <w:sz w:val="28"/>
              <w:szCs w:val="28"/>
              <w:highlight w:val="none"/>
              <w:lang w:val="en-US" w:eastAsia="zh-CN" w:bidi="ar-SA"/>
            </w:rPr>
          </w:pPr>
          <w:r>
            <w:rPr>
              <w:rFonts w:hint="eastAsia" w:ascii="黑体" w:hAnsi="黑体" w:eastAsia="黑体" w:cs="黑体"/>
              <w:b w:val="0"/>
              <w:bCs w:val="0"/>
              <w:color w:val="auto"/>
              <w:spacing w:val="113"/>
              <w:sz w:val="40"/>
              <w:szCs w:val="40"/>
              <w:highlight w:val="none"/>
            </w:rPr>
            <w:t>目录</w:t>
          </w:r>
          <w:r>
            <w:rPr>
              <w:rFonts w:hint="eastAsia" w:ascii="黑体" w:hAnsi="黑体" w:eastAsia="黑体" w:cs="黑体"/>
              <w:b w:val="0"/>
              <w:bCs w:val="0"/>
              <w:color w:val="auto"/>
              <w:sz w:val="28"/>
              <w:szCs w:val="28"/>
              <w:highlight w:val="none"/>
            </w:rPr>
            <w:fldChar w:fldCharType="begin"/>
          </w:r>
          <w:r>
            <w:rPr>
              <w:rFonts w:hint="eastAsia" w:ascii="黑体" w:hAnsi="黑体" w:eastAsia="黑体" w:cs="黑体"/>
              <w:b w:val="0"/>
              <w:bCs w:val="0"/>
              <w:color w:val="auto"/>
              <w:sz w:val="28"/>
              <w:szCs w:val="28"/>
              <w:highlight w:val="none"/>
            </w:rPr>
            <w:instrText xml:space="preserve">TOC \o "1-1" \h \u </w:instrText>
          </w:r>
          <w:r>
            <w:rPr>
              <w:rFonts w:hint="eastAsia" w:ascii="黑体" w:hAnsi="黑体" w:eastAsia="黑体" w:cs="黑体"/>
              <w:b w:val="0"/>
              <w:bCs w:val="0"/>
              <w:color w:val="auto"/>
              <w:sz w:val="28"/>
              <w:szCs w:val="28"/>
              <w:highlight w:val="none"/>
            </w:rPr>
            <w:fldChar w:fldCharType="separate"/>
          </w:r>
        </w:p>
        <w:p>
          <w:pPr>
            <w:pStyle w:val="16"/>
            <w:keepNext w:val="0"/>
            <w:keepLines w:val="0"/>
            <w:pageBreakBefore w:val="0"/>
            <w:widowControl w:val="0"/>
            <w:tabs>
              <w:tab w:val="right" w:leader="dot" w:pos="8312"/>
            </w:tabs>
            <w:kinsoku/>
            <w:wordWrap/>
            <w:overflowPunct/>
            <w:topLinePunct w:val="0"/>
            <w:autoSpaceDE/>
            <w:autoSpaceDN/>
            <w:bidi w:val="0"/>
            <w:adjustRightInd/>
            <w:snapToGrid/>
            <w:ind w:firstLine="0" w:firstLineChars="0"/>
            <w:jc w:val="left"/>
            <w:textAlignment w:val="auto"/>
            <w:rPr>
              <w:rFonts w:hint="eastAsia" w:ascii="黑体" w:hAnsi="黑体" w:eastAsia="黑体" w:cs="黑体"/>
              <w:color w:val="auto"/>
              <w:sz w:val="28"/>
              <w:szCs w:val="28"/>
              <w:highlight w:val="none"/>
            </w:rPr>
          </w:pPr>
          <w:r>
            <w:rPr>
              <w:rFonts w:hint="eastAsia" w:ascii="黑体" w:hAnsi="黑体" w:eastAsia="黑体" w:cs="黑体"/>
              <w:bCs w:val="0"/>
              <w:color w:val="auto"/>
              <w:sz w:val="28"/>
              <w:szCs w:val="28"/>
              <w:highlight w:val="none"/>
            </w:rPr>
            <w:fldChar w:fldCharType="begin"/>
          </w:r>
          <w:r>
            <w:rPr>
              <w:rFonts w:hint="eastAsia" w:ascii="黑体" w:hAnsi="黑体" w:eastAsia="黑体" w:cs="黑体"/>
              <w:bCs w:val="0"/>
              <w:color w:val="auto"/>
              <w:sz w:val="28"/>
              <w:szCs w:val="28"/>
              <w:highlight w:val="none"/>
            </w:rPr>
            <w:instrText xml:space="preserve"> HYPERLINK \l _Toc16817 </w:instrText>
          </w:r>
          <w:r>
            <w:rPr>
              <w:rFonts w:hint="eastAsia" w:ascii="黑体" w:hAnsi="黑体" w:eastAsia="黑体" w:cs="黑体"/>
              <w:bCs w:val="0"/>
              <w:color w:val="auto"/>
              <w:sz w:val="28"/>
              <w:szCs w:val="28"/>
              <w:highlight w:val="none"/>
            </w:rPr>
            <w:fldChar w:fldCharType="separate"/>
          </w:r>
          <w:r>
            <w:rPr>
              <w:rFonts w:hint="eastAsia" w:ascii="黑体" w:hAnsi="黑体" w:eastAsia="黑体" w:cs="黑体"/>
              <w:color w:val="auto"/>
              <w:sz w:val="28"/>
              <w:szCs w:val="28"/>
              <w:highlight w:val="none"/>
              <w:lang w:eastAsia="zh-CN"/>
            </w:rPr>
            <w:t>一、建设项目基本情况</w:t>
          </w:r>
          <w:r>
            <w:rPr>
              <w:rFonts w:hint="eastAsia" w:ascii="黑体" w:hAnsi="黑体" w:eastAsia="黑体" w:cs="黑体"/>
              <w:color w:val="auto"/>
              <w:sz w:val="28"/>
              <w:szCs w:val="28"/>
              <w:highlight w:val="none"/>
            </w:rPr>
            <w:tab/>
          </w:r>
          <w:r>
            <w:rPr>
              <w:rFonts w:hint="eastAsia" w:ascii="黑体" w:hAnsi="黑体" w:eastAsia="黑体" w:cs="黑体"/>
              <w:color w:val="auto"/>
              <w:sz w:val="28"/>
              <w:szCs w:val="28"/>
              <w:highlight w:val="none"/>
            </w:rPr>
            <w:fldChar w:fldCharType="begin"/>
          </w:r>
          <w:r>
            <w:rPr>
              <w:rFonts w:hint="eastAsia" w:ascii="黑体" w:hAnsi="黑体" w:eastAsia="黑体" w:cs="黑体"/>
              <w:color w:val="auto"/>
              <w:sz w:val="28"/>
              <w:szCs w:val="28"/>
              <w:highlight w:val="none"/>
            </w:rPr>
            <w:instrText xml:space="preserve"> PAGEREF _Toc16817 \h </w:instrText>
          </w:r>
          <w:r>
            <w:rPr>
              <w:rFonts w:hint="eastAsia" w:ascii="黑体" w:hAnsi="黑体" w:eastAsia="黑体" w:cs="黑体"/>
              <w:color w:val="auto"/>
              <w:sz w:val="28"/>
              <w:szCs w:val="28"/>
              <w:highlight w:val="none"/>
            </w:rPr>
            <w:fldChar w:fldCharType="separate"/>
          </w:r>
          <w:r>
            <w:rPr>
              <w:rFonts w:hint="eastAsia" w:ascii="黑体" w:hAnsi="黑体" w:eastAsia="黑体" w:cs="黑体"/>
              <w:color w:val="auto"/>
              <w:sz w:val="28"/>
              <w:szCs w:val="28"/>
              <w:highlight w:val="none"/>
            </w:rPr>
            <w:t>1</w:t>
          </w:r>
          <w:r>
            <w:rPr>
              <w:rFonts w:hint="eastAsia" w:ascii="黑体" w:hAnsi="黑体" w:eastAsia="黑体" w:cs="黑体"/>
              <w:color w:val="auto"/>
              <w:sz w:val="28"/>
              <w:szCs w:val="28"/>
              <w:highlight w:val="none"/>
            </w:rPr>
            <w:fldChar w:fldCharType="end"/>
          </w:r>
          <w:r>
            <w:rPr>
              <w:rFonts w:hint="eastAsia" w:ascii="黑体" w:hAnsi="黑体" w:eastAsia="黑体" w:cs="黑体"/>
              <w:bCs w:val="0"/>
              <w:color w:val="auto"/>
              <w:sz w:val="28"/>
              <w:szCs w:val="28"/>
              <w:highlight w:val="none"/>
            </w:rPr>
            <w:fldChar w:fldCharType="end"/>
          </w:r>
        </w:p>
        <w:p>
          <w:pPr>
            <w:pStyle w:val="16"/>
            <w:keepNext w:val="0"/>
            <w:keepLines w:val="0"/>
            <w:pageBreakBefore w:val="0"/>
            <w:widowControl w:val="0"/>
            <w:tabs>
              <w:tab w:val="right" w:leader="dot" w:pos="8312"/>
            </w:tabs>
            <w:kinsoku/>
            <w:wordWrap/>
            <w:overflowPunct/>
            <w:topLinePunct w:val="0"/>
            <w:autoSpaceDE/>
            <w:autoSpaceDN/>
            <w:bidi w:val="0"/>
            <w:adjustRightInd/>
            <w:snapToGrid/>
            <w:ind w:firstLine="0" w:firstLineChars="0"/>
            <w:jc w:val="left"/>
            <w:textAlignment w:val="auto"/>
            <w:rPr>
              <w:rFonts w:hint="eastAsia" w:ascii="黑体" w:hAnsi="黑体" w:eastAsia="黑体" w:cs="黑体"/>
              <w:color w:val="auto"/>
              <w:sz w:val="28"/>
              <w:szCs w:val="28"/>
              <w:highlight w:val="none"/>
            </w:rPr>
          </w:pPr>
          <w:r>
            <w:rPr>
              <w:rFonts w:hint="eastAsia" w:ascii="黑体" w:hAnsi="黑体" w:eastAsia="黑体" w:cs="黑体"/>
              <w:bCs w:val="0"/>
              <w:color w:val="auto"/>
              <w:sz w:val="28"/>
              <w:szCs w:val="28"/>
              <w:highlight w:val="none"/>
            </w:rPr>
            <w:fldChar w:fldCharType="begin"/>
          </w:r>
          <w:r>
            <w:rPr>
              <w:rFonts w:hint="eastAsia" w:ascii="黑体" w:hAnsi="黑体" w:eastAsia="黑体" w:cs="黑体"/>
              <w:bCs w:val="0"/>
              <w:color w:val="auto"/>
              <w:sz w:val="28"/>
              <w:szCs w:val="28"/>
              <w:highlight w:val="none"/>
            </w:rPr>
            <w:instrText xml:space="preserve"> HYPERLINK \l _Toc3124 </w:instrText>
          </w:r>
          <w:r>
            <w:rPr>
              <w:rFonts w:hint="eastAsia" w:ascii="黑体" w:hAnsi="黑体" w:eastAsia="黑体" w:cs="黑体"/>
              <w:bCs w:val="0"/>
              <w:color w:val="auto"/>
              <w:sz w:val="28"/>
              <w:szCs w:val="28"/>
              <w:highlight w:val="none"/>
            </w:rPr>
            <w:fldChar w:fldCharType="separate"/>
          </w:r>
          <w:r>
            <w:rPr>
              <w:rFonts w:hint="eastAsia" w:ascii="黑体" w:hAnsi="黑体" w:eastAsia="黑体" w:cs="黑体"/>
              <w:color w:val="auto"/>
              <w:sz w:val="28"/>
              <w:szCs w:val="28"/>
              <w:highlight w:val="none"/>
              <w:lang w:val="en-US" w:eastAsia="zh-CN"/>
            </w:rPr>
            <w:t>二、</w:t>
          </w:r>
          <w:r>
            <w:rPr>
              <w:rFonts w:hint="eastAsia" w:ascii="黑体" w:hAnsi="黑体" w:eastAsia="黑体" w:cs="黑体"/>
              <w:color w:val="auto"/>
              <w:sz w:val="28"/>
              <w:szCs w:val="28"/>
              <w:highlight w:val="none"/>
              <w:lang w:eastAsia="zh-CN"/>
            </w:rPr>
            <w:t>建设项目工程分析</w:t>
          </w:r>
          <w:r>
            <w:rPr>
              <w:rFonts w:hint="eastAsia" w:ascii="黑体" w:hAnsi="黑体" w:eastAsia="黑体" w:cs="黑体"/>
              <w:color w:val="auto"/>
              <w:sz w:val="28"/>
              <w:szCs w:val="28"/>
              <w:highlight w:val="none"/>
            </w:rPr>
            <w:tab/>
          </w:r>
          <w:r>
            <w:rPr>
              <w:rFonts w:hint="eastAsia" w:ascii="黑体" w:hAnsi="黑体" w:eastAsia="黑体" w:cs="黑体"/>
              <w:color w:val="auto"/>
              <w:sz w:val="28"/>
              <w:szCs w:val="28"/>
              <w:highlight w:val="none"/>
            </w:rPr>
            <w:fldChar w:fldCharType="begin"/>
          </w:r>
          <w:r>
            <w:rPr>
              <w:rFonts w:hint="eastAsia" w:ascii="黑体" w:hAnsi="黑体" w:eastAsia="黑体" w:cs="黑体"/>
              <w:color w:val="auto"/>
              <w:sz w:val="28"/>
              <w:szCs w:val="28"/>
              <w:highlight w:val="none"/>
            </w:rPr>
            <w:instrText xml:space="preserve"> PAGEREF _Toc3124 \h </w:instrText>
          </w:r>
          <w:r>
            <w:rPr>
              <w:rFonts w:hint="eastAsia" w:ascii="黑体" w:hAnsi="黑体" w:eastAsia="黑体" w:cs="黑体"/>
              <w:color w:val="auto"/>
              <w:sz w:val="28"/>
              <w:szCs w:val="28"/>
              <w:highlight w:val="none"/>
            </w:rPr>
            <w:fldChar w:fldCharType="separate"/>
          </w:r>
          <w:r>
            <w:rPr>
              <w:rFonts w:hint="eastAsia" w:ascii="黑体" w:hAnsi="黑体" w:eastAsia="黑体" w:cs="黑体"/>
              <w:color w:val="auto"/>
              <w:sz w:val="28"/>
              <w:szCs w:val="28"/>
              <w:highlight w:val="none"/>
            </w:rPr>
            <w:t>46</w:t>
          </w:r>
          <w:r>
            <w:rPr>
              <w:rFonts w:hint="eastAsia" w:ascii="黑体" w:hAnsi="黑体" w:eastAsia="黑体" w:cs="黑体"/>
              <w:color w:val="auto"/>
              <w:sz w:val="28"/>
              <w:szCs w:val="28"/>
              <w:highlight w:val="none"/>
            </w:rPr>
            <w:fldChar w:fldCharType="end"/>
          </w:r>
          <w:r>
            <w:rPr>
              <w:rFonts w:hint="eastAsia" w:ascii="黑体" w:hAnsi="黑体" w:eastAsia="黑体" w:cs="黑体"/>
              <w:bCs w:val="0"/>
              <w:color w:val="auto"/>
              <w:sz w:val="28"/>
              <w:szCs w:val="28"/>
              <w:highlight w:val="none"/>
            </w:rPr>
            <w:fldChar w:fldCharType="end"/>
          </w:r>
        </w:p>
        <w:p>
          <w:pPr>
            <w:pStyle w:val="16"/>
            <w:keepNext w:val="0"/>
            <w:keepLines w:val="0"/>
            <w:pageBreakBefore w:val="0"/>
            <w:widowControl w:val="0"/>
            <w:tabs>
              <w:tab w:val="right" w:leader="dot" w:pos="8312"/>
            </w:tabs>
            <w:kinsoku/>
            <w:wordWrap/>
            <w:overflowPunct/>
            <w:topLinePunct w:val="0"/>
            <w:autoSpaceDE/>
            <w:autoSpaceDN/>
            <w:bidi w:val="0"/>
            <w:adjustRightInd/>
            <w:snapToGrid/>
            <w:ind w:firstLine="0" w:firstLineChars="0"/>
            <w:jc w:val="left"/>
            <w:textAlignment w:val="auto"/>
            <w:rPr>
              <w:rFonts w:hint="eastAsia" w:ascii="黑体" w:hAnsi="黑体" w:eastAsia="黑体" w:cs="黑体"/>
              <w:color w:val="auto"/>
              <w:sz w:val="28"/>
              <w:szCs w:val="28"/>
              <w:highlight w:val="none"/>
            </w:rPr>
          </w:pPr>
          <w:r>
            <w:rPr>
              <w:rFonts w:hint="eastAsia" w:ascii="黑体" w:hAnsi="黑体" w:eastAsia="黑体" w:cs="黑体"/>
              <w:bCs w:val="0"/>
              <w:color w:val="auto"/>
              <w:sz w:val="28"/>
              <w:szCs w:val="28"/>
              <w:highlight w:val="none"/>
            </w:rPr>
            <w:fldChar w:fldCharType="begin"/>
          </w:r>
          <w:r>
            <w:rPr>
              <w:rFonts w:hint="eastAsia" w:ascii="黑体" w:hAnsi="黑体" w:eastAsia="黑体" w:cs="黑体"/>
              <w:bCs w:val="0"/>
              <w:color w:val="auto"/>
              <w:sz w:val="28"/>
              <w:szCs w:val="28"/>
              <w:highlight w:val="none"/>
            </w:rPr>
            <w:instrText xml:space="preserve"> HYPERLINK \l _Toc2353 </w:instrText>
          </w:r>
          <w:r>
            <w:rPr>
              <w:rFonts w:hint="eastAsia" w:ascii="黑体" w:hAnsi="黑体" w:eastAsia="黑体" w:cs="黑体"/>
              <w:bCs w:val="0"/>
              <w:color w:val="auto"/>
              <w:sz w:val="28"/>
              <w:szCs w:val="28"/>
              <w:highlight w:val="none"/>
            </w:rPr>
            <w:fldChar w:fldCharType="separate"/>
          </w:r>
          <w:r>
            <w:rPr>
              <w:rFonts w:hint="eastAsia" w:ascii="黑体" w:hAnsi="黑体" w:eastAsia="黑体" w:cs="黑体"/>
              <w:color w:val="auto"/>
              <w:sz w:val="28"/>
              <w:szCs w:val="28"/>
              <w:highlight w:val="none"/>
              <w:lang w:eastAsia="zh-CN"/>
            </w:rPr>
            <w:t>三、区域环境质量现状、环境保护目标及评价标准</w:t>
          </w:r>
          <w:r>
            <w:rPr>
              <w:rFonts w:hint="eastAsia" w:ascii="黑体" w:hAnsi="黑体" w:eastAsia="黑体" w:cs="黑体"/>
              <w:color w:val="auto"/>
              <w:sz w:val="28"/>
              <w:szCs w:val="28"/>
              <w:highlight w:val="none"/>
            </w:rPr>
            <w:tab/>
          </w:r>
          <w:r>
            <w:rPr>
              <w:rFonts w:hint="eastAsia" w:ascii="黑体" w:hAnsi="黑体" w:eastAsia="黑体" w:cs="黑体"/>
              <w:color w:val="auto"/>
              <w:sz w:val="28"/>
              <w:szCs w:val="28"/>
              <w:highlight w:val="none"/>
            </w:rPr>
            <w:fldChar w:fldCharType="begin"/>
          </w:r>
          <w:r>
            <w:rPr>
              <w:rFonts w:hint="eastAsia" w:ascii="黑体" w:hAnsi="黑体" w:eastAsia="黑体" w:cs="黑体"/>
              <w:color w:val="auto"/>
              <w:sz w:val="28"/>
              <w:szCs w:val="28"/>
              <w:highlight w:val="none"/>
            </w:rPr>
            <w:instrText xml:space="preserve"> PAGEREF _Toc2353 \h </w:instrText>
          </w:r>
          <w:r>
            <w:rPr>
              <w:rFonts w:hint="eastAsia" w:ascii="黑体" w:hAnsi="黑体" w:eastAsia="黑体" w:cs="黑体"/>
              <w:color w:val="auto"/>
              <w:sz w:val="28"/>
              <w:szCs w:val="28"/>
              <w:highlight w:val="none"/>
            </w:rPr>
            <w:fldChar w:fldCharType="separate"/>
          </w:r>
          <w:r>
            <w:rPr>
              <w:rFonts w:hint="eastAsia" w:ascii="黑体" w:hAnsi="黑体" w:eastAsia="黑体" w:cs="黑体"/>
              <w:color w:val="auto"/>
              <w:sz w:val="28"/>
              <w:szCs w:val="28"/>
              <w:highlight w:val="none"/>
            </w:rPr>
            <w:t>68</w:t>
          </w:r>
          <w:r>
            <w:rPr>
              <w:rFonts w:hint="eastAsia" w:ascii="黑体" w:hAnsi="黑体" w:eastAsia="黑体" w:cs="黑体"/>
              <w:color w:val="auto"/>
              <w:sz w:val="28"/>
              <w:szCs w:val="28"/>
              <w:highlight w:val="none"/>
            </w:rPr>
            <w:fldChar w:fldCharType="end"/>
          </w:r>
          <w:r>
            <w:rPr>
              <w:rFonts w:hint="eastAsia" w:ascii="黑体" w:hAnsi="黑体" w:eastAsia="黑体" w:cs="黑体"/>
              <w:bCs w:val="0"/>
              <w:color w:val="auto"/>
              <w:sz w:val="28"/>
              <w:szCs w:val="28"/>
              <w:highlight w:val="none"/>
            </w:rPr>
            <w:fldChar w:fldCharType="end"/>
          </w:r>
        </w:p>
        <w:p>
          <w:pPr>
            <w:pStyle w:val="16"/>
            <w:keepNext w:val="0"/>
            <w:keepLines w:val="0"/>
            <w:pageBreakBefore w:val="0"/>
            <w:widowControl w:val="0"/>
            <w:tabs>
              <w:tab w:val="right" w:leader="dot" w:pos="8312"/>
            </w:tabs>
            <w:kinsoku/>
            <w:wordWrap/>
            <w:overflowPunct/>
            <w:topLinePunct w:val="0"/>
            <w:autoSpaceDE/>
            <w:autoSpaceDN/>
            <w:bidi w:val="0"/>
            <w:adjustRightInd/>
            <w:snapToGrid/>
            <w:ind w:firstLine="0" w:firstLineChars="0"/>
            <w:jc w:val="left"/>
            <w:textAlignment w:val="auto"/>
            <w:rPr>
              <w:rFonts w:hint="eastAsia" w:ascii="黑体" w:hAnsi="黑体" w:eastAsia="黑体" w:cs="黑体"/>
              <w:color w:val="auto"/>
              <w:sz w:val="28"/>
              <w:szCs w:val="28"/>
              <w:highlight w:val="none"/>
            </w:rPr>
          </w:pPr>
          <w:r>
            <w:rPr>
              <w:rFonts w:hint="eastAsia" w:ascii="黑体" w:hAnsi="黑体" w:eastAsia="黑体" w:cs="黑体"/>
              <w:bCs w:val="0"/>
              <w:color w:val="auto"/>
              <w:sz w:val="28"/>
              <w:szCs w:val="28"/>
              <w:highlight w:val="none"/>
            </w:rPr>
            <w:fldChar w:fldCharType="begin"/>
          </w:r>
          <w:r>
            <w:rPr>
              <w:rFonts w:hint="eastAsia" w:ascii="黑体" w:hAnsi="黑体" w:eastAsia="黑体" w:cs="黑体"/>
              <w:bCs w:val="0"/>
              <w:color w:val="auto"/>
              <w:sz w:val="28"/>
              <w:szCs w:val="28"/>
              <w:highlight w:val="none"/>
            </w:rPr>
            <w:instrText xml:space="preserve"> HYPERLINK \l _Toc30736 </w:instrText>
          </w:r>
          <w:r>
            <w:rPr>
              <w:rFonts w:hint="eastAsia" w:ascii="黑体" w:hAnsi="黑体" w:eastAsia="黑体" w:cs="黑体"/>
              <w:bCs w:val="0"/>
              <w:color w:val="auto"/>
              <w:sz w:val="28"/>
              <w:szCs w:val="28"/>
              <w:highlight w:val="none"/>
            </w:rPr>
            <w:fldChar w:fldCharType="separate"/>
          </w:r>
          <w:r>
            <w:rPr>
              <w:rFonts w:hint="eastAsia" w:ascii="黑体" w:hAnsi="黑体" w:eastAsia="黑体" w:cs="黑体"/>
              <w:color w:val="auto"/>
              <w:sz w:val="28"/>
              <w:szCs w:val="28"/>
              <w:highlight w:val="none"/>
              <w:lang w:eastAsia="zh-CN"/>
            </w:rPr>
            <w:t>四、主要环境影响和保护措施</w:t>
          </w:r>
          <w:r>
            <w:rPr>
              <w:rFonts w:hint="eastAsia" w:ascii="黑体" w:hAnsi="黑体" w:eastAsia="黑体" w:cs="黑体"/>
              <w:color w:val="auto"/>
              <w:sz w:val="28"/>
              <w:szCs w:val="28"/>
              <w:highlight w:val="none"/>
            </w:rPr>
            <w:tab/>
          </w:r>
          <w:r>
            <w:rPr>
              <w:rFonts w:hint="eastAsia" w:ascii="黑体" w:hAnsi="黑体" w:eastAsia="黑体" w:cs="黑体"/>
              <w:color w:val="auto"/>
              <w:sz w:val="28"/>
              <w:szCs w:val="28"/>
              <w:highlight w:val="none"/>
            </w:rPr>
            <w:fldChar w:fldCharType="begin"/>
          </w:r>
          <w:r>
            <w:rPr>
              <w:rFonts w:hint="eastAsia" w:ascii="黑体" w:hAnsi="黑体" w:eastAsia="黑体" w:cs="黑体"/>
              <w:color w:val="auto"/>
              <w:sz w:val="28"/>
              <w:szCs w:val="28"/>
              <w:highlight w:val="none"/>
            </w:rPr>
            <w:instrText xml:space="preserve"> PAGEREF _Toc30736 \h </w:instrText>
          </w:r>
          <w:r>
            <w:rPr>
              <w:rFonts w:hint="eastAsia" w:ascii="黑体" w:hAnsi="黑体" w:eastAsia="黑体" w:cs="黑体"/>
              <w:color w:val="auto"/>
              <w:sz w:val="28"/>
              <w:szCs w:val="28"/>
              <w:highlight w:val="none"/>
            </w:rPr>
            <w:fldChar w:fldCharType="separate"/>
          </w:r>
          <w:r>
            <w:rPr>
              <w:rFonts w:hint="eastAsia" w:ascii="黑体" w:hAnsi="黑体" w:eastAsia="黑体" w:cs="黑体"/>
              <w:color w:val="auto"/>
              <w:sz w:val="28"/>
              <w:szCs w:val="28"/>
              <w:highlight w:val="none"/>
            </w:rPr>
            <w:t>75</w:t>
          </w:r>
          <w:r>
            <w:rPr>
              <w:rFonts w:hint="eastAsia" w:ascii="黑体" w:hAnsi="黑体" w:eastAsia="黑体" w:cs="黑体"/>
              <w:color w:val="auto"/>
              <w:sz w:val="28"/>
              <w:szCs w:val="28"/>
              <w:highlight w:val="none"/>
            </w:rPr>
            <w:fldChar w:fldCharType="end"/>
          </w:r>
          <w:r>
            <w:rPr>
              <w:rFonts w:hint="eastAsia" w:ascii="黑体" w:hAnsi="黑体" w:eastAsia="黑体" w:cs="黑体"/>
              <w:bCs w:val="0"/>
              <w:color w:val="auto"/>
              <w:sz w:val="28"/>
              <w:szCs w:val="28"/>
              <w:highlight w:val="none"/>
            </w:rPr>
            <w:fldChar w:fldCharType="end"/>
          </w:r>
        </w:p>
        <w:p>
          <w:pPr>
            <w:pStyle w:val="16"/>
            <w:keepNext w:val="0"/>
            <w:keepLines w:val="0"/>
            <w:pageBreakBefore w:val="0"/>
            <w:widowControl w:val="0"/>
            <w:tabs>
              <w:tab w:val="right" w:leader="dot" w:pos="8312"/>
            </w:tabs>
            <w:kinsoku/>
            <w:wordWrap/>
            <w:overflowPunct/>
            <w:topLinePunct w:val="0"/>
            <w:autoSpaceDE/>
            <w:autoSpaceDN/>
            <w:bidi w:val="0"/>
            <w:adjustRightInd/>
            <w:snapToGrid/>
            <w:ind w:firstLine="0" w:firstLineChars="0"/>
            <w:jc w:val="left"/>
            <w:textAlignment w:val="auto"/>
            <w:rPr>
              <w:rFonts w:hint="eastAsia" w:ascii="黑体" w:hAnsi="黑体" w:eastAsia="黑体" w:cs="黑体"/>
              <w:color w:val="auto"/>
              <w:sz w:val="28"/>
              <w:szCs w:val="28"/>
              <w:highlight w:val="none"/>
            </w:rPr>
          </w:pPr>
          <w:r>
            <w:rPr>
              <w:rFonts w:hint="eastAsia" w:ascii="黑体" w:hAnsi="黑体" w:eastAsia="黑体" w:cs="黑体"/>
              <w:bCs w:val="0"/>
              <w:color w:val="auto"/>
              <w:sz w:val="28"/>
              <w:szCs w:val="28"/>
              <w:highlight w:val="none"/>
            </w:rPr>
            <w:fldChar w:fldCharType="begin"/>
          </w:r>
          <w:r>
            <w:rPr>
              <w:rFonts w:hint="eastAsia" w:ascii="黑体" w:hAnsi="黑体" w:eastAsia="黑体" w:cs="黑体"/>
              <w:bCs w:val="0"/>
              <w:color w:val="auto"/>
              <w:sz w:val="28"/>
              <w:szCs w:val="28"/>
              <w:highlight w:val="none"/>
            </w:rPr>
            <w:instrText xml:space="preserve"> HYPERLINK \l _Toc27677 </w:instrText>
          </w:r>
          <w:r>
            <w:rPr>
              <w:rFonts w:hint="eastAsia" w:ascii="黑体" w:hAnsi="黑体" w:eastAsia="黑体" w:cs="黑体"/>
              <w:bCs w:val="0"/>
              <w:color w:val="auto"/>
              <w:sz w:val="28"/>
              <w:szCs w:val="28"/>
              <w:highlight w:val="none"/>
            </w:rPr>
            <w:fldChar w:fldCharType="separate"/>
          </w:r>
          <w:r>
            <w:rPr>
              <w:rFonts w:hint="eastAsia" w:ascii="黑体" w:hAnsi="黑体" w:eastAsia="黑体" w:cs="黑体"/>
              <w:color w:val="auto"/>
              <w:sz w:val="28"/>
              <w:szCs w:val="28"/>
              <w:highlight w:val="none"/>
              <w:lang w:val="en-US" w:eastAsia="zh-CN"/>
            </w:rPr>
            <w:t>五、环境保护措施监督检查清单</w:t>
          </w:r>
          <w:r>
            <w:rPr>
              <w:rFonts w:hint="eastAsia" w:ascii="黑体" w:hAnsi="黑体" w:eastAsia="黑体" w:cs="黑体"/>
              <w:color w:val="auto"/>
              <w:sz w:val="28"/>
              <w:szCs w:val="28"/>
              <w:highlight w:val="none"/>
            </w:rPr>
            <w:tab/>
          </w:r>
          <w:r>
            <w:rPr>
              <w:rFonts w:hint="eastAsia" w:ascii="黑体" w:hAnsi="黑体" w:eastAsia="黑体" w:cs="黑体"/>
              <w:color w:val="auto"/>
              <w:sz w:val="28"/>
              <w:szCs w:val="28"/>
              <w:highlight w:val="none"/>
            </w:rPr>
            <w:fldChar w:fldCharType="begin"/>
          </w:r>
          <w:r>
            <w:rPr>
              <w:rFonts w:hint="eastAsia" w:ascii="黑体" w:hAnsi="黑体" w:eastAsia="黑体" w:cs="黑体"/>
              <w:color w:val="auto"/>
              <w:sz w:val="28"/>
              <w:szCs w:val="28"/>
              <w:highlight w:val="none"/>
            </w:rPr>
            <w:instrText xml:space="preserve"> PAGEREF _Toc27677 \h </w:instrText>
          </w:r>
          <w:r>
            <w:rPr>
              <w:rFonts w:hint="eastAsia" w:ascii="黑体" w:hAnsi="黑体" w:eastAsia="黑体" w:cs="黑体"/>
              <w:color w:val="auto"/>
              <w:sz w:val="28"/>
              <w:szCs w:val="28"/>
              <w:highlight w:val="none"/>
            </w:rPr>
            <w:fldChar w:fldCharType="separate"/>
          </w:r>
          <w:r>
            <w:rPr>
              <w:rFonts w:hint="eastAsia" w:ascii="黑体" w:hAnsi="黑体" w:eastAsia="黑体" w:cs="黑体"/>
              <w:color w:val="auto"/>
              <w:sz w:val="28"/>
              <w:szCs w:val="28"/>
              <w:highlight w:val="none"/>
            </w:rPr>
            <w:t>99</w:t>
          </w:r>
          <w:r>
            <w:rPr>
              <w:rFonts w:hint="eastAsia" w:ascii="黑体" w:hAnsi="黑体" w:eastAsia="黑体" w:cs="黑体"/>
              <w:color w:val="auto"/>
              <w:sz w:val="28"/>
              <w:szCs w:val="28"/>
              <w:highlight w:val="none"/>
            </w:rPr>
            <w:fldChar w:fldCharType="end"/>
          </w:r>
          <w:r>
            <w:rPr>
              <w:rFonts w:hint="eastAsia" w:ascii="黑体" w:hAnsi="黑体" w:eastAsia="黑体" w:cs="黑体"/>
              <w:bCs w:val="0"/>
              <w:color w:val="auto"/>
              <w:sz w:val="28"/>
              <w:szCs w:val="28"/>
              <w:highlight w:val="none"/>
            </w:rPr>
            <w:fldChar w:fldCharType="end"/>
          </w:r>
        </w:p>
        <w:p>
          <w:pPr>
            <w:pStyle w:val="16"/>
            <w:keepNext w:val="0"/>
            <w:keepLines w:val="0"/>
            <w:pageBreakBefore w:val="0"/>
            <w:widowControl w:val="0"/>
            <w:tabs>
              <w:tab w:val="right" w:leader="dot" w:pos="8312"/>
            </w:tabs>
            <w:kinsoku/>
            <w:wordWrap/>
            <w:overflowPunct/>
            <w:topLinePunct w:val="0"/>
            <w:autoSpaceDE/>
            <w:autoSpaceDN/>
            <w:bidi w:val="0"/>
            <w:adjustRightInd/>
            <w:snapToGrid/>
            <w:ind w:firstLine="0" w:firstLineChars="0"/>
            <w:jc w:val="left"/>
            <w:textAlignment w:val="auto"/>
            <w:rPr>
              <w:rFonts w:hint="eastAsia" w:ascii="黑体" w:hAnsi="黑体" w:eastAsia="黑体" w:cs="黑体"/>
              <w:color w:val="auto"/>
              <w:sz w:val="28"/>
              <w:szCs w:val="28"/>
              <w:highlight w:val="none"/>
            </w:rPr>
          </w:pPr>
          <w:r>
            <w:rPr>
              <w:rFonts w:hint="eastAsia" w:ascii="黑体" w:hAnsi="黑体" w:eastAsia="黑体" w:cs="黑体"/>
              <w:bCs w:val="0"/>
              <w:color w:val="auto"/>
              <w:sz w:val="28"/>
              <w:szCs w:val="28"/>
              <w:highlight w:val="none"/>
            </w:rPr>
            <w:fldChar w:fldCharType="begin"/>
          </w:r>
          <w:r>
            <w:rPr>
              <w:rFonts w:hint="eastAsia" w:ascii="黑体" w:hAnsi="黑体" w:eastAsia="黑体" w:cs="黑体"/>
              <w:bCs w:val="0"/>
              <w:color w:val="auto"/>
              <w:sz w:val="28"/>
              <w:szCs w:val="28"/>
              <w:highlight w:val="none"/>
            </w:rPr>
            <w:instrText xml:space="preserve"> HYPERLINK \l _Toc14180 </w:instrText>
          </w:r>
          <w:r>
            <w:rPr>
              <w:rFonts w:hint="eastAsia" w:ascii="黑体" w:hAnsi="黑体" w:eastAsia="黑体" w:cs="黑体"/>
              <w:bCs w:val="0"/>
              <w:color w:val="auto"/>
              <w:sz w:val="28"/>
              <w:szCs w:val="28"/>
              <w:highlight w:val="none"/>
            </w:rPr>
            <w:fldChar w:fldCharType="separate"/>
          </w:r>
          <w:r>
            <w:rPr>
              <w:rFonts w:hint="eastAsia" w:ascii="黑体" w:hAnsi="黑体" w:eastAsia="黑体" w:cs="黑体"/>
              <w:color w:val="auto"/>
              <w:sz w:val="28"/>
              <w:szCs w:val="28"/>
              <w:highlight w:val="none"/>
              <w:lang w:val="en-US" w:eastAsia="zh-CN"/>
            </w:rPr>
            <w:t>六、结论</w:t>
          </w:r>
          <w:r>
            <w:rPr>
              <w:rFonts w:hint="eastAsia" w:ascii="黑体" w:hAnsi="黑体" w:eastAsia="黑体" w:cs="黑体"/>
              <w:color w:val="auto"/>
              <w:sz w:val="28"/>
              <w:szCs w:val="28"/>
              <w:highlight w:val="none"/>
            </w:rPr>
            <w:tab/>
          </w:r>
          <w:r>
            <w:rPr>
              <w:rFonts w:hint="eastAsia" w:ascii="黑体" w:hAnsi="黑体" w:eastAsia="黑体" w:cs="黑体"/>
              <w:color w:val="auto"/>
              <w:sz w:val="28"/>
              <w:szCs w:val="28"/>
              <w:highlight w:val="none"/>
            </w:rPr>
            <w:fldChar w:fldCharType="begin"/>
          </w:r>
          <w:r>
            <w:rPr>
              <w:rFonts w:hint="eastAsia" w:ascii="黑体" w:hAnsi="黑体" w:eastAsia="黑体" w:cs="黑体"/>
              <w:color w:val="auto"/>
              <w:sz w:val="28"/>
              <w:szCs w:val="28"/>
              <w:highlight w:val="none"/>
            </w:rPr>
            <w:instrText xml:space="preserve"> PAGEREF _Toc14180 \h </w:instrText>
          </w:r>
          <w:r>
            <w:rPr>
              <w:rFonts w:hint="eastAsia" w:ascii="黑体" w:hAnsi="黑体" w:eastAsia="黑体" w:cs="黑体"/>
              <w:color w:val="auto"/>
              <w:sz w:val="28"/>
              <w:szCs w:val="28"/>
              <w:highlight w:val="none"/>
            </w:rPr>
            <w:fldChar w:fldCharType="separate"/>
          </w:r>
          <w:r>
            <w:rPr>
              <w:rFonts w:hint="eastAsia" w:ascii="黑体" w:hAnsi="黑体" w:eastAsia="黑体" w:cs="黑体"/>
              <w:color w:val="auto"/>
              <w:sz w:val="28"/>
              <w:szCs w:val="28"/>
              <w:highlight w:val="none"/>
            </w:rPr>
            <w:t>106</w:t>
          </w:r>
          <w:r>
            <w:rPr>
              <w:rFonts w:hint="eastAsia" w:ascii="黑体" w:hAnsi="黑体" w:eastAsia="黑体" w:cs="黑体"/>
              <w:color w:val="auto"/>
              <w:sz w:val="28"/>
              <w:szCs w:val="28"/>
              <w:highlight w:val="none"/>
            </w:rPr>
            <w:fldChar w:fldCharType="end"/>
          </w:r>
          <w:r>
            <w:rPr>
              <w:rFonts w:hint="eastAsia" w:ascii="黑体" w:hAnsi="黑体" w:eastAsia="黑体" w:cs="黑体"/>
              <w:bCs w:val="0"/>
              <w:color w:val="auto"/>
              <w:sz w:val="28"/>
              <w:szCs w:val="28"/>
              <w:highlight w:val="none"/>
            </w:rPr>
            <w:fldChar w:fldCharType="end"/>
          </w:r>
        </w:p>
        <w:p>
          <w:pPr>
            <w:pStyle w:val="16"/>
            <w:keepNext w:val="0"/>
            <w:keepLines w:val="0"/>
            <w:pageBreakBefore w:val="0"/>
            <w:widowControl w:val="0"/>
            <w:tabs>
              <w:tab w:val="right" w:leader="dot" w:pos="8312"/>
            </w:tabs>
            <w:kinsoku/>
            <w:wordWrap/>
            <w:overflowPunct/>
            <w:topLinePunct w:val="0"/>
            <w:autoSpaceDE/>
            <w:autoSpaceDN/>
            <w:bidi w:val="0"/>
            <w:adjustRightInd/>
            <w:snapToGrid/>
            <w:ind w:firstLine="0" w:firstLineChars="0"/>
            <w:jc w:val="left"/>
            <w:textAlignment w:val="auto"/>
            <w:rPr>
              <w:rFonts w:hint="eastAsia" w:ascii="黑体" w:hAnsi="黑体" w:eastAsia="黑体" w:cs="黑体"/>
              <w:color w:val="auto"/>
              <w:sz w:val="28"/>
              <w:szCs w:val="28"/>
              <w:highlight w:val="none"/>
            </w:rPr>
          </w:pPr>
          <w:r>
            <w:rPr>
              <w:rFonts w:hint="eastAsia" w:ascii="黑体" w:hAnsi="黑体" w:eastAsia="黑体" w:cs="黑体"/>
              <w:bCs w:val="0"/>
              <w:color w:val="auto"/>
              <w:sz w:val="28"/>
              <w:szCs w:val="28"/>
              <w:highlight w:val="none"/>
            </w:rPr>
            <w:fldChar w:fldCharType="begin"/>
          </w:r>
          <w:r>
            <w:rPr>
              <w:rFonts w:hint="eastAsia" w:ascii="黑体" w:hAnsi="黑体" w:eastAsia="黑体" w:cs="黑体"/>
              <w:bCs w:val="0"/>
              <w:color w:val="auto"/>
              <w:sz w:val="28"/>
              <w:szCs w:val="28"/>
              <w:highlight w:val="none"/>
            </w:rPr>
            <w:instrText xml:space="preserve"> HYPERLINK \l _Toc25336 </w:instrText>
          </w:r>
          <w:r>
            <w:rPr>
              <w:rFonts w:hint="eastAsia" w:ascii="黑体" w:hAnsi="黑体" w:eastAsia="黑体" w:cs="黑体"/>
              <w:bCs w:val="0"/>
              <w:color w:val="auto"/>
              <w:sz w:val="28"/>
              <w:szCs w:val="28"/>
              <w:highlight w:val="none"/>
            </w:rPr>
            <w:fldChar w:fldCharType="separate"/>
          </w:r>
          <w:r>
            <w:rPr>
              <w:rFonts w:hint="eastAsia" w:ascii="黑体" w:hAnsi="黑体" w:eastAsia="黑体" w:cs="黑体"/>
              <w:color w:val="auto"/>
              <w:sz w:val="28"/>
              <w:szCs w:val="28"/>
              <w:highlight w:val="none"/>
              <w:lang w:val="en-US" w:eastAsia="zh-CN"/>
            </w:rPr>
            <w:t>建设项目污染物排放量汇总表</w:t>
          </w:r>
          <w:r>
            <w:rPr>
              <w:rFonts w:hint="eastAsia" w:ascii="黑体" w:hAnsi="黑体" w:eastAsia="黑体" w:cs="黑体"/>
              <w:color w:val="auto"/>
              <w:sz w:val="28"/>
              <w:szCs w:val="28"/>
              <w:highlight w:val="none"/>
            </w:rPr>
            <w:tab/>
          </w:r>
          <w:r>
            <w:rPr>
              <w:rFonts w:hint="eastAsia" w:ascii="黑体" w:hAnsi="黑体" w:eastAsia="黑体" w:cs="黑体"/>
              <w:color w:val="auto"/>
              <w:sz w:val="28"/>
              <w:szCs w:val="28"/>
              <w:highlight w:val="none"/>
            </w:rPr>
            <w:fldChar w:fldCharType="begin"/>
          </w:r>
          <w:r>
            <w:rPr>
              <w:rFonts w:hint="eastAsia" w:ascii="黑体" w:hAnsi="黑体" w:eastAsia="黑体" w:cs="黑体"/>
              <w:color w:val="auto"/>
              <w:sz w:val="28"/>
              <w:szCs w:val="28"/>
              <w:highlight w:val="none"/>
            </w:rPr>
            <w:instrText xml:space="preserve"> PAGEREF _Toc25336 \h </w:instrText>
          </w:r>
          <w:r>
            <w:rPr>
              <w:rFonts w:hint="eastAsia" w:ascii="黑体" w:hAnsi="黑体" w:eastAsia="黑体" w:cs="黑体"/>
              <w:color w:val="auto"/>
              <w:sz w:val="28"/>
              <w:szCs w:val="28"/>
              <w:highlight w:val="none"/>
            </w:rPr>
            <w:fldChar w:fldCharType="separate"/>
          </w:r>
          <w:r>
            <w:rPr>
              <w:rFonts w:hint="eastAsia" w:ascii="黑体" w:hAnsi="黑体" w:eastAsia="黑体" w:cs="黑体"/>
              <w:color w:val="auto"/>
              <w:sz w:val="28"/>
              <w:szCs w:val="28"/>
              <w:highlight w:val="none"/>
            </w:rPr>
            <w:t>107</w:t>
          </w:r>
          <w:r>
            <w:rPr>
              <w:rFonts w:hint="eastAsia" w:ascii="黑体" w:hAnsi="黑体" w:eastAsia="黑体" w:cs="黑体"/>
              <w:color w:val="auto"/>
              <w:sz w:val="28"/>
              <w:szCs w:val="28"/>
              <w:highlight w:val="none"/>
            </w:rPr>
            <w:fldChar w:fldCharType="end"/>
          </w:r>
          <w:r>
            <w:rPr>
              <w:rFonts w:hint="eastAsia" w:ascii="黑体" w:hAnsi="黑体" w:eastAsia="黑体" w:cs="黑体"/>
              <w:bCs w:val="0"/>
              <w:color w:val="auto"/>
              <w:sz w:val="28"/>
              <w:szCs w:val="28"/>
              <w:highlight w:val="none"/>
            </w:rPr>
            <w:fldChar w:fldCharType="end"/>
          </w:r>
        </w:p>
        <w:p>
          <w:pPr>
            <w:pStyle w:val="16"/>
            <w:tabs>
              <w:tab w:val="right" w:leader="dot" w:pos="8312"/>
            </w:tabs>
            <w:jc w:val="both"/>
            <w:rPr>
              <w:color w:val="auto"/>
              <w:highlight w:val="none"/>
            </w:rPr>
          </w:pPr>
        </w:p>
        <w:p>
          <w:pPr>
            <w:keepNext w:val="0"/>
            <w:keepLines w:val="0"/>
            <w:pageBreakBefore w:val="0"/>
            <w:widowControl w:val="0"/>
            <w:kinsoku/>
            <w:wordWrap/>
            <w:overflowPunct/>
            <w:topLinePunct w:val="0"/>
            <w:autoSpaceDE/>
            <w:autoSpaceDN/>
            <w:bidi w:val="0"/>
            <w:adjustRightInd/>
            <w:snapToGrid/>
            <w:spacing w:before="0" w:beforeLines="0" w:after="157" w:afterLines="50" w:line="240" w:lineRule="auto"/>
            <w:ind w:left="0" w:leftChars="0" w:right="0" w:rightChars="0" w:firstLine="0" w:firstLineChars="0"/>
            <w:jc w:val="center"/>
            <w:textAlignment w:val="auto"/>
            <w:rPr>
              <w:rFonts w:hint="eastAsia" w:ascii="黑体" w:hAnsi="黑体" w:eastAsia="黑体" w:cs="黑体"/>
              <w:color w:val="auto"/>
              <w:sz w:val="28"/>
              <w:szCs w:val="28"/>
              <w:highlight w:val="none"/>
              <w:lang w:val="en-US" w:eastAsia="zh-CN"/>
            </w:rPr>
          </w:pPr>
          <w:r>
            <w:rPr>
              <w:rFonts w:hint="eastAsia" w:ascii="黑体" w:hAnsi="黑体" w:eastAsia="黑体" w:cs="黑体"/>
              <w:b w:val="0"/>
              <w:bCs w:val="0"/>
              <w:color w:val="auto"/>
              <w:sz w:val="28"/>
              <w:szCs w:val="28"/>
              <w:highlight w:val="none"/>
            </w:rPr>
            <w:fldChar w:fldCharType="end"/>
          </w:r>
          <w:bookmarkStart w:id="0" w:name="_Toc2118"/>
        </w:p>
      </w:sdtContent>
    </w:sdt>
    <w:p>
      <w:pPr>
        <w:bidi w:val="0"/>
        <w:ind w:left="0" w:leftChars="0" w:firstLine="0" w:firstLineChars="0"/>
        <w:rPr>
          <w:rFonts w:hint="default"/>
          <w:color w:val="auto"/>
          <w:sz w:val="28"/>
          <w:szCs w:val="28"/>
          <w:highlight w:val="none"/>
          <w:lang w:val="en-US" w:eastAsia="zh-CN"/>
        </w:rPr>
      </w:pPr>
      <w:r>
        <w:rPr>
          <w:rFonts w:hint="eastAsia" w:ascii="黑体" w:hAnsi="黑体" w:eastAsia="黑体" w:cs="黑体"/>
          <w:color w:val="auto"/>
          <w:sz w:val="28"/>
          <w:szCs w:val="28"/>
          <w:highlight w:val="none"/>
          <w:lang w:val="en-US" w:eastAsia="zh-CN"/>
        </w:rPr>
        <w:t>附件：</w:t>
      </w:r>
      <w:bookmarkEnd w:id="0"/>
    </w:p>
    <w:p>
      <w:pPr>
        <w:bidi w:val="0"/>
        <w:rPr>
          <w:rFonts w:hint="eastAsia" w:ascii="黑体" w:hAnsi="黑体" w:eastAsia="黑体" w:cs="黑体"/>
          <w:color w:val="auto"/>
          <w:highlight w:val="none"/>
          <w:lang w:val="en-US" w:eastAsia="zh-CN"/>
        </w:rPr>
      </w:pPr>
      <w:bookmarkStart w:id="1" w:name="_Toc30005"/>
      <w:r>
        <w:rPr>
          <w:rFonts w:hint="eastAsia" w:ascii="黑体" w:hAnsi="黑体" w:eastAsia="黑体" w:cs="黑体"/>
          <w:color w:val="auto"/>
          <w:highlight w:val="none"/>
          <w:lang w:val="en-US" w:eastAsia="zh-CN"/>
        </w:rPr>
        <w:t>附件1 委托书</w:t>
      </w:r>
      <w:bookmarkEnd w:id="1"/>
    </w:p>
    <w:p>
      <w:pPr>
        <w:bidi w:val="0"/>
        <w:rPr>
          <w:rFonts w:hint="eastAsia" w:ascii="黑体" w:hAnsi="黑体" w:eastAsia="黑体" w:cs="黑体"/>
          <w:color w:val="auto"/>
          <w:highlight w:val="none"/>
          <w:lang w:val="en-US" w:eastAsia="zh-CN"/>
        </w:rPr>
      </w:pPr>
      <w:bookmarkStart w:id="2" w:name="_Toc28900"/>
      <w:r>
        <w:rPr>
          <w:rFonts w:hint="eastAsia" w:ascii="黑体" w:hAnsi="黑体" w:eastAsia="黑体" w:cs="黑体"/>
          <w:color w:val="auto"/>
          <w:highlight w:val="none"/>
          <w:lang w:val="en-US" w:eastAsia="zh-CN"/>
        </w:rPr>
        <w:t>附件2</w:t>
      </w:r>
      <w:bookmarkEnd w:id="2"/>
      <w:r>
        <w:rPr>
          <w:rFonts w:hint="eastAsia" w:ascii="黑体" w:hAnsi="黑体" w:eastAsia="黑体" w:cs="黑体"/>
          <w:color w:val="auto"/>
          <w:highlight w:val="none"/>
          <w:lang w:val="en-US" w:eastAsia="zh-CN"/>
        </w:rPr>
        <w:t xml:space="preserve"> 投资项目备案证</w:t>
      </w:r>
    </w:p>
    <w:p>
      <w:pPr>
        <w:bidi w:val="0"/>
        <w:rPr>
          <w:rFonts w:hint="eastAsia" w:ascii="黑体" w:hAnsi="黑体" w:eastAsia="黑体" w:cs="黑体"/>
          <w:color w:val="auto"/>
          <w:highlight w:val="none"/>
          <w:lang w:val="en-US" w:eastAsia="zh-CN"/>
        </w:rPr>
      </w:pPr>
      <w:bookmarkStart w:id="3" w:name="_Toc29260"/>
      <w:r>
        <w:rPr>
          <w:rFonts w:hint="eastAsia" w:ascii="黑体" w:hAnsi="黑体" w:eastAsia="黑体" w:cs="黑体"/>
          <w:color w:val="auto"/>
          <w:highlight w:val="none"/>
          <w:lang w:val="en-US" w:eastAsia="zh-CN"/>
        </w:rPr>
        <w:t>附件3</w:t>
      </w:r>
      <w:bookmarkEnd w:id="3"/>
      <w:bookmarkStart w:id="4" w:name="_Toc11291"/>
      <w:r>
        <w:rPr>
          <w:rFonts w:hint="eastAsia" w:ascii="黑体" w:hAnsi="黑体" w:eastAsia="黑体" w:cs="黑体"/>
          <w:color w:val="auto"/>
          <w:highlight w:val="none"/>
          <w:lang w:val="en-US" w:eastAsia="zh-CN"/>
        </w:rPr>
        <w:t xml:space="preserve"> 营业执照</w:t>
      </w:r>
    </w:p>
    <w:p>
      <w:pPr>
        <w:bidi w:val="0"/>
        <w:rPr>
          <w:rFonts w:hint="eastAsia"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附件4 入园证明</w:t>
      </w:r>
    </w:p>
    <w:p>
      <w:pPr>
        <w:bidi w:val="0"/>
        <w:rPr>
          <w:rFonts w:hint="default"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附件5 “三区三线”</w:t>
      </w:r>
      <w:bookmarkEnd w:id="4"/>
      <w:bookmarkStart w:id="5" w:name="_Toc15067"/>
      <w:r>
        <w:rPr>
          <w:rFonts w:hint="eastAsia" w:ascii="黑体" w:hAnsi="黑体" w:eastAsia="黑体" w:cs="黑体"/>
          <w:color w:val="auto"/>
          <w:highlight w:val="none"/>
          <w:lang w:val="en-US" w:eastAsia="zh-CN"/>
        </w:rPr>
        <w:t>查询结果</w:t>
      </w:r>
    </w:p>
    <w:p>
      <w:pPr>
        <w:rPr>
          <w:rFonts w:hint="eastAsia"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附件6 玉溪市生态环境局关于《云南易门产业园区总体规划（修编）（2021-2035）环境影响报告书》审查意见的函（玉市环函〔2022〕32号）</w:t>
      </w:r>
    </w:p>
    <w:p>
      <w:pPr>
        <w:rPr>
          <w:rFonts w:hint="eastAsia"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附件7 易门铜业有限公司废气、噪声自行检测报告（2025年第四季度）</w:t>
      </w:r>
    </w:p>
    <w:p>
      <w:pPr>
        <w:rPr>
          <w:rFonts w:hint="eastAsia"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附件8 易门铜业有限公司废气、噪声自行检测报告（2026年第一季度）</w:t>
      </w:r>
    </w:p>
    <w:p>
      <w:pPr>
        <w:rPr>
          <w:rFonts w:hint="eastAsia"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附件9 易门铜业有限公司（含废水）自行检测报告（2026年3月份）</w:t>
      </w:r>
    </w:p>
    <w:p>
      <w:pPr>
        <w:rPr>
          <w:rFonts w:hint="default"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附件10 易门铜业有限公司3万吨/年阳极铜扩建工程-环评批复</w:t>
      </w:r>
    </w:p>
    <w:p>
      <w:pPr>
        <w:rPr>
          <w:rFonts w:hint="default"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附件11 易门铜业有限公司3万吨/年阳极铜扩建工程-验收批复</w:t>
      </w:r>
    </w:p>
    <w:p>
      <w:pPr>
        <w:rPr>
          <w:rFonts w:hint="default"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附件12 易门铜业有限公司排污许可证</w:t>
      </w:r>
    </w:p>
    <w:p>
      <w:pPr>
        <w:rPr>
          <w:rFonts w:hint="default"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附件13 技术咨询合同</w:t>
      </w:r>
    </w:p>
    <w:p>
      <w:pPr>
        <w:rPr>
          <w:rFonts w:hint="eastAsia"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附件14 环评项目内部审核表（三级）</w:t>
      </w:r>
    </w:p>
    <w:p>
      <w:pPr>
        <w:rPr>
          <w:rFonts w:hint="eastAsia"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附件15 环评项目工作进度表</w:t>
      </w:r>
    </w:p>
    <w:p>
      <w:pPr>
        <w:rPr>
          <w:rFonts w:hint="eastAsia"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附件16 专家评审意见及签字表</w:t>
      </w:r>
    </w:p>
    <w:p>
      <w:pPr>
        <w:rPr>
          <w:rFonts w:hint="default"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附件17 修改对照表</w:t>
      </w:r>
    </w:p>
    <w:p>
      <w:pPr>
        <w:bidi w:val="0"/>
        <w:ind w:left="0" w:leftChars="0" w:firstLine="0" w:firstLineChars="0"/>
        <w:rPr>
          <w:rFonts w:hint="eastAsia" w:ascii="黑体" w:hAnsi="黑体" w:eastAsia="黑体" w:cs="黑体"/>
          <w:color w:val="auto"/>
          <w:sz w:val="28"/>
          <w:szCs w:val="28"/>
          <w:highlight w:val="none"/>
          <w:lang w:val="en-US" w:eastAsia="zh-CN"/>
        </w:rPr>
      </w:pPr>
      <w:r>
        <w:rPr>
          <w:rFonts w:hint="eastAsia" w:ascii="黑体" w:hAnsi="黑体" w:eastAsia="黑体" w:cs="黑体"/>
          <w:color w:val="auto"/>
          <w:sz w:val="28"/>
          <w:szCs w:val="28"/>
          <w:highlight w:val="none"/>
          <w:lang w:val="en-US" w:eastAsia="zh-CN"/>
        </w:rPr>
        <w:t>附图：</w:t>
      </w:r>
      <w:bookmarkEnd w:id="5"/>
    </w:p>
    <w:p>
      <w:pPr>
        <w:bidi w:val="0"/>
        <w:rPr>
          <w:rFonts w:hint="eastAsia" w:ascii="黑体" w:hAnsi="黑体" w:eastAsia="黑体" w:cs="黑体"/>
          <w:color w:val="auto"/>
          <w:highlight w:val="none"/>
          <w:lang w:val="en-US" w:eastAsia="zh-CN"/>
        </w:rPr>
      </w:pPr>
      <w:bookmarkStart w:id="6" w:name="_Toc1120"/>
      <w:bookmarkStart w:id="7" w:name="_Toc4129"/>
      <w:r>
        <w:rPr>
          <w:rFonts w:hint="eastAsia" w:ascii="黑体" w:hAnsi="黑体" w:eastAsia="黑体" w:cs="黑体"/>
          <w:color w:val="auto"/>
          <w:highlight w:val="none"/>
          <w:lang w:val="en-US" w:eastAsia="zh-CN"/>
        </w:rPr>
        <w:t>附图1 项目地理位置图</w:t>
      </w:r>
      <w:bookmarkEnd w:id="6"/>
    </w:p>
    <w:p>
      <w:pPr>
        <w:bidi w:val="0"/>
        <w:rPr>
          <w:rFonts w:hint="eastAsia" w:ascii="黑体" w:hAnsi="黑体" w:eastAsia="黑体" w:cs="黑体"/>
          <w:color w:val="auto"/>
          <w:highlight w:val="none"/>
          <w:lang w:val="en-US" w:eastAsia="zh-CN"/>
        </w:rPr>
      </w:pPr>
      <w:bookmarkStart w:id="8" w:name="_Toc8310"/>
      <w:r>
        <w:rPr>
          <w:rFonts w:hint="eastAsia" w:ascii="黑体" w:hAnsi="黑体" w:eastAsia="黑体" w:cs="黑体"/>
          <w:color w:val="auto"/>
          <w:highlight w:val="none"/>
          <w:lang w:val="en-US" w:eastAsia="zh-CN"/>
        </w:rPr>
        <w:t>附图2 项目总平面布置图</w:t>
      </w:r>
      <w:bookmarkEnd w:id="8"/>
    </w:p>
    <w:p>
      <w:pPr>
        <w:bidi w:val="0"/>
        <w:rPr>
          <w:rFonts w:hint="eastAsia" w:ascii="黑体" w:hAnsi="黑体" w:eastAsia="黑体" w:cs="黑体"/>
          <w:color w:val="auto"/>
          <w:highlight w:val="none"/>
          <w:lang w:val="en-US" w:eastAsia="zh-CN"/>
        </w:rPr>
      </w:pPr>
      <w:bookmarkStart w:id="9" w:name="_Toc29994"/>
      <w:r>
        <w:rPr>
          <w:rFonts w:hint="eastAsia" w:ascii="黑体" w:hAnsi="黑体" w:eastAsia="黑体" w:cs="黑体"/>
          <w:color w:val="auto"/>
          <w:highlight w:val="none"/>
          <w:lang w:val="en-US" w:eastAsia="zh-CN"/>
        </w:rPr>
        <w:t>附图3 项目所在区域水系图</w:t>
      </w:r>
      <w:bookmarkEnd w:id="9"/>
    </w:p>
    <w:p>
      <w:pPr>
        <w:bidi w:val="0"/>
        <w:rPr>
          <w:rFonts w:hint="default"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附图4 项目与易门铜业有限公司位置关系图</w:t>
      </w:r>
    </w:p>
    <w:p>
      <w:pPr>
        <w:bidi w:val="0"/>
        <w:rPr>
          <w:rFonts w:hint="eastAsia"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附图5 项目与产业园区的位置关系图</w:t>
      </w:r>
    </w:p>
    <w:p>
      <w:pPr>
        <w:bidi w:val="0"/>
        <w:rPr>
          <w:rFonts w:hint="eastAsia"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附图6 产业园区用地规划图</w:t>
      </w:r>
    </w:p>
    <w:p>
      <w:pPr>
        <w:bidi w:val="0"/>
        <w:rPr>
          <w:rFonts w:hint="default"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附图7 项目与“国家级和省级主体功能区”位置关系图</w:t>
      </w:r>
    </w:p>
    <w:p>
      <w:pPr>
        <w:bidi w:val="0"/>
        <w:rPr>
          <w:rFonts w:hint="eastAsia"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附图8 项目与“云南省生态功能区划”位置关系图</w:t>
      </w:r>
    </w:p>
    <w:p>
      <w:pPr>
        <w:bidi w:val="0"/>
        <w:rPr>
          <w:rFonts w:hint="default" w:ascii="黑体" w:hAnsi="黑体" w:eastAsia="黑体" w:cs="黑体"/>
          <w:color w:val="auto"/>
          <w:highlight w:val="none"/>
          <w:lang w:val="en-US" w:eastAsia="zh-CN"/>
        </w:rPr>
        <w:sectPr>
          <w:headerReference r:id="rId5" w:type="default"/>
          <w:footerReference r:id="rId6" w:type="default"/>
          <w:pgSz w:w="11906" w:h="16838"/>
          <w:pgMar w:top="1440" w:right="1797" w:bottom="1440" w:left="1797" w:header="851" w:footer="992" w:gutter="0"/>
          <w:pgBorders w:offsetFrom="page">
            <w:top w:val="none" w:sz="0" w:space="0"/>
            <w:left w:val="none" w:sz="0" w:space="0"/>
            <w:bottom w:val="none" w:sz="0" w:space="0"/>
            <w:right w:val="none" w:sz="0" w:space="0"/>
          </w:pgBorders>
          <w:pgNumType w:fmt="upperRoman" w:start="1"/>
          <w:cols w:space="425" w:num="1"/>
          <w:docGrid w:type="lines" w:linePitch="312" w:charSpace="0"/>
        </w:sectPr>
      </w:pPr>
      <w:r>
        <w:rPr>
          <w:rFonts w:hint="eastAsia" w:ascii="黑体" w:hAnsi="黑体" w:eastAsia="黑体" w:cs="黑体"/>
          <w:color w:val="auto"/>
          <w:highlight w:val="none"/>
          <w:lang w:val="en-US" w:eastAsia="zh-CN"/>
        </w:rPr>
        <w:t>附图9 项目与“云南省生物多样性保护优先区域”位置关系图</w:t>
      </w:r>
    </w:p>
    <w:p>
      <w:pPr>
        <w:pStyle w:val="2"/>
        <w:bidi w:val="0"/>
        <w:rPr>
          <w:rFonts w:hint="eastAsia"/>
          <w:color w:val="auto"/>
          <w:highlight w:val="none"/>
          <w:lang w:eastAsia="zh-CN"/>
        </w:rPr>
      </w:pPr>
      <w:bookmarkStart w:id="10" w:name="_Toc16817"/>
      <w:r>
        <w:rPr>
          <w:rFonts w:hint="eastAsia"/>
          <w:color w:val="auto"/>
          <w:highlight w:val="none"/>
          <w:lang w:eastAsia="zh-CN"/>
        </w:rPr>
        <w:t>一、建设项目基本情况</w:t>
      </w:r>
      <w:bookmarkEnd w:id="7"/>
      <w:bookmarkEnd w:id="10"/>
    </w:p>
    <w:tbl>
      <w:tblPr>
        <w:tblStyle w:val="23"/>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73"/>
        <w:gridCol w:w="2830"/>
        <w:gridCol w:w="1587"/>
        <w:gridCol w:w="2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2" w:hRule="atLeast"/>
          <w:jc w:val="center"/>
        </w:trPr>
        <w:tc>
          <w:tcPr>
            <w:tcW w:w="147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4"/>
                <w:szCs w:val="24"/>
                <w:highlight w:val="none"/>
                <w:u w:val="none"/>
                <w:lang w:eastAsia="zh-CN"/>
              </w:rPr>
            </w:pPr>
            <w:r>
              <w:rPr>
                <w:rFonts w:hint="default" w:ascii="Times New Roman" w:hAnsi="Times New Roman" w:eastAsia="宋体" w:cs="Times New Roman"/>
                <w:i w:val="0"/>
                <w:iCs w:val="0"/>
                <w:color w:val="auto"/>
                <w:sz w:val="24"/>
                <w:szCs w:val="24"/>
                <w:highlight w:val="none"/>
                <w:u w:val="none"/>
                <w:lang w:eastAsia="zh-CN"/>
              </w:rPr>
              <w:t>项目名称</w:t>
            </w:r>
          </w:p>
        </w:tc>
        <w:tc>
          <w:tcPr>
            <w:tcW w:w="7208" w:type="dxa"/>
            <w:gridSpan w:val="3"/>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4"/>
                <w:szCs w:val="24"/>
                <w:highlight w:val="none"/>
                <w:u w:val="none"/>
                <w:lang w:val="en-US" w:eastAsia="zh-CN"/>
              </w:rPr>
            </w:pPr>
            <w:r>
              <w:rPr>
                <w:rFonts w:hint="default" w:ascii="Times New Roman" w:hAnsi="Times New Roman" w:eastAsia="宋体" w:cs="Times New Roman"/>
                <w:i w:val="0"/>
                <w:iCs w:val="0"/>
                <w:color w:val="auto"/>
                <w:sz w:val="24"/>
                <w:szCs w:val="24"/>
                <w:highlight w:val="none"/>
                <w:u w:val="none"/>
                <w:lang w:val="en-US" w:eastAsia="zh-CN"/>
              </w:rPr>
              <w:t>制氧系统技术改造节能项目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7" w:hRule="atLeast"/>
          <w:jc w:val="center"/>
        </w:trPr>
        <w:tc>
          <w:tcPr>
            <w:tcW w:w="147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项目代码</w:t>
            </w:r>
          </w:p>
        </w:tc>
        <w:tc>
          <w:tcPr>
            <w:tcW w:w="7208" w:type="dxa"/>
            <w:gridSpan w:val="3"/>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4"/>
                <w:szCs w:val="24"/>
                <w:highlight w:val="none"/>
                <w:u w:val="none"/>
                <w:lang w:val="en-US" w:eastAsia="zh-CN"/>
              </w:rPr>
            </w:pPr>
            <w:r>
              <w:rPr>
                <w:rFonts w:hint="default" w:ascii="Times New Roman" w:hAnsi="Times New Roman" w:eastAsia="宋体" w:cs="Times New Roman"/>
                <w:i w:val="0"/>
                <w:iCs w:val="0"/>
                <w:color w:val="auto"/>
                <w:sz w:val="24"/>
                <w:szCs w:val="24"/>
                <w:highlight w:val="none"/>
                <w:u w:val="none"/>
                <w:lang w:val="en-US" w:eastAsia="zh-CN"/>
              </w:rPr>
              <w:t>2511-530425-04-02-147574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2" w:hRule="atLeast"/>
          <w:jc w:val="center"/>
        </w:trPr>
        <w:tc>
          <w:tcPr>
            <w:tcW w:w="147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建设单位联系人</w:t>
            </w:r>
          </w:p>
        </w:tc>
        <w:tc>
          <w:tcPr>
            <w:tcW w:w="2830"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4"/>
                <w:szCs w:val="24"/>
                <w:highlight w:val="none"/>
                <w:u w:val="none"/>
                <w:lang w:val="en-US" w:eastAsia="zh-CN"/>
              </w:rPr>
            </w:pPr>
            <w:r>
              <w:rPr>
                <w:rFonts w:hint="default" w:ascii="Times New Roman" w:hAnsi="Times New Roman" w:eastAsia="宋体" w:cs="Times New Roman"/>
                <w:i w:val="0"/>
                <w:iCs w:val="0"/>
                <w:color w:val="auto"/>
                <w:sz w:val="24"/>
                <w:szCs w:val="24"/>
                <w:highlight w:val="none"/>
                <w:u w:val="none"/>
                <w:lang w:val="en-US" w:eastAsia="zh-CN"/>
              </w:rPr>
              <w:t>刘金明</w:t>
            </w:r>
          </w:p>
        </w:tc>
        <w:tc>
          <w:tcPr>
            <w:tcW w:w="158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联系方式</w:t>
            </w:r>
          </w:p>
        </w:tc>
        <w:tc>
          <w:tcPr>
            <w:tcW w:w="2791"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4"/>
                <w:szCs w:val="24"/>
                <w:highlight w:val="none"/>
                <w:u w:val="none"/>
                <w:lang w:val="en-US" w:eastAsia="zh-CN"/>
              </w:rPr>
            </w:pPr>
            <w:r>
              <w:rPr>
                <w:rFonts w:hint="default" w:ascii="Times New Roman" w:hAnsi="Times New Roman" w:eastAsia="宋体" w:cs="Times New Roman"/>
                <w:i w:val="0"/>
                <w:iCs w:val="0"/>
                <w:color w:val="auto"/>
                <w:sz w:val="24"/>
                <w:szCs w:val="24"/>
                <w:highlight w:val="none"/>
                <w:u w:val="none"/>
                <w:lang w:val="en-US" w:eastAsia="zh-CN"/>
              </w:rPr>
              <w:t>13577741793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2" w:hRule="atLeast"/>
          <w:jc w:val="center"/>
        </w:trPr>
        <w:tc>
          <w:tcPr>
            <w:tcW w:w="147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建设地点</w:t>
            </w:r>
          </w:p>
        </w:tc>
        <w:tc>
          <w:tcPr>
            <w:tcW w:w="7208" w:type="dxa"/>
            <w:gridSpan w:val="3"/>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4"/>
                <w:szCs w:val="24"/>
                <w:highlight w:val="none"/>
                <w:u w:val="none"/>
                <w:lang w:val="en-US" w:eastAsia="zh-CN"/>
              </w:rPr>
            </w:pPr>
            <w:r>
              <w:rPr>
                <w:rFonts w:hint="eastAsia" w:cs="Times New Roman"/>
                <w:i w:val="0"/>
                <w:iCs w:val="0"/>
                <w:color w:val="auto"/>
                <w:sz w:val="24"/>
                <w:szCs w:val="24"/>
                <w:highlight w:val="none"/>
                <w:u w:val="single"/>
                <w:lang w:val="en-US" w:eastAsia="zh-CN"/>
              </w:rPr>
              <w:t xml:space="preserve"> </w:t>
            </w:r>
            <w:r>
              <w:rPr>
                <w:rFonts w:hint="default" w:ascii="Times New Roman" w:hAnsi="Times New Roman" w:cs="Times New Roman"/>
                <w:i w:val="0"/>
                <w:iCs w:val="0"/>
                <w:color w:val="auto"/>
                <w:sz w:val="24"/>
                <w:szCs w:val="24"/>
                <w:highlight w:val="none"/>
                <w:u w:val="single"/>
                <w:lang w:eastAsia="zh-CN"/>
              </w:rPr>
              <w:t>云南</w:t>
            </w:r>
            <w:r>
              <w:rPr>
                <w:rFonts w:hint="eastAsia" w:cs="Times New Roman"/>
                <w:i w:val="0"/>
                <w:iCs w:val="0"/>
                <w:color w:val="auto"/>
                <w:sz w:val="24"/>
                <w:szCs w:val="24"/>
                <w:highlight w:val="none"/>
                <w:u w:val="single"/>
                <w:lang w:val="en-US" w:eastAsia="zh-CN"/>
              </w:rPr>
              <w:t xml:space="preserve"> </w:t>
            </w:r>
            <w:r>
              <w:rPr>
                <w:rFonts w:hint="default" w:ascii="Times New Roman" w:hAnsi="Times New Roman" w:cs="Times New Roman"/>
                <w:i w:val="0"/>
                <w:iCs w:val="0"/>
                <w:color w:val="auto"/>
                <w:sz w:val="24"/>
                <w:szCs w:val="24"/>
                <w:highlight w:val="none"/>
                <w:u w:val="none"/>
                <w:lang w:eastAsia="zh-CN"/>
              </w:rPr>
              <w:t>省</w:t>
            </w:r>
            <w:r>
              <w:rPr>
                <w:rFonts w:hint="eastAsia" w:cs="Times New Roman"/>
                <w:i w:val="0"/>
                <w:iCs w:val="0"/>
                <w:color w:val="auto"/>
                <w:sz w:val="24"/>
                <w:szCs w:val="24"/>
                <w:highlight w:val="none"/>
                <w:u w:val="single"/>
                <w:lang w:val="en-US" w:eastAsia="zh-CN"/>
              </w:rPr>
              <w:t xml:space="preserve"> 玉溪 </w:t>
            </w:r>
            <w:r>
              <w:rPr>
                <w:rFonts w:hint="eastAsia" w:cs="Times New Roman"/>
                <w:i w:val="0"/>
                <w:iCs w:val="0"/>
                <w:color w:val="auto"/>
                <w:sz w:val="24"/>
                <w:szCs w:val="24"/>
                <w:highlight w:val="none"/>
                <w:u w:val="none"/>
                <w:lang w:val="en-US" w:eastAsia="zh-CN"/>
              </w:rPr>
              <w:t>市</w:t>
            </w:r>
            <w:r>
              <w:rPr>
                <w:rFonts w:hint="eastAsia" w:cs="Times New Roman"/>
                <w:i w:val="0"/>
                <w:iCs w:val="0"/>
                <w:color w:val="auto"/>
                <w:sz w:val="24"/>
                <w:szCs w:val="24"/>
                <w:highlight w:val="none"/>
                <w:u w:val="single"/>
                <w:lang w:val="en-US" w:eastAsia="zh-CN"/>
              </w:rPr>
              <w:t xml:space="preserve"> 易门 </w:t>
            </w:r>
            <w:r>
              <w:rPr>
                <w:rFonts w:hint="eastAsia" w:cs="Times New Roman"/>
                <w:i w:val="0"/>
                <w:iCs w:val="0"/>
                <w:color w:val="auto"/>
                <w:sz w:val="24"/>
                <w:szCs w:val="24"/>
                <w:highlight w:val="none"/>
                <w:u w:val="none"/>
                <w:lang w:val="en-US" w:eastAsia="zh-CN"/>
              </w:rPr>
              <w:t>县云南易门产业园区大椿树片区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7" w:hRule="atLeast"/>
          <w:jc w:val="center"/>
        </w:trPr>
        <w:tc>
          <w:tcPr>
            <w:tcW w:w="147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地理坐标</w:t>
            </w:r>
          </w:p>
        </w:tc>
        <w:tc>
          <w:tcPr>
            <w:tcW w:w="7208" w:type="dxa"/>
            <w:gridSpan w:val="3"/>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4"/>
                <w:szCs w:val="24"/>
                <w:highlight w:val="none"/>
                <w:u w:val="none"/>
                <w:lang w:val="en-US" w:eastAsia="zh-CN"/>
              </w:rPr>
            </w:pPr>
            <w:r>
              <w:rPr>
                <w:rFonts w:hint="eastAsia" w:cs="Times New Roman"/>
                <w:i w:val="0"/>
                <w:iCs w:val="0"/>
                <w:color w:val="auto"/>
                <w:sz w:val="24"/>
                <w:szCs w:val="24"/>
                <w:highlight w:val="none"/>
                <w:u w:val="none"/>
                <w:lang w:val="en-US" w:eastAsia="zh-CN"/>
              </w:rPr>
              <w:t>（东经：</w:t>
            </w:r>
            <w:r>
              <w:rPr>
                <w:rFonts w:hint="eastAsia" w:cs="Times New Roman"/>
                <w:i w:val="0"/>
                <w:iCs w:val="0"/>
                <w:color w:val="auto"/>
                <w:sz w:val="24"/>
                <w:szCs w:val="24"/>
                <w:highlight w:val="none"/>
                <w:u w:val="single"/>
                <w:lang w:val="en-US" w:eastAsia="zh-CN"/>
              </w:rPr>
              <w:t xml:space="preserve"> </w:t>
            </w:r>
            <w:r>
              <w:rPr>
                <w:rFonts w:hint="eastAsia" w:cs="Times New Roman"/>
                <w:color w:val="auto"/>
                <w:sz w:val="24"/>
                <w:szCs w:val="24"/>
                <w:highlight w:val="none"/>
                <w:u w:val="single"/>
                <w:lang w:val="en-US" w:eastAsia="zh-CN"/>
              </w:rPr>
              <w:t xml:space="preserve">102 </w:t>
            </w:r>
            <w:r>
              <w:rPr>
                <w:rFonts w:hint="default" w:ascii="Times New Roman" w:hAnsi="Times New Roman" w:cs="Times New Roman"/>
                <w:color w:val="auto"/>
                <w:sz w:val="24"/>
                <w:szCs w:val="24"/>
                <w:highlight w:val="none"/>
                <w:lang w:eastAsia="zh-CN"/>
              </w:rPr>
              <w:t>度</w:t>
            </w:r>
            <w:r>
              <w:rPr>
                <w:rFonts w:hint="eastAsia" w:cs="Times New Roman"/>
                <w:color w:val="auto"/>
                <w:sz w:val="24"/>
                <w:szCs w:val="24"/>
                <w:highlight w:val="none"/>
                <w:u w:val="single"/>
                <w:lang w:val="en-US" w:eastAsia="zh-CN"/>
              </w:rPr>
              <w:t xml:space="preserve"> 9 </w:t>
            </w:r>
            <w:r>
              <w:rPr>
                <w:rFonts w:hint="default" w:ascii="Times New Roman" w:hAnsi="Times New Roman" w:cs="Times New Roman"/>
                <w:color w:val="auto"/>
                <w:sz w:val="24"/>
                <w:szCs w:val="24"/>
                <w:highlight w:val="none"/>
                <w:lang w:eastAsia="zh-CN"/>
              </w:rPr>
              <w:t>分</w:t>
            </w:r>
            <w:r>
              <w:rPr>
                <w:rFonts w:hint="eastAsia" w:cs="Times New Roman"/>
                <w:color w:val="auto"/>
                <w:sz w:val="24"/>
                <w:szCs w:val="24"/>
                <w:highlight w:val="none"/>
                <w:u w:val="single"/>
                <w:lang w:val="en-US" w:eastAsia="zh-CN"/>
              </w:rPr>
              <w:t xml:space="preserve"> 59.227 </w:t>
            </w:r>
            <w:r>
              <w:rPr>
                <w:rFonts w:hint="default" w:ascii="Times New Roman" w:hAnsi="Times New Roman" w:cs="Times New Roman"/>
                <w:color w:val="auto"/>
                <w:sz w:val="24"/>
                <w:szCs w:val="24"/>
                <w:highlight w:val="none"/>
                <w:lang w:eastAsia="zh-CN"/>
              </w:rPr>
              <w:t>秒，</w:t>
            </w:r>
            <w:r>
              <w:rPr>
                <w:rFonts w:hint="eastAsia" w:cs="Times New Roman"/>
                <w:color w:val="auto"/>
                <w:sz w:val="24"/>
                <w:szCs w:val="24"/>
                <w:highlight w:val="none"/>
                <w:lang w:val="en-US" w:eastAsia="zh-CN"/>
              </w:rPr>
              <w:t>北纬：</w:t>
            </w:r>
            <w:r>
              <w:rPr>
                <w:rFonts w:hint="eastAsia" w:cs="Times New Roman"/>
                <w:color w:val="auto"/>
                <w:sz w:val="24"/>
                <w:szCs w:val="24"/>
                <w:highlight w:val="none"/>
                <w:u w:val="single"/>
                <w:lang w:val="en-US" w:eastAsia="zh-CN"/>
              </w:rPr>
              <w:t xml:space="preserve"> 24 </w:t>
            </w:r>
            <w:r>
              <w:rPr>
                <w:rFonts w:hint="default" w:ascii="Times New Roman" w:hAnsi="Times New Roman" w:cs="Times New Roman"/>
                <w:color w:val="auto"/>
                <w:sz w:val="24"/>
                <w:szCs w:val="24"/>
                <w:highlight w:val="none"/>
                <w:lang w:eastAsia="zh-CN"/>
              </w:rPr>
              <w:t>度</w:t>
            </w:r>
            <w:r>
              <w:rPr>
                <w:rFonts w:hint="eastAsia" w:cs="Times New Roman"/>
                <w:color w:val="auto"/>
                <w:sz w:val="24"/>
                <w:szCs w:val="24"/>
                <w:highlight w:val="none"/>
                <w:u w:val="single"/>
                <w:lang w:val="en-US" w:eastAsia="zh-CN"/>
              </w:rPr>
              <w:t xml:space="preserve"> 42 </w:t>
            </w:r>
            <w:r>
              <w:rPr>
                <w:rFonts w:hint="default" w:ascii="Times New Roman" w:hAnsi="Times New Roman" w:cs="Times New Roman"/>
                <w:color w:val="auto"/>
                <w:sz w:val="24"/>
                <w:szCs w:val="24"/>
                <w:highlight w:val="none"/>
                <w:lang w:eastAsia="zh-CN"/>
              </w:rPr>
              <w:t>分</w:t>
            </w:r>
            <w:r>
              <w:rPr>
                <w:rFonts w:hint="eastAsia" w:cs="Times New Roman"/>
                <w:color w:val="auto"/>
                <w:sz w:val="24"/>
                <w:szCs w:val="24"/>
                <w:highlight w:val="none"/>
                <w:u w:val="single"/>
                <w:lang w:val="en-US" w:eastAsia="zh-CN"/>
              </w:rPr>
              <w:t xml:space="preserve"> 18.424 </w:t>
            </w:r>
            <w:r>
              <w:rPr>
                <w:rFonts w:hint="default" w:ascii="Times New Roman" w:hAnsi="Times New Roman" w:cs="Times New Roman"/>
                <w:color w:val="auto"/>
                <w:sz w:val="24"/>
                <w:szCs w:val="24"/>
                <w:highlight w:val="none"/>
                <w:lang w:eastAsia="zh-CN"/>
              </w:rPr>
              <w:t>秒</w:t>
            </w:r>
            <w:r>
              <w:rPr>
                <w:rFonts w:hint="eastAsia" w:cs="Times New Roman"/>
                <w:i w:val="0"/>
                <w:iCs w:val="0"/>
                <w:color w:val="auto"/>
                <w:sz w:val="24"/>
                <w:szCs w:val="24"/>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36" w:hRule="atLeast"/>
          <w:jc w:val="center"/>
        </w:trPr>
        <w:tc>
          <w:tcPr>
            <w:tcW w:w="147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国民经济行业类别</w:t>
            </w:r>
          </w:p>
        </w:tc>
        <w:tc>
          <w:tcPr>
            <w:tcW w:w="2830"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4"/>
                <w:szCs w:val="24"/>
                <w:highlight w:val="none"/>
                <w:u w:val="none"/>
                <w:lang w:val="en-US" w:eastAsia="zh-CN"/>
              </w:rPr>
            </w:pPr>
            <w:r>
              <w:rPr>
                <w:rFonts w:hint="default" w:ascii="Times New Roman" w:hAnsi="Times New Roman" w:eastAsia="宋体" w:cs="Times New Roman"/>
                <w:i w:val="0"/>
                <w:iCs w:val="0"/>
                <w:color w:val="auto"/>
                <w:sz w:val="24"/>
                <w:szCs w:val="24"/>
                <w:highlight w:val="none"/>
                <w:u w:val="none"/>
                <w:lang w:val="en-US" w:eastAsia="zh-CN"/>
              </w:rPr>
              <w:t>C2619 其他基础化学原料制造</w:t>
            </w:r>
          </w:p>
        </w:tc>
        <w:tc>
          <w:tcPr>
            <w:tcW w:w="158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建设项目行业类别</w:t>
            </w:r>
          </w:p>
        </w:tc>
        <w:tc>
          <w:tcPr>
            <w:tcW w:w="2791"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4"/>
                <w:szCs w:val="24"/>
                <w:highlight w:val="none"/>
                <w:u w:val="none"/>
                <w:lang w:val="en-US" w:eastAsia="zh-CN"/>
              </w:rPr>
            </w:pPr>
            <w:r>
              <w:rPr>
                <w:rFonts w:hint="default" w:ascii="Times New Roman" w:hAnsi="Times New Roman" w:eastAsia="宋体" w:cs="Times New Roman"/>
                <w:i w:val="0"/>
                <w:iCs w:val="0"/>
                <w:color w:val="auto"/>
                <w:sz w:val="24"/>
                <w:szCs w:val="24"/>
                <w:highlight w:val="none"/>
                <w:u w:val="none"/>
                <w:lang w:val="en-US" w:eastAsia="zh-CN"/>
              </w:rPr>
              <w:t>二十三、化学原料和化学制品制造业26</w:t>
            </w:r>
            <w:r>
              <w:rPr>
                <w:rFonts w:hint="eastAsia" w:cs="Times New Roman"/>
                <w:i w:val="0"/>
                <w:iCs w:val="0"/>
                <w:color w:val="auto"/>
                <w:sz w:val="24"/>
                <w:szCs w:val="24"/>
                <w:highlight w:val="none"/>
                <w:u w:val="none"/>
                <w:lang w:val="en-US" w:eastAsia="zh-CN"/>
              </w:rPr>
              <w:t>；44.</w:t>
            </w:r>
            <w:r>
              <w:rPr>
                <w:rFonts w:hint="default" w:ascii="Times New Roman" w:hAnsi="Times New Roman" w:eastAsia="宋体" w:cs="Times New Roman"/>
                <w:i w:val="0"/>
                <w:iCs w:val="0"/>
                <w:color w:val="auto"/>
                <w:sz w:val="24"/>
                <w:szCs w:val="24"/>
                <w:highlight w:val="none"/>
                <w:u w:val="none"/>
                <w:lang w:val="en-US" w:eastAsia="zh-CN"/>
              </w:rPr>
              <w:t>基础化学原料制造261</w:t>
            </w:r>
            <w:r>
              <w:rPr>
                <w:rFonts w:hint="eastAsia" w:cs="Times New Roman"/>
                <w:i w:val="0"/>
                <w:iCs w:val="0"/>
                <w:color w:val="auto"/>
                <w:sz w:val="24"/>
                <w:szCs w:val="24"/>
                <w:highlight w:val="none"/>
                <w:u w:val="none"/>
                <w:lang w:val="en-US" w:eastAsia="zh-CN"/>
              </w:rPr>
              <w:t>；</w:t>
            </w:r>
            <w:r>
              <w:rPr>
                <w:rFonts w:hint="default" w:ascii="Times New Roman" w:hAnsi="Times New Roman" w:eastAsia="宋体" w:cs="Times New Roman"/>
                <w:i w:val="0"/>
                <w:iCs w:val="0"/>
                <w:color w:val="auto"/>
                <w:sz w:val="24"/>
                <w:szCs w:val="24"/>
                <w:highlight w:val="none"/>
                <w:u w:val="none"/>
                <w:lang w:val="en-US" w:eastAsia="zh-CN"/>
              </w:rPr>
              <w:t>单纯物理分离、化学提纯、混合、分装的（不产生废水或挥发性有机物的除外）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00" w:hRule="atLeast"/>
          <w:jc w:val="center"/>
        </w:trPr>
        <w:tc>
          <w:tcPr>
            <w:tcW w:w="147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建设性质</w:t>
            </w:r>
          </w:p>
        </w:tc>
        <w:tc>
          <w:tcPr>
            <w:tcW w:w="2830"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default" w:ascii="Times New Roman" w:hAnsi="Times New Roman" w:eastAsia="宋体" w:cs="Times New Roman"/>
                <w:i w:val="0"/>
                <w:iCs w:val="0"/>
                <w:color w:val="auto"/>
                <w:sz w:val="24"/>
                <w:szCs w:val="24"/>
                <w:highlight w:val="none"/>
                <w:u w:val="none"/>
                <w:lang w:eastAsia="zh-CN"/>
              </w:rPr>
            </w:pPr>
            <w:r>
              <w:rPr>
                <w:rFonts w:hint="default" w:ascii="Times New Roman" w:hAnsi="Times New Roman" w:eastAsia="宋体" w:cs="Times New Roman"/>
                <w:i w:val="0"/>
                <w:iCs w:val="0"/>
                <w:color w:val="auto"/>
                <w:sz w:val="24"/>
                <w:szCs w:val="24"/>
                <w:highlight w:val="none"/>
                <w:u w:val="none"/>
                <w:lang w:eastAsia="zh-CN"/>
              </w:rPr>
              <w:sym w:font="Wingdings" w:char="00A8"/>
            </w:r>
            <w:r>
              <w:rPr>
                <w:rFonts w:hint="default" w:ascii="Times New Roman" w:hAnsi="Times New Roman" w:eastAsia="宋体" w:cs="Times New Roman"/>
                <w:i w:val="0"/>
                <w:iCs w:val="0"/>
                <w:color w:val="auto"/>
                <w:sz w:val="24"/>
                <w:szCs w:val="24"/>
                <w:highlight w:val="none"/>
                <w:u w:val="none"/>
                <w:lang w:eastAsia="zh-CN"/>
              </w:rPr>
              <w:t>新建（迁建）</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i w:val="0"/>
                <w:iCs w:val="0"/>
                <w:color w:val="auto"/>
                <w:sz w:val="24"/>
                <w:szCs w:val="24"/>
                <w:highlight w:val="none"/>
                <w:u w:val="none"/>
                <w:lang w:eastAsia="zh-CN"/>
              </w:rPr>
            </w:pPr>
            <w:r>
              <w:rPr>
                <w:rFonts w:hint="default" w:ascii="Times New Roman" w:hAnsi="Times New Roman" w:eastAsia="宋体" w:cs="Times New Roman"/>
                <w:i w:val="0"/>
                <w:iCs w:val="0"/>
                <w:color w:val="auto"/>
                <w:sz w:val="24"/>
                <w:szCs w:val="24"/>
                <w:highlight w:val="none"/>
                <w:u w:val="none"/>
                <w:lang w:eastAsia="zh-CN"/>
              </w:rPr>
              <w:sym w:font="Wingdings" w:char="00FE"/>
            </w:r>
            <w:r>
              <w:rPr>
                <w:rFonts w:hint="default" w:ascii="Times New Roman" w:hAnsi="Times New Roman" w:eastAsia="宋体" w:cs="Times New Roman"/>
                <w:i w:val="0"/>
                <w:iCs w:val="0"/>
                <w:color w:val="auto"/>
                <w:sz w:val="24"/>
                <w:szCs w:val="24"/>
                <w:highlight w:val="none"/>
                <w:u w:val="none"/>
                <w:lang w:eastAsia="zh-CN"/>
              </w:rPr>
              <w:t>改建</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default" w:ascii="Times New Roman" w:hAnsi="Times New Roman" w:eastAsia="宋体" w:cs="Times New Roman"/>
                <w:i w:val="0"/>
                <w:iCs w:val="0"/>
                <w:color w:val="auto"/>
                <w:sz w:val="24"/>
                <w:szCs w:val="24"/>
                <w:highlight w:val="none"/>
                <w:u w:val="none"/>
                <w:lang w:eastAsia="zh-CN"/>
              </w:rPr>
            </w:pPr>
            <w:r>
              <w:rPr>
                <w:rFonts w:hint="default" w:ascii="Times New Roman" w:hAnsi="Times New Roman" w:eastAsia="宋体" w:cs="Times New Roman"/>
                <w:i w:val="0"/>
                <w:iCs w:val="0"/>
                <w:color w:val="auto"/>
                <w:sz w:val="24"/>
                <w:szCs w:val="24"/>
                <w:highlight w:val="none"/>
                <w:u w:val="none"/>
                <w:lang w:eastAsia="zh-CN"/>
              </w:rPr>
              <w:sym w:font="Wingdings" w:char="00A8"/>
            </w:r>
            <w:r>
              <w:rPr>
                <w:rFonts w:hint="default" w:ascii="Times New Roman" w:hAnsi="Times New Roman" w:eastAsia="宋体" w:cs="Times New Roman"/>
                <w:i w:val="0"/>
                <w:iCs w:val="0"/>
                <w:color w:val="auto"/>
                <w:sz w:val="24"/>
                <w:szCs w:val="24"/>
                <w:highlight w:val="none"/>
                <w:u w:val="none"/>
                <w:lang w:eastAsia="zh-CN"/>
              </w:rPr>
              <w:t>扩建</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default" w:ascii="Times New Roman" w:hAnsi="Times New Roman" w:eastAsia="宋体" w:cs="Times New Roman"/>
                <w:i w:val="0"/>
                <w:iCs w:val="0"/>
                <w:color w:val="auto"/>
                <w:sz w:val="24"/>
                <w:szCs w:val="24"/>
                <w:highlight w:val="none"/>
                <w:u w:val="none"/>
                <w:lang w:eastAsia="zh-CN"/>
              </w:rPr>
            </w:pPr>
            <w:r>
              <w:rPr>
                <w:rFonts w:hint="default" w:ascii="Times New Roman" w:hAnsi="Times New Roman" w:eastAsia="宋体" w:cs="Times New Roman"/>
                <w:i w:val="0"/>
                <w:iCs w:val="0"/>
                <w:color w:val="auto"/>
                <w:sz w:val="24"/>
                <w:szCs w:val="24"/>
                <w:highlight w:val="none"/>
                <w:u w:val="none"/>
                <w:lang w:eastAsia="zh-CN"/>
              </w:rPr>
              <w:sym w:font="Wingdings" w:char="00A8"/>
            </w:r>
            <w:r>
              <w:rPr>
                <w:rFonts w:hint="default" w:ascii="Times New Roman" w:hAnsi="Times New Roman" w:eastAsia="宋体" w:cs="Times New Roman"/>
                <w:i w:val="0"/>
                <w:iCs w:val="0"/>
                <w:color w:val="auto"/>
                <w:sz w:val="24"/>
                <w:szCs w:val="24"/>
                <w:highlight w:val="none"/>
                <w:u w:val="none"/>
                <w:lang w:eastAsia="zh-CN"/>
              </w:rPr>
              <w:t>技术改造</w:t>
            </w:r>
          </w:p>
        </w:tc>
        <w:tc>
          <w:tcPr>
            <w:tcW w:w="158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auto"/>
                <w:kern w:val="0"/>
                <w:sz w:val="24"/>
                <w:szCs w:val="24"/>
                <w:highlight w:val="none"/>
                <w:u w:val="none"/>
                <w:lang w:val="en-US" w:eastAsia="zh-CN" w:bidi="ar"/>
              </w:rPr>
              <w:t>建设项目</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申报情形</w:t>
            </w:r>
          </w:p>
        </w:tc>
        <w:tc>
          <w:tcPr>
            <w:tcW w:w="2791"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default" w:ascii="Times New Roman" w:hAnsi="Times New Roman" w:eastAsia="宋体" w:cs="Times New Roman"/>
                <w:i w:val="0"/>
                <w:iCs w:val="0"/>
                <w:color w:val="auto"/>
                <w:sz w:val="24"/>
                <w:szCs w:val="24"/>
                <w:highlight w:val="none"/>
                <w:u w:val="none"/>
                <w:lang w:val="en-US" w:eastAsia="zh-CN"/>
              </w:rPr>
            </w:pPr>
            <w:r>
              <w:rPr>
                <w:rFonts w:hint="default" w:ascii="Times New Roman" w:hAnsi="Times New Roman" w:eastAsia="宋体" w:cs="Times New Roman"/>
                <w:i w:val="0"/>
                <w:iCs w:val="0"/>
                <w:color w:val="auto"/>
                <w:sz w:val="24"/>
                <w:szCs w:val="24"/>
                <w:highlight w:val="none"/>
                <w:u w:val="none"/>
                <w:lang w:val="en-US" w:eastAsia="zh-CN"/>
              </w:rPr>
              <w:sym w:font="Wingdings" w:char="00FE"/>
            </w:r>
            <w:r>
              <w:rPr>
                <w:rFonts w:hint="default" w:ascii="Times New Roman" w:hAnsi="Times New Roman" w:eastAsia="宋体" w:cs="Times New Roman"/>
                <w:i w:val="0"/>
                <w:iCs w:val="0"/>
                <w:color w:val="auto"/>
                <w:sz w:val="24"/>
                <w:szCs w:val="24"/>
                <w:highlight w:val="none"/>
                <w:u w:val="none"/>
                <w:lang w:val="en-US" w:eastAsia="zh-CN"/>
              </w:rPr>
              <w:t>首次申报项目</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default" w:ascii="Times New Roman" w:hAnsi="Times New Roman" w:eastAsia="宋体" w:cs="Times New Roman"/>
                <w:i w:val="0"/>
                <w:iCs w:val="0"/>
                <w:color w:val="auto"/>
                <w:sz w:val="24"/>
                <w:szCs w:val="24"/>
                <w:highlight w:val="none"/>
                <w:u w:val="none"/>
                <w:lang w:val="en-US" w:eastAsia="zh-CN"/>
              </w:rPr>
            </w:pPr>
            <w:r>
              <w:rPr>
                <w:rFonts w:hint="default" w:ascii="Times New Roman" w:hAnsi="Times New Roman" w:eastAsia="宋体" w:cs="Times New Roman"/>
                <w:i w:val="0"/>
                <w:iCs w:val="0"/>
                <w:color w:val="auto"/>
                <w:sz w:val="24"/>
                <w:szCs w:val="24"/>
                <w:highlight w:val="none"/>
                <w:u w:val="none"/>
                <w:lang w:val="en-US" w:eastAsia="zh-CN"/>
              </w:rPr>
              <w:sym w:font="Wingdings" w:char="00A8"/>
            </w:r>
            <w:r>
              <w:rPr>
                <w:rFonts w:hint="default" w:ascii="Times New Roman" w:hAnsi="Times New Roman" w:eastAsia="宋体" w:cs="Times New Roman"/>
                <w:i w:val="0"/>
                <w:iCs w:val="0"/>
                <w:color w:val="auto"/>
                <w:sz w:val="24"/>
                <w:szCs w:val="24"/>
                <w:highlight w:val="none"/>
                <w:u w:val="none"/>
                <w:lang w:val="en-US" w:eastAsia="zh-CN"/>
              </w:rPr>
              <w:t>不予批准后再次申报项目</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default" w:ascii="Times New Roman" w:hAnsi="Times New Roman" w:eastAsia="宋体" w:cs="Times New Roman"/>
                <w:i w:val="0"/>
                <w:iCs w:val="0"/>
                <w:color w:val="auto"/>
                <w:sz w:val="24"/>
                <w:szCs w:val="24"/>
                <w:highlight w:val="none"/>
                <w:u w:val="none"/>
                <w:lang w:val="en-US" w:eastAsia="zh-CN"/>
              </w:rPr>
            </w:pPr>
            <w:r>
              <w:rPr>
                <w:rFonts w:hint="default" w:ascii="Times New Roman" w:hAnsi="Times New Roman" w:eastAsia="宋体" w:cs="Times New Roman"/>
                <w:i w:val="0"/>
                <w:iCs w:val="0"/>
                <w:color w:val="auto"/>
                <w:sz w:val="24"/>
                <w:szCs w:val="24"/>
                <w:highlight w:val="none"/>
                <w:u w:val="none"/>
                <w:lang w:val="en-US" w:eastAsia="zh-CN"/>
              </w:rPr>
              <w:sym w:font="Wingdings" w:char="00A8"/>
            </w:r>
            <w:r>
              <w:rPr>
                <w:rFonts w:hint="default" w:ascii="Times New Roman" w:hAnsi="Times New Roman" w:eastAsia="宋体" w:cs="Times New Roman"/>
                <w:i w:val="0"/>
                <w:iCs w:val="0"/>
                <w:color w:val="auto"/>
                <w:sz w:val="24"/>
                <w:szCs w:val="24"/>
                <w:highlight w:val="none"/>
                <w:u w:val="none"/>
                <w:lang w:val="en-US" w:eastAsia="zh-CN"/>
              </w:rPr>
              <w:t>超五年重新审核项目</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default" w:ascii="Times New Roman" w:hAnsi="Times New Roman" w:eastAsia="宋体" w:cs="Times New Roman"/>
                <w:i w:val="0"/>
                <w:iCs w:val="0"/>
                <w:color w:val="auto"/>
                <w:sz w:val="24"/>
                <w:szCs w:val="24"/>
                <w:highlight w:val="none"/>
                <w:u w:val="none"/>
                <w:lang w:val="en-US" w:eastAsia="zh-CN"/>
              </w:rPr>
            </w:pPr>
            <w:r>
              <w:rPr>
                <w:rFonts w:hint="default" w:ascii="Times New Roman" w:hAnsi="Times New Roman" w:eastAsia="宋体" w:cs="Times New Roman"/>
                <w:i w:val="0"/>
                <w:iCs w:val="0"/>
                <w:color w:val="auto"/>
                <w:sz w:val="24"/>
                <w:szCs w:val="24"/>
                <w:highlight w:val="none"/>
                <w:u w:val="none"/>
                <w:lang w:val="en-US" w:eastAsia="zh-CN"/>
              </w:rPr>
              <w:sym w:font="Wingdings" w:char="00A8"/>
            </w:r>
            <w:r>
              <w:rPr>
                <w:rFonts w:hint="default" w:ascii="Times New Roman" w:hAnsi="Times New Roman" w:eastAsia="宋体" w:cs="Times New Roman"/>
                <w:i w:val="0"/>
                <w:iCs w:val="0"/>
                <w:color w:val="auto"/>
                <w:sz w:val="24"/>
                <w:szCs w:val="24"/>
                <w:highlight w:val="none"/>
                <w:u w:val="none"/>
                <w:lang w:val="en-US" w:eastAsia="zh-CN"/>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2" w:hRule="atLeast"/>
          <w:jc w:val="center"/>
        </w:trPr>
        <w:tc>
          <w:tcPr>
            <w:tcW w:w="147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项目审批（核准/备案）部门（选填）</w:t>
            </w:r>
          </w:p>
        </w:tc>
        <w:tc>
          <w:tcPr>
            <w:tcW w:w="2830"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4"/>
                <w:szCs w:val="24"/>
                <w:highlight w:val="none"/>
                <w:u w:val="none"/>
                <w:lang w:val="en-US" w:eastAsia="zh-CN"/>
              </w:rPr>
            </w:pPr>
            <w:r>
              <w:rPr>
                <w:rFonts w:hint="eastAsia" w:cs="Times New Roman"/>
                <w:i w:val="0"/>
                <w:iCs w:val="0"/>
                <w:color w:val="auto"/>
                <w:sz w:val="24"/>
                <w:szCs w:val="24"/>
                <w:highlight w:val="none"/>
                <w:u w:val="none"/>
                <w:lang w:val="en-US" w:eastAsia="zh-CN"/>
              </w:rPr>
              <w:t>易门县</w:t>
            </w:r>
            <w:r>
              <w:rPr>
                <w:rFonts w:hint="default" w:ascii="Times New Roman" w:hAnsi="Times New Roman" w:cs="Times New Roman"/>
                <w:i w:val="0"/>
                <w:iCs w:val="0"/>
                <w:color w:val="auto"/>
                <w:sz w:val="24"/>
                <w:szCs w:val="24"/>
                <w:highlight w:val="none"/>
                <w:u w:val="none"/>
                <w:lang w:val="en-US" w:eastAsia="zh-CN"/>
              </w:rPr>
              <w:t>发展和改革局</w:t>
            </w:r>
          </w:p>
        </w:tc>
        <w:tc>
          <w:tcPr>
            <w:tcW w:w="158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项目审批（核准/备案）文号（选填）</w:t>
            </w:r>
          </w:p>
        </w:tc>
        <w:tc>
          <w:tcPr>
            <w:tcW w:w="2791"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4"/>
                <w:szCs w:val="24"/>
                <w:highlight w:val="none"/>
                <w:u w:val="none"/>
                <w:lang w:val="en-US" w:eastAsia="zh-CN"/>
              </w:rPr>
            </w:pPr>
            <w:r>
              <w:rPr>
                <w:rFonts w:hint="default" w:ascii="Times New Roman" w:hAnsi="Times New Roman" w:eastAsia="宋体" w:cs="Times New Roman"/>
                <w:i w:val="0"/>
                <w:iCs w:val="0"/>
                <w:color w:val="auto"/>
                <w:sz w:val="24"/>
                <w:szCs w:val="24"/>
                <w:highlight w:val="none"/>
                <w:u w:val="none"/>
                <w:lang w:val="en-US" w:eastAsia="zh-CN"/>
              </w:rPr>
              <w:t>2511-530425-04-02-147574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7" w:hRule="atLeast"/>
          <w:jc w:val="center"/>
        </w:trPr>
        <w:tc>
          <w:tcPr>
            <w:tcW w:w="147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auto"/>
                <w:kern w:val="0"/>
                <w:sz w:val="24"/>
                <w:szCs w:val="24"/>
                <w:highlight w:val="none"/>
                <w:u w:val="none"/>
                <w:lang w:val="en-US" w:eastAsia="zh-CN" w:bidi="ar"/>
              </w:rPr>
              <w:t>总投资</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（万元）</w:t>
            </w:r>
          </w:p>
        </w:tc>
        <w:tc>
          <w:tcPr>
            <w:tcW w:w="2830"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4"/>
                <w:szCs w:val="24"/>
                <w:highlight w:val="none"/>
                <w:u w:val="none"/>
                <w:lang w:val="en-US" w:eastAsia="zh-CN"/>
              </w:rPr>
            </w:pPr>
            <w:r>
              <w:rPr>
                <w:rFonts w:hint="eastAsia" w:cs="Times New Roman"/>
                <w:i w:val="0"/>
                <w:iCs w:val="0"/>
                <w:color w:val="auto"/>
                <w:sz w:val="24"/>
                <w:szCs w:val="24"/>
                <w:highlight w:val="none"/>
                <w:u w:val="none"/>
                <w:lang w:val="en-US" w:eastAsia="zh-CN"/>
              </w:rPr>
              <w:t>2865</w:t>
            </w:r>
          </w:p>
        </w:tc>
        <w:tc>
          <w:tcPr>
            <w:tcW w:w="158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环保投资（万元）</w:t>
            </w:r>
          </w:p>
        </w:tc>
        <w:tc>
          <w:tcPr>
            <w:tcW w:w="2791"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4"/>
                <w:szCs w:val="24"/>
                <w:highlight w:val="none"/>
                <w:u w:val="none"/>
                <w:lang w:val="en-US" w:eastAsia="zh-CN"/>
              </w:rPr>
            </w:pPr>
            <w:r>
              <w:rPr>
                <w:rFonts w:hint="eastAsia"/>
                <w:color w:val="auto"/>
                <w:highlight w:val="none"/>
                <w:lang w:val="en-US" w:eastAsia="zh-CN"/>
              </w:rPr>
              <w:t>120.9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7" w:hRule="atLeast"/>
          <w:jc w:val="center"/>
        </w:trPr>
        <w:tc>
          <w:tcPr>
            <w:tcW w:w="147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环保</w:t>
            </w:r>
            <w:r>
              <w:rPr>
                <w:rFonts w:hint="default" w:ascii="Times New Roman" w:hAnsi="Times New Roman" w:cs="Times New Roman"/>
                <w:i w:val="0"/>
                <w:iCs w:val="0"/>
                <w:color w:val="auto"/>
                <w:kern w:val="0"/>
                <w:sz w:val="24"/>
                <w:szCs w:val="24"/>
                <w:highlight w:val="none"/>
                <w:u w:val="none"/>
                <w:lang w:val="en-US" w:eastAsia="zh-CN" w:bidi="ar"/>
              </w:rPr>
              <w:t>投</w:t>
            </w:r>
            <w:r>
              <w:rPr>
                <w:rFonts w:hint="default" w:ascii="Times New Roman" w:hAnsi="Times New Roman" w:eastAsia="宋体" w:cs="Times New Roman"/>
                <w:i w:val="0"/>
                <w:iCs w:val="0"/>
                <w:color w:val="auto"/>
                <w:kern w:val="0"/>
                <w:sz w:val="24"/>
                <w:szCs w:val="24"/>
                <w:highlight w:val="none"/>
                <w:u w:val="none"/>
                <w:lang w:val="en-US" w:eastAsia="zh-CN" w:bidi="ar"/>
              </w:rPr>
              <w:t>资占比（%）</w:t>
            </w:r>
          </w:p>
        </w:tc>
        <w:tc>
          <w:tcPr>
            <w:tcW w:w="2830"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4"/>
                <w:szCs w:val="24"/>
                <w:highlight w:val="none"/>
                <w:u w:val="none"/>
                <w:lang w:val="en-US" w:eastAsia="zh-CN"/>
              </w:rPr>
            </w:pPr>
            <w:r>
              <w:rPr>
                <w:rFonts w:hint="eastAsia" w:cs="Times New Roman"/>
                <w:b w:val="0"/>
                <w:bCs/>
                <w:color w:val="auto"/>
                <w:highlight w:val="none"/>
                <w:lang w:val="en-US" w:eastAsia="zh-CN"/>
              </w:rPr>
              <w:t>4.22</w:t>
            </w:r>
          </w:p>
        </w:tc>
        <w:tc>
          <w:tcPr>
            <w:tcW w:w="158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施工工期</w:t>
            </w:r>
          </w:p>
        </w:tc>
        <w:tc>
          <w:tcPr>
            <w:tcW w:w="2791"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4"/>
                <w:szCs w:val="24"/>
                <w:highlight w:val="none"/>
                <w:u w:val="none"/>
                <w:lang w:val="en-US" w:eastAsia="zh-CN"/>
              </w:rPr>
            </w:pPr>
            <w:r>
              <w:rPr>
                <w:rFonts w:hint="eastAsia" w:cs="Times New Roman"/>
                <w:i w:val="0"/>
                <w:iCs w:val="0"/>
                <w:color w:val="auto"/>
                <w:sz w:val="24"/>
                <w:szCs w:val="24"/>
                <w:highlight w:val="none"/>
                <w:u w:val="none"/>
                <w:lang w:val="en-US" w:eastAsia="zh-CN"/>
              </w:rPr>
              <w:t>6个月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9" w:hRule="atLeast"/>
          <w:jc w:val="center"/>
        </w:trPr>
        <w:tc>
          <w:tcPr>
            <w:tcW w:w="147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是否开工建设</w:t>
            </w:r>
          </w:p>
        </w:tc>
        <w:tc>
          <w:tcPr>
            <w:tcW w:w="2830"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default" w:ascii="Times New Roman" w:hAnsi="Times New Roman" w:eastAsia="宋体" w:cs="Times New Roman"/>
                <w:i w:val="0"/>
                <w:iCs w:val="0"/>
                <w:color w:val="auto"/>
                <w:sz w:val="24"/>
                <w:szCs w:val="24"/>
                <w:highlight w:val="none"/>
                <w:u w:val="none"/>
                <w:lang w:eastAsia="zh-CN"/>
              </w:rPr>
            </w:pPr>
            <w:r>
              <w:rPr>
                <w:rFonts w:hint="default" w:ascii="Times New Roman" w:hAnsi="Times New Roman" w:cs="Times New Roman"/>
                <w:i w:val="0"/>
                <w:iCs w:val="0"/>
                <w:color w:val="auto"/>
                <w:sz w:val="24"/>
                <w:szCs w:val="24"/>
                <w:highlight w:val="none"/>
                <w:u w:val="none"/>
                <w:lang w:eastAsia="zh-CN"/>
              </w:rPr>
              <w:sym w:font="Wingdings" w:char="00FE"/>
            </w:r>
            <w:r>
              <w:rPr>
                <w:rFonts w:hint="default" w:ascii="Times New Roman" w:hAnsi="Times New Roman" w:cs="Times New Roman"/>
                <w:i w:val="0"/>
                <w:iCs w:val="0"/>
                <w:color w:val="auto"/>
                <w:sz w:val="24"/>
                <w:szCs w:val="24"/>
                <w:highlight w:val="none"/>
                <w:u w:val="none"/>
                <w:lang w:eastAsia="zh-CN"/>
              </w:rPr>
              <w:t>否</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default" w:ascii="Times New Roman" w:hAnsi="Times New Roman" w:eastAsia="宋体" w:cs="Times New Roman"/>
                <w:i w:val="0"/>
                <w:iCs w:val="0"/>
                <w:color w:val="auto"/>
                <w:sz w:val="24"/>
                <w:szCs w:val="24"/>
                <w:highlight w:val="none"/>
                <w:u w:val="none"/>
                <w:lang w:val="en-US" w:eastAsia="zh-CN"/>
              </w:rPr>
            </w:pPr>
            <w:r>
              <w:rPr>
                <w:rFonts w:hint="default" w:ascii="Times New Roman" w:hAnsi="Times New Roman" w:eastAsia="宋体" w:cs="Times New Roman"/>
                <w:i w:val="0"/>
                <w:iCs w:val="0"/>
                <w:color w:val="auto"/>
                <w:sz w:val="24"/>
                <w:szCs w:val="24"/>
                <w:highlight w:val="none"/>
                <w:u w:val="none"/>
                <w:lang w:eastAsia="zh-CN"/>
              </w:rPr>
              <w:sym w:font="Wingdings" w:char="00A8"/>
            </w:r>
            <w:r>
              <w:rPr>
                <w:rFonts w:hint="default" w:ascii="Times New Roman" w:hAnsi="Times New Roman" w:eastAsia="宋体" w:cs="Times New Roman"/>
                <w:i w:val="0"/>
                <w:iCs w:val="0"/>
                <w:color w:val="auto"/>
                <w:sz w:val="24"/>
                <w:szCs w:val="24"/>
                <w:highlight w:val="none"/>
                <w:u w:val="none"/>
                <w:lang w:eastAsia="zh-CN"/>
              </w:rPr>
              <w:t>是</w:t>
            </w:r>
          </w:p>
        </w:tc>
        <w:tc>
          <w:tcPr>
            <w:tcW w:w="158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auto"/>
                <w:kern w:val="0"/>
                <w:sz w:val="24"/>
                <w:szCs w:val="24"/>
                <w:highlight w:val="none"/>
                <w:u w:val="none"/>
                <w:lang w:val="en-US" w:eastAsia="zh-CN" w:bidi="ar"/>
              </w:rPr>
              <w:t>用地（用海）</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面积（m</w:t>
            </w:r>
            <w:r>
              <w:rPr>
                <w:rFonts w:hint="default" w:ascii="Times New Roman" w:hAnsi="Times New Roman" w:eastAsia="宋体" w:cs="Times New Roman"/>
                <w:i w:val="0"/>
                <w:iCs w:val="0"/>
                <w:color w:val="auto"/>
                <w:kern w:val="0"/>
                <w:sz w:val="24"/>
                <w:szCs w:val="24"/>
                <w:highlight w:val="none"/>
                <w:u w:val="none"/>
                <w:vertAlign w:val="superscript"/>
                <w:lang w:val="en-US" w:eastAsia="zh-CN" w:bidi="ar"/>
              </w:rPr>
              <w:t>2</w:t>
            </w:r>
            <w:r>
              <w:rPr>
                <w:rFonts w:hint="default" w:ascii="Times New Roman" w:hAnsi="Times New Roman" w:eastAsia="宋体" w:cs="Times New Roman"/>
                <w:i w:val="0"/>
                <w:iCs w:val="0"/>
                <w:color w:val="auto"/>
                <w:kern w:val="0"/>
                <w:sz w:val="24"/>
                <w:szCs w:val="24"/>
                <w:highlight w:val="none"/>
                <w:u w:val="none"/>
                <w:lang w:val="en-US" w:eastAsia="zh-CN" w:bidi="ar"/>
              </w:rPr>
              <w:t>）</w:t>
            </w:r>
          </w:p>
        </w:tc>
        <w:tc>
          <w:tcPr>
            <w:tcW w:w="2791"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4"/>
                <w:szCs w:val="24"/>
                <w:highlight w:val="none"/>
                <w:u w:val="none"/>
                <w:lang w:val="en-US" w:eastAsia="zh-CN"/>
              </w:rPr>
            </w:pPr>
            <w:r>
              <w:rPr>
                <w:rFonts w:hint="eastAsia" w:cs="Times New Roman"/>
                <w:i w:val="0"/>
                <w:iCs w:val="0"/>
                <w:color w:val="auto"/>
                <w:sz w:val="24"/>
                <w:szCs w:val="24"/>
                <w:highlight w:val="none"/>
                <w:u w:val="none"/>
                <w:lang w:val="en-US" w:eastAsia="zh-CN"/>
              </w:rPr>
              <w:t>1350</w:t>
            </w:r>
            <w:r>
              <w:rPr>
                <w:rFonts w:hint="default" w:ascii="Times New Roman" w:hAnsi="Times New Roman" w:cs="Times New Roman"/>
                <w:i w:val="0"/>
                <w:iCs w:val="0"/>
                <w:color w:val="auto"/>
                <w:sz w:val="24"/>
                <w:szCs w:val="24"/>
                <w:highlight w:val="none"/>
                <w:u w:val="none"/>
                <w:lang w:val="en-US" w:eastAsia="zh-CN"/>
              </w:rPr>
              <w:t>m</w:t>
            </w:r>
            <w:r>
              <w:rPr>
                <w:rFonts w:hint="default" w:ascii="Times New Roman" w:hAnsi="Times New Roman" w:cs="Times New Roman"/>
                <w:i w:val="0"/>
                <w:iCs w:val="0"/>
                <w:color w:val="auto"/>
                <w:sz w:val="24"/>
                <w:szCs w:val="24"/>
                <w:highlight w:val="none"/>
                <w:u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2" w:hRule="atLeast"/>
          <w:jc w:val="center"/>
        </w:trPr>
        <w:tc>
          <w:tcPr>
            <w:tcW w:w="147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专项评价设置情况</w:t>
            </w:r>
          </w:p>
        </w:tc>
        <w:tc>
          <w:tcPr>
            <w:tcW w:w="7208" w:type="dxa"/>
            <w:gridSpan w:val="3"/>
            <w:tcBorders>
              <w:tl2br w:val="nil"/>
              <w:tr2bl w:val="nil"/>
            </w:tcBorders>
            <w:shd w:val="clear" w:color="auto" w:fill="auto"/>
            <w:noWrap/>
            <w:vAlign w:val="center"/>
          </w:tcPr>
          <w:p>
            <w:pPr>
              <w:bidi w:val="0"/>
              <w:rPr>
                <w:rFonts w:hint="default"/>
                <w:color w:val="auto"/>
                <w:highlight w:val="none"/>
                <w:lang w:val="en-US"/>
              </w:rPr>
            </w:pPr>
            <w:r>
              <w:rPr>
                <w:rFonts w:hint="default"/>
                <w:color w:val="auto"/>
                <w:highlight w:val="none"/>
                <w:lang w:val="en-US" w:eastAsia="zh-CN"/>
              </w:rPr>
              <w:t>根据《建设项目环境影响报告表编制技术指南（污染影响类）》（试行）</w:t>
            </w:r>
            <w:r>
              <w:rPr>
                <w:rFonts w:hint="eastAsia"/>
                <w:color w:val="auto"/>
                <w:highlight w:val="none"/>
                <w:lang w:val="en-US" w:eastAsia="zh-CN"/>
              </w:rPr>
              <w:t>，</w:t>
            </w:r>
            <w:r>
              <w:rPr>
                <w:rFonts w:hint="eastAsia" w:cs="Times New Roman"/>
                <w:i w:val="0"/>
                <w:iCs w:val="0"/>
                <w:color w:val="auto"/>
                <w:sz w:val="24"/>
                <w:szCs w:val="24"/>
                <w:highlight w:val="none"/>
                <w:u w:val="none"/>
                <w:lang w:val="en-US" w:eastAsia="zh-CN"/>
              </w:rPr>
              <w:t>本项目专项评价设置情况如下：</w:t>
            </w:r>
          </w:p>
          <w:p>
            <w:pPr>
              <w:pStyle w:val="36"/>
              <w:bidi w:val="0"/>
              <w:rPr>
                <w:rFonts w:hint="default" w:ascii="Times New Roman" w:hAnsi="Times New Roman" w:eastAsia="黑体" w:cs="Times New Roman"/>
                <w:b w:val="0"/>
                <w:bCs w:val="0"/>
                <w:color w:val="auto"/>
                <w:szCs w:val="21"/>
                <w:highlight w:val="none"/>
                <w:lang w:val="en-US"/>
              </w:rPr>
            </w:pPr>
            <w:r>
              <w:rPr>
                <w:rFonts w:hint="default"/>
                <w:color w:val="auto"/>
                <w:highlight w:val="none"/>
                <w:lang w:val="en-US" w:eastAsia="zh-CN"/>
              </w:rPr>
              <w:t>表1-1</w:t>
            </w:r>
            <w:r>
              <w:rPr>
                <w:rFonts w:hint="eastAsia"/>
                <w:color w:val="auto"/>
                <w:highlight w:val="none"/>
                <w:lang w:val="en-US" w:eastAsia="zh-CN"/>
              </w:rPr>
              <w:t xml:space="preserve">  </w:t>
            </w:r>
            <w:r>
              <w:rPr>
                <w:rFonts w:hint="default" w:ascii="Times New Roman" w:hAnsi="Times New Roman" w:eastAsia="黑体" w:cs="Times New Roman"/>
                <w:b w:val="0"/>
                <w:bCs w:val="0"/>
                <w:i w:val="0"/>
                <w:iCs w:val="0"/>
                <w:color w:val="auto"/>
                <w:sz w:val="21"/>
                <w:szCs w:val="21"/>
                <w:highlight w:val="none"/>
                <w:u w:val="none"/>
                <w:lang w:val="en-US" w:eastAsia="zh-CN"/>
              </w:rPr>
              <w:t>项目专项评价设置情况表</w:t>
            </w:r>
          </w:p>
          <w:tbl>
            <w:tblPr>
              <w:tblStyle w:val="23"/>
              <w:tblW w:w="697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2"/>
              <w:gridCol w:w="2682"/>
              <w:gridCol w:w="2502"/>
              <w:gridCol w:w="9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tcBorders>
                    <w:tl2br w:val="nil"/>
                    <w:tr2bl w:val="nil"/>
                  </w:tcBorders>
                  <w:vAlign w:val="center"/>
                </w:tcPr>
                <w:p>
                  <w:pPr>
                    <w:pStyle w:val="38"/>
                    <w:bidi w:val="0"/>
                    <w:rPr>
                      <w:rFonts w:hint="default"/>
                      <w:color w:val="auto"/>
                      <w:highlight w:val="none"/>
                    </w:rPr>
                  </w:pPr>
                  <w:r>
                    <w:rPr>
                      <w:rFonts w:hint="default"/>
                      <w:color w:val="auto"/>
                      <w:highlight w:val="none"/>
                    </w:rPr>
                    <w:t>专项评价类别</w:t>
                  </w:r>
                </w:p>
              </w:tc>
              <w:tc>
                <w:tcPr>
                  <w:tcW w:w="2682" w:type="dxa"/>
                  <w:tcBorders>
                    <w:tl2br w:val="nil"/>
                    <w:tr2bl w:val="nil"/>
                  </w:tcBorders>
                  <w:vAlign w:val="center"/>
                </w:tcPr>
                <w:p>
                  <w:pPr>
                    <w:pStyle w:val="38"/>
                    <w:bidi w:val="0"/>
                    <w:rPr>
                      <w:rFonts w:hint="default"/>
                      <w:color w:val="auto"/>
                      <w:highlight w:val="none"/>
                    </w:rPr>
                  </w:pPr>
                  <w:r>
                    <w:rPr>
                      <w:rFonts w:hint="default"/>
                      <w:color w:val="auto"/>
                      <w:highlight w:val="none"/>
                    </w:rPr>
                    <w:t>设置原则</w:t>
                  </w:r>
                </w:p>
              </w:tc>
              <w:tc>
                <w:tcPr>
                  <w:tcW w:w="2502" w:type="dxa"/>
                  <w:tcBorders>
                    <w:tl2br w:val="nil"/>
                    <w:tr2bl w:val="nil"/>
                  </w:tcBorders>
                  <w:vAlign w:val="center"/>
                </w:tcPr>
                <w:p>
                  <w:pPr>
                    <w:pStyle w:val="38"/>
                    <w:bidi w:val="0"/>
                    <w:rPr>
                      <w:rFonts w:hint="default"/>
                      <w:color w:val="auto"/>
                      <w:highlight w:val="none"/>
                    </w:rPr>
                  </w:pPr>
                  <w:r>
                    <w:rPr>
                      <w:rFonts w:hint="default"/>
                      <w:color w:val="auto"/>
                      <w:highlight w:val="none"/>
                    </w:rPr>
                    <w:t>项目情况</w:t>
                  </w:r>
                </w:p>
              </w:tc>
              <w:tc>
                <w:tcPr>
                  <w:tcW w:w="987" w:type="dxa"/>
                  <w:tcBorders>
                    <w:tl2br w:val="nil"/>
                    <w:tr2bl w:val="nil"/>
                  </w:tcBorders>
                  <w:vAlign w:val="center"/>
                </w:tcPr>
                <w:p>
                  <w:pPr>
                    <w:pStyle w:val="38"/>
                    <w:bidi w:val="0"/>
                    <w:rPr>
                      <w:rFonts w:hint="default" w:eastAsia="宋体"/>
                      <w:color w:val="auto"/>
                      <w:highlight w:val="none"/>
                      <w:lang w:val="en-US" w:eastAsia="zh-CN"/>
                    </w:rPr>
                  </w:pPr>
                  <w:r>
                    <w:rPr>
                      <w:rFonts w:hint="eastAsia"/>
                      <w:color w:val="auto"/>
                      <w:highlight w:val="none"/>
                      <w:lang w:val="en-US" w:eastAsia="zh-CN"/>
                    </w:rPr>
                    <w:t>是否设置专项评价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tcBorders>
                    <w:tl2br w:val="nil"/>
                    <w:tr2bl w:val="nil"/>
                  </w:tcBorders>
                  <w:vAlign w:val="center"/>
                </w:tcPr>
                <w:p>
                  <w:pPr>
                    <w:pStyle w:val="38"/>
                    <w:bidi w:val="0"/>
                    <w:rPr>
                      <w:rFonts w:hint="default"/>
                      <w:color w:val="auto"/>
                      <w:highlight w:val="none"/>
                    </w:rPr>
                  </w:pPr>
                  <w:r>
                    <w:rPr>
                      <w:rFonts w:hint="default"/>
                      <w:color w:val="auto"/>
                      <w:highlight w:val="none"/>
                    </w:rPr>
                    <w:t>大气</w:t>
                  </w:r>
                </w:p>
              </w:tc>
              <w:tc>
                <w:tcPr>
                  <w:tcW w:w="2682" w:type="dxa"/>
                  <w:tcBorders>
                    <w:tl2br w:val="nil"/>
                    <w:tr2bl w:val="nil"/>
                  </w:tcBorders>
                  <w:vAlign w:val="center"/>
                </w:tcPr>
                <w:p>
                  <w:pPr>
                    <w:pStyle w:val="38"/>
                    <w:bidi w:val="0"/>
                    <w:rPr>
                      <w:rFonts w:hint="default"/>
                      <w:color w:val="auto"/>
                      <w:highlight w:val="none"/>
                    </w:rPr>
                  </w:pPr>
                  <w:r>
                    <w:rPr>
                      <w:rFonts w:hint="default"/>
                      <w:color w:val="auto"/>
                      <w:highlight w:val="none"/>
                    </w:rPr>
                    <w:t>排放废气含有毒有害污染物</w:t>
                  </w:r>
                  <w:r>
                    <w:rPr>
                      <w:rFonts w:hint="default"/>
                      <w:color w:val="auto"/>
                      <w:highlight w:val="none"/>
                      <w:vertAlign w:val="superscript"/>
                    </w:rPr>
                    <w:t>1</w:t>
                  </w:r>
                  <w:r>
                    <w:rPr>
                      <w:rFonts w:hint="default"/>
                      <w:color w:val="auto"/>
                      <w:highlight w:val="none"/>
                    </w:rPr>
                    <w:t>、二噁英、苯并[a]芘、氰化物、氯气且厂界外500米范围内有环境空气保护目标</w:t>
                  </w:r>
                  <w:r>
                    <w:rPr>
                      <w:rFonts w:hint="default"/>
                      <w:color w:val="auto"/>
                      <w:highlight w:val="none"/>
                      <w:vertAlign w:val="superscript"/>
                    </w:rPr>
                    <w:t>2</w:t>
                  </w:r>
                  <w:r>
                    <w:rPr>
                      <w:rFonts w:hint="default"/>
                      <w:color w:val="auto"/>
                      <w:highlight w:val="none"/>
                    </w:rPr>
                    <w:t>的建设项目。</w:t>
                  </w:r>
                </w:p>
              </w:tc>
              <w:tc>
                <w:tcPr>
                  <w:tcW w:w="2502" w:type="dxa"/>
                  <w:tcBorders>
                    <w:tl2br w:val="nil"/>
                    <w:tr2bl w:val="nil"/>
                  </w:tcBorders>
                  <w:vAlign w:val="center"/>
                </w:tcPr>
                <w:p>
                  <w:pPr>
                    <w:pStyle w:val="38"/>
                    <w:bidi w:val="0"/>
                    <w:rPr>
                      <w:rFonts w:hint="eastAsia" w:eastAsia="宋体"/>
                      <w:color w:val="auto"/>
                      <w:highlight w:val="none"/>
                      <w:lang w:val="en-US" w:eastAsia="zh-CN"/>
                    </w:rPr>
                  </w:pPr>
                  <w:r>
                    <w:rPr>
                      <w:rFonts w:hint="eastAsia"/>
                      <w:color w:val="auto"/>
                      <w:highlight w:val="none"/>
                      <w:lang w:val="en-US" w:eastAsia="zh-CN"/>
                    </w:rPr>
                    <w:t>项目运营期无以上废气污染物排放</w:t>
                  </w:r>
                </w:p>
              </w:tc>
              <w:tc>
                <w:tcPr>
                  <w:tcW w:w="987" w:type="dxa"/>
                  <w:tcBorders>
                    <w:tl2br w:val="nil"/>
                    <w:tr2bl w:val="nil"/>
                  </w:tcBorders>
                  <w:vAlign w:val="center"/>
                </w:tcPr>
                <w:p>
                  <w:pPr>
                    <w:pStyle w:val="38"/>
                    <w:bidi w:val="0"/>
                    <w:rPr>
                      <w:rFonts w:hint="eastAsia" w:eastAsia="宋体"/>
                      <w:color w:val="auto"/>
                      <w:highlight w:val="none"/>
                      <w:lang w:val="en-US" w:eastAsia="zh-CN"/>
                    </w:rPr>
                  </w:pPr>
                  <w:r>
                    <w:rPr>
                      <w:rFonts w:hint="eastAsia"/>
                      <w:color w:val="auto"/>
                      <w:highlight w:val="none"/>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tcBorders>
                    <w:tl2br w:val="nil"/>
                    <w:tr2bl w:val="nil"/>
                  </w:tcBorders>
                  <w:vAlign w:val="center"/>
                </w:tcPr>
                <w:p>
                  <w:pPr>
                    <w:pStyle w:val="38"/>
                    <w:bidi w:val="0"/>
                    <w:rPr>
                      <w:rFonts w:hint="default"/>
                      <w:color w:val="auto"/>
                      <w:highlight w:val="none"/>
                    </w:rPr>
                  </w:pPr>
                  <w:r>
                    <w:rPr>
                      <w:rFonts w:hint="default"/>
                      <w:color w:val="auto"/>
                      <w:highlight w:val="none"/>
                    </w:rPr>
                    <w:t>地表水</w:t>
                  </w:r>
                </w:p>
              </w:tc>
              <w:tc>
                <w:tcPr>
                  <w:tcW w:w="2682" w:type="dxa"/>
                  <w:tcBorders>
                    <w:tl2br w:val="nil"/>
                    <w:tr2bl w:val="nil"/>
                  </w:tcBorders>
                  <w:vAlign w:val="center"/>
                </w:tcPr>
                <w:p>
                  <w:pPr>
                    <w:pStyle w:val="38"/>
                    <w:bidi w:val="0"/>
                    <w:rPr>
                      <w:rFonts w:hint="default"/>
                      <w:color w:val="auto"/>
                      <w:highlight w:val="none"/>
                    </w:rPr>
                  </w:pPr>
                  <w:r>
                    <w:rPr>
                      <w:rFonts w:hint="default"/>
                      <w:color w:val="auto"/>
                      <w:highlight w:val="none"/>
                    </w:rPr>
                    <w:t>新增工业废水直排建设项目（槽罐车外送污水处理厂的除外）新增废水直排的污水集中处理厂</w:t>
                  </w:r>
                </w:p>
              </w:tc>
              <w:tc>
                <w:tcPr>
                  <w:tcW w:w="2502" w:type="dxa"/>
                  <w:tcBorders>
                    <w:tl2br w:val="nil"/>
                    <w:tr2bl w:val="nil"/>
                  </w:tcBorders>
                  <w:vAlign w:val="center"/>
                </w:tcPr>
                <w:p>
                  <w:pPr>
                    <w:pStyle w:val="38"/>
                    <w:bidi w:val="0"/>
                    <w:rPr>
                      <w:rFonts w:hint="default" w:eastAsia="宋体"/>
                      <w:color w:val="auto"/>
                      <w:highlight w:val="none"/>
                      <w:lang w:val="en-US" w:eastAsia="zh-CN"/>
                    </w:rPr>
                  </w:pPr>
                  <w:r>
                    <w:rPr>
                      <w:rFonts w:hint="eastAsia"/>
                      <w:color w:val="auto"/>
                      <w:highlight w:val="none"/>
                      <w:lang w:val="en-US" w:eastAsia="zh-CN"/>
                    </w:rPr>
                    <w:t>项目无新增工业废水直排</w:t>
                  </w:r>
                </w:p>
              </w:tc>
              <w:tc>
                <w:tcPr>
                  <w:tcW w:w="987" w:type="dxa"/>
                  <w:tcBorders>
                    <w:tl2br w:val="nil"/>
                    <w:tr2bl w:val="nil"/>
                  </w:tcBorders>
                  <w:vAlign w:val="center"/>
                </w:tcPr>
                <w:p>
                  <w:pPr>
                    <w:pStyle w:val="38"/>
                    <w:bidi w:val="0"/>
                    <w:rPr>
                      <w:rFonts w:hint="default"/>
                      <w:color w:val="auto"/>
                      <w:highlight w:val="none"/>
                    </w:rPr>
                  </w:pPr>
                  <w:r>
                    <w:rPr>
                      <w:rFonts w:hint="eastAsia"/>
                      <w:color w:val="auto"/>
                      <w:highlight w:val="none"/>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tcBorders>
                    <w:tl2br w:val="nil"/>
                    <w:tr2bl w:val="nil"/>
                  </w:tcBorders>
                  <w:vAlign w:val="center"/>
                </w:tcPr>
                <w:p>
                  <w:pPr>
                    <w:pStyle w:val="38"/>
                    <w:bidi w:val="0"/>
                    <w:rPr>
                      <w:rFonts w:hint="default"/>
                      <w:color w:val="auto"/>
                      <w:highlight w:val="none"/>
                    </w:rPr>
                  </w:pPr>
                  <w:r>
                    <w:rPr>
                      <w:rFonts w:hint="default"/>
                      <w:color w:val="auto"/>
                      <w:highlight w:val="none"/>
                    </w:rPr>
                    <w:t>环境风险</w:t>
                  </w:r>
                </w:p>
              </w:tc>
              <w:tc>
                <w:tcPr>
                  <w:tcW w:w="2682" w:type="dxa"/>
                  <w:tcBorders>
                    <w:tl2br w:val="nil"/>
                    <w:tr2bl w:val="nil"/>
                  </w:tcBorders>
                  <w:vAlign w:val="center"/>
                </w:tcPr>
                <w:p>
                  <w:pPr>
                    <w:pStyle w:val="38"/>
                    <w:bidi w:val="0"/>
                    <w:rPr>
                      <w:rFonts w:hint="default"/>
                      <w:color w:val="auto"/>
                      <w:highlight w:val="none"/>
                    </w:rPr>
                  </w:pPr>
                  <w:r>
                    <w:rPr>
                      <w:rFonts w:hint="default"/>
                      <w:color w:val="auto"/>
                      <w:highlight w:val="none"/>
                    </w:rPr>
                    <w:t>有毒有害和易燃易爆危险物质存储量超过临界量</w:t>
                  </w:r>
                  <w:r>
                    <w:rPr>
                      <w:rFonts w:hint="default"/>
                      <w:color w:val="auto"/>
                      <w:highlight w:val="none"/>
                      <w:vertAlign w:val="superscript"/>
                    </w:rPr>
                    <w:t>3</w:t>
                  </w:r>
                  <w:r>
                    <w:rPr>
                      <w:rFonts w:hint="default"/>
                      <w:color w:val="auto"/>
                      <w:highlight w:val="none"/>
                    </w:rPr>
                    <w:t>的建设项目</w:t>
                  </w:r>
                </w:p>
              </w:tc>
              <w:tc>
                <w:tcPr>
                  <w:tcW w:w="2502" w:type="dxa"/>
                  <w:tcBorders>
                    <w:tl2br w:val="nil"/>
                    <w:tr2bl w:val="nil"/>
                  </w:tcBorders>
                  <w:vAlign w:val="center"/>
                </w:tcPr>
                <w:p>
                  <w:pPr>
                    <w:pStyle w:val="38"/>
                    <w:bidi w:val="0"/>
                    <w:rPr>
                      <w:rFonts w:hint="default"/>
                      <w:color w:val="auto"/>
                      <w:highlight w:val="none"/>
                    </w:rPr>
                  </w:pPr>
                  <w:r>
                    <w:rPr>
                      <w:rFonts w:hint="default"/>
                      <w:color w:val="auto"/>
                      <w:highlight w:val="none"/>
                      <w:lang w:val="en-US" w:eastAsia="zh-CN"/>
                    </w:rPr>
                    <w:t>本项目生产过程中</w:t>
                  </w:r>
                  <w:r>
                    <w:rPr>
                      <w:rFonts w:hint="default"/>
                      <w:color w:val="auto"/>
                      <w:highlight w:val="none"/>
                    </w:rPr>
                    <w:t>有毒有害和易燃易爆危险物质存储量</w:t>
                  </w:r>
                  <w:r>
                    <w:rPr>
                      <w:rFonts w:hint="eastAsia"/>
                      <w:color w:val="auto"/>
                      <w:highlight w:val="none"/>
                      <w:lang w:val="en-US" w:eastAsia="zh-CN"/>
                    </w:rPr>
                    <w:t>未</w:t>
                  </w:r>
                  <w:r>
                    <w:rPr>
                      <w:rFonts w:hint="default"/>
                      <w:color w:val="auto"/>
                      <w:highlight w:val="none"/>
                    </w:rPr>
                    <w:t>超过临界量</w:t>
                  </w:r>
                </w:p>
              </w:tc>
              <w:tc>
                <w:tcPr>
                  <w:tcW w:w="987" w:type="dxa"/>
                  <w:tcBorders>
                    <w:tl2br w:val="nil"/>
                    <w:tr2bl w:val="nil"/>
                  </w:tcBorders>
                  <w:vAlign w:val="center"/>
                </w:tcPr>
                <w:p>
                  <w:pPr>
                    <w:pStyle w:val="38"/>
                    <w:bidi w:val="0"/>
                    <w:rPr>
                      <w:rFonts w:hint="default"/>
                      <w:color w:val="auto"/>
                      <w:highlight w:val="none"/>
                    </w:rPr>
                  </w:pPr>
                  <w:r>
                    <w:rPr>
                      <w:rFonts w:hint="eastAsia"/>
                      <w:color w:val="auto"/>
                      <w:highlight w:val="none"/>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tcBorders>
                    <w:tl2br w:val="nil"/>
                    <w:tr2bl w:val="nil"/>
                  </w:tcBorders>
                  <w:vAlign w:val="center"/>
                </w:tcPr>
                <w:p>
                  <w:pPr>
                    <w:pStyle w:val="38"/>
                    <w:bidi w:val="0"/>
                    <w:rPr>
                      <w:rFonts w:hint="default"/>
                      <w:color w:val="auto"/>
                      <w:highlight w:val="none"/>
                    </w:rPr>
                  </w:pPr>
                  <w:r>
                    <w:rPr>
                      <w:rFonts w:hint="default"/>
                      <w:color w:val="auto"/>
                      <w:highlight w:val="none"/>
                    </w:rPr>
                    <w:t>生态</w:t>
                  </w:r>
                </w:p>
              </w:tc>
              <w:tc>
                <w:tcPr>
                  <w:tcW w:w="2682" w:type="dxa"/>
                  <w:tcBorders>
                    <w:tl2br w:val="nil"/>
                    <w:tr2bl w:val="nil"/>
                  </w:tcBorders>
                  <w:vAlign w:val="center"/>
                </w:tcPr>
                <w:p>
                  <w:pPr>
                    <w:pStyle w:val="38"/>
                    <w:bidi w:val="0"/>
                    <w:rPr>
                      <w:rFonts w:hint="default"/>
                      <w:color w:val="auto"/>
                      <w:highlight w:val="none"/>
                    </w:rPr>
                  </w:pPr>
                  <w:r>
                    <w:rPr>
                      <w:rFonts w:hint="default"/>
                      <w:color w:val="auto"/>
                      <w:highlight w:val="none"/>
                    </w:rPr>
                    <w:t>取水口下游500米范围内有重要水生生物的自然产卵场、索饵场、越冬场和洄游通道的新增河道取水的污染类建设项目</w:t>
                  </w:r>
                </w:p>
              </w:tc>
              <w:tc>
                <w:tcPr>
                  <w:tcW w:w="2502" w:type="dxa"/>
                  <w:tcBorders>
                    <w:tl2br w:val="nil"/>
                    <w:tr2bl w:val="nil"/>
                  </w:tcBorders>
                  <w:vAlign w:val="center"/>
                </w:tcPr>
                <w:p>
                  <w:pPr>
                    <w:pStyle w:val="38"/>
                    <w:bidi w:val="0"/>
                    <w:rPr>
                      <w:rFonts w:hint="default" w:eastAsia="宋体"/>
                      <w:color w:val="auto"/>
                      <w:highlight w:val="none"/>
                      <w:lang w:val="en-US" w:eastAsia="zh-CN"/>
                    </w:rPr>
                  </w:pPr>
                  <w:r>
                    <w:rPr>
                      <w:rFonts w:hint="eastAsia"/>
                      <w:color w:val="auto"/>
                      <w:highlight w:val="none"/>
                      <w:lang w:val="en-US" w:eastAsia="zh-CN"/>
                    </w:rPr>
                    <w:t>项目生产生活用水均来自当地自来水管网</w:t>
                  </w:r>
                </w:p>
              </w:tc>
              <w:tc>
                <w:tcPr>
                  <w:tcW w:w="987" w:type="dxa"/>
                  <w:tcBorders>
                    <w:tl2br w:val="nil"/>
                    <w:tr2bl w:val="nil"/>
                  </w:tcBorders>
                  <w:vAlign w:val="center"/>
                </w:tcPr>
                <w:p>
                  <w:pPr>
                    <w:pStyle w:val="38"/>
                    <w:bidi w:val="0"/>
                    <w:rPr>
                      <w:rFonts w:hint="default"/>
                      <w:color w:val="auto"/>
                      <w:highlight w:val="none"/>
                    </w:rPr>
                  </w:pPr>
                  <w:r>
                    <w:rPr>
                      <w:rFonts w:hint="eastAsia"/>
                      <w:color w:val="auto"/>
                      <w:highlight w:val="none"/>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2" w:type="dxa"/>
                  <w:tcBorders>
                    <w:tl2br w:val="nil"/>
                    <w:tr2bl w:val="nil"/>
                  </w:tcBorders>
                  <w:vAlign w:val="center"/>
                </w:tcPr>
                <w:p>
                  <w:pPr>
                    <w:pStyle w:val="38"/>
                    <w:bidi w:val="0"/>
                    <w:rPr>
                      <w:rFonts w:hint="default"/>
                      <w:color w:val="auto"/>
                      <w:highlight w:val="none"/>
                    </w:rPr>
                  </w:pPr>
                  <w:r>
                    <w:rPr>
                      <w:rFonts w:hint="default"/>
                      <w:color w:val="auto"/>
                      <w:highlight w:val="none"/>
                    </w:rPr>
                    <w:t>海洋</w:t>
                  </w:r>
                </w:p>
              </w:tc>
              <w:tc>
                <w:tcPr>
                  <w:tcW w:w="2682" w:type="dxa"/>
                  <w:tcBorders>
                    <w:tl2br w:val="nil"/>
                    <w:tr2bl w:val="nil"/>
                  </w:tcBorders>
                  <w:vAlign w:val="center"/>
                </w:tcPr>
                <w:p>
                  <w:pPr>
                    <w:pStyle w:val="38"/>
                    <w:bidi w:val="0"/>
                    <w:rPr>
                      <w:rFonts w:hint="default"/>
                      <w:color w:val="auto"/>
                      <w:highlight w:val="none"/>
                    </w:rPr>
                  </w:pPr>
                  <w:r>
                    <w:rPr>
                      <w:rFonts w:hint="default"/>
                      <w:color w:val="auto"/>
                      <w:highlight w:val="none"/>
                    </w:rPr>
                    <w:t>直接向海排放污染物的海洋工程建设</w:t>
                  </w:r>
                </w:p>
              </w:tc>
              <w:tc>
                <w:tcPr>
                  <w:tcW w:w="2502" w:type="dxa"/>
                  <w:tcBorders>
                    <w:tl2br w:val="nil"/>
                    <w:tr2bl w:val="nil"/>
                  </w:tcBorders>
                  <w:vAlign w:val="center"/>
                </w:tcPr>
                <w:p>
                  <w:pPr>
                    <w:pStyle w:val="38"/>
                    <w:bidi w:val="0"/>
                    <w:rPr>
                      <w:rFonts w:hint="eastAsia" w:eastAsia="宋体"/>
                      <w:color w:val="auto"/>
                      <w:highlight w:val="none"/>
                      <w:lang w:eastAsia="zh-CN"/>
                    </w:rPr>
                  </w:pPr>
                  <w:r>
                    <w:rPr>
                      <w:rFonts w:hint="eastAsia"/>
                      <w:color w:val="auto"/>
                      <w:highlight w:val="none"/>
                      <w:lang w:val="en-US" w:eastAsia="zh-CN"/>
                    </w:rPr>
                    <w:t>不涉及</w:t>
                  </w:r>
                </w:p>
              </w:tc>
              <w:tc>
                <w:tcPr>
                  <w:tcW w:w="987" w:type="dxa"/>
                  <w:tcBorders>
                    <w:tl2br w:val="nil"/>
                    <w:tr2bl w:val="nil"/>
                  </w:tcBorders>
                  <w:vAlign w:val="center"/>
                </w:tcPr>
                <w:p>
                  <w:pPr>
                    <w:pStyle w:val="38"/>
                    <w:bidi w:val="0"/>
                    <w:rPr>
                      <w:rFonts w:hint="default"/>
                      <w:color w:val="auto"/>
                      <w:highlight w:val="none"/>
                    </w:rPr>
                  </w:pPr>
                  <w:r>
                    <w:rPr>
                      <w:rFonts w:hint="eastAsia"/>
                      <w:color w:val="auto"/>
                      <w:highlight w:val="none"/>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73" w:type="dxa"/>
                  <w:gridSpan w:val="4"/>
                  <w:tcBorders>
                    <w:tl2br w:val="nil"/>
                    <w:tr2bl w:val="nil"/>
                  </w:tcBorders>
                  <w:vAlign w:val="center"/>
                </w:tcPr>
                <w:p>
                  <w:pPr>
                    <w:pStyle w:val="38"/>
                    <w:bidi w:val="0"/>
                    <w:rPr>
                      <w:rFonts w:hint="default"/>
                      <w:color w:val="auto"/>
                      <w:highlight w:val="none"/>
                    </w:rPr>
                  </w:pPr>
                  <w:r>
                    <w:rPr>
                      <w:rFonts w:hint="default"/>
                      <w:color w:val="auto"/>
                      <w:highlight w:val="none"/>
                    </w:rPr>
                    <w:t>注：1、废气中有毒有害污染物指纳入《有毒有害大气污染物名录》的污染物（不包括无排放标准的污染物）；</w:t>
                  </w:r>
                </w:p>
                <w:p>
                  <w:pPr>
                    <w:pStyle w:val="38"/>
                    <w:bidi w:val="0"/>
                    <w:rPr>
                      <w:rFonts w:hint="default"/>
                      <w:color w:val="auto"/>
                      <w:highlight w:val="none"/>
                    </w:rPr>
                  </w:pPr>
                  <w:r>
                    <w:rPr>
                      <w:rFonts w:hint="default"/>
                      <w:color w:val="auto"/>
                      <w:highlight w:val="none"/>
                    </w:rPr>
                    <w:t>2、环境空气保护目标指自然保护区、风景名胜区、居住区、文化区和农村地区中人群较集中的区域。</w:t>
                  </w:r>
                </w:p>
                <w:p>
                  <w:pPr>
                    <w:pStyle w:val="38"/>
                    <w:bidi w:val="0"/>
                    <w:rPr>
                      <w:rFonts w:hint="default"/>
                      <w:color w:val="auto"/>
                      <w:highlight w:val="none"/>
                    </w:rPr>
                  </w:pPr>
                  <w:r>
                    <w:rPr>
                      <w:rFonts w:hint="default"/>
                      <w:color w:val="auto"/>
                      <w:highlight w:val="none"/>
                    </w:rPr>
                    <w:t>3、临界量及其计算方法可</w:t>
                  </w:r>
                  <w:r>
                    <w:rPr>
                      <w:rFonts w:hint="eastAsia"/>
                      <w:color w:val="auto"/>
                      <w:highlight w:val="none"/>
                      <w:lang w:val="en-US" w:eastAsia="zh-CN"/>
                    </w:rPr>
                    <w:t>参考</w:t>
                  </w:r>
                  <w:r>
                    <w:rPr>
                      <w:rFonts w:hint="default"/>
                      <w:color w:val="auto"/>
                      <w:highlight w:val="none"/>
                    </w:rPr>
                    <w:t>《建设项目环境风险评价技术</w:t>
                  </w:r>
                  <w:r>
                    <w:rPr>
                      <w:rFonts w:hint="eastAsia"/>
                      <w:color w:val="auto"/>
                      <w:highlight w:val="none"/>
                      <w:lang w:val="en-US" w:eastAsia="zh-CN"/>
                    </w:rPr>
                    <w:t>导则</w:t>
                  </w:r>
                  <w:r>
                    <w:rPr>
                      <w:rFonts w:hint="default"/>
                      <w:color w:val="auto"/>
                      <w:highlight w:val="none"/>
                    </w:rPr>
                    <w:t>》（HJ169）附录B、附录C。</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color w:val="auto"/>
                <w:highlight w:val="none"/>
                <w:lang w:val="en-US" w:eastAsia="zh-CN"/>
              </w:rPr>
            </w:pPr>
            <w:r>
              <w:rPr>
                <w:rFonts w:hint="eastAsia"/>
                <w:color w:val="auto"/>
                <w:highlight w:val="none"/>
                <w:lang w:val="en-US" w:eastAsia="zh-CN"/>
              </w:rPr>
              <w:t>根据上表对照结果，本项目无须设置专项评价。</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both"/>
              <w:rPr>
                <w:rFonts w:hint="default" w:ascii="Times New Roman" w:hAnsi="Times New Roman" w:eastAsia="宋体" w:cs="Times New Roman"/>
                <w:i w:val="0"/>
                <w:iCs w:val="0"/>
                <w:color w:val="auto"/>
                <w:sz w:val="24"/>
                <w:szCs w:val="24"/>
                <w:highlight w:val="none"/>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7" w:hRule="atLeast"/>
          <w:jc w:val="center"/>
        </w:trPr>
        <w:tc>
          <w:tcPr>
            <w:tcW w:w="147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规划情况</w:t>
            </w:r>
          </w:p>
        </w:tc>
        <w:tc>
          <w:tcPr>
            <w:tcW w:w="7208" w:type="dxa"/>
            <w:gridSpan w:val="3"/>
            <w:tcBorders>
              <w:tl2br w:val="nil"/>
              <w:tr2bl w:val="nil"/>
            </w:tcBorders>
            <w:shd w:val="clear" w:color="auto" w:fill="auto"/>
            <w:noWrap/>
            <w:vAlign w:val="center"/>
          </w:tcPr>
          <w:p>
            <w:pPr>
              <w:bidi w:val="0"/>
              <w:ind w:left="0" w:leftChars="0" w:firstLine="0" w:firstLineChars="0"/>
              <w:rPr>
                <w:rFonts w:hint="default"/>
                <w:color w:val="auto"/>
                <w:highlight w:val="none"/>
                <w:lang w:eastAsia="zh-CN"/>
              </w:rPr>
            </w:pPr>
            <w:r>
              <w:rPr>
                <w:rFonts w:hint="default"/>
                <w:color w:val="auto"/>
                <w:highlight w:val="none"/>
                <w:lang w:eastAsia="zh-CN"/>
              </w:rPr>
              <w:t>1、</w:t>
            </w:r>
            <w:r>
              <w:rPr>
                <w:rFonts w:hint="eastAsia"/>
                <w:color w:val="auto"/>
                <w:highlight w:val="none"/>
                <w:lang w:val="en-US" w:eastAsia="zh-CN"/>
              </w:rPr>
              <w:t>规</w:t>
            </w:r>
            <w:r>
              <w:rPr>
                <w:rFonts w:hint="default"/>
                <w:color w:val="auto"/>
                <w:highlight w:val="none"/>
                <w:lang w:eastAsia="zh-CN"/>
              </w:rPr>
              <w:t>划名称：《云南</w:t>
            </w:r>
            <w:r>
              <w:rPr>
                <w:rFonts w:hint="eastAsia"/>
                <w:color w:val="auto"/>
                <w:highlight w:val="none"/>
                <w:lang w:val="en-US" w:eastAsia="zh-CN"/>
              </w:rPr>
              <w:t>易门</w:t>
            </w:r>
            <w:r>
              <w:rPr>
                <w:rFonts w:hint="default"/>
                <w:color w:val="auto"/>
                <w:highlight w:val="none"/>
                <w:lang w:eastAsia="zh-CN"/>
              </w:rPr>
              <w:t>产业园区总体规划（修编）》（2021—2035年）；</w:t>
            </w:r>
          </w:p>
          <w:p>
            <w:pPr>
              <w:bidi w:val="0"/>
              <w:ind w:left="0" w:leftChars="0" w:firstLine="0" w:firstLineChars="0"/>
              <w:rPr>
                <w:rFonts w:hint="default"/>
                <w:color w:val="auto"/>
                <w:highlight w:val="none"/>
                <w:lang w:eastAsia="zh-CN"/>
              </w:rPr>
            </w:pPr>
            <w:r>
              <w:rPr>
                <w:rFonts w:hint="default"/>
                <w:color w:val="auto"/>
                <w:highlight w:val="none"/>
                <w:lang w:eastAsia="zh-CN"/>
              </w:rPr>
              <w:t>2、审批时间：2023年</w:t>
            </w:r>
            <w:r>
              <w:rPr>
                <w:rFonts w:hint="eastAsia"/>
                <w:color w:val="auto"/>
                <w:highlight w:val="none"/>
                <w:lang w:val="en-US" w:eastAsia="zh-CN"/>
              </w:rPr>
              <w:t>2</w:t>
            </w:r>
            <w:r>
              <w:rPr>
                <w:rFonts w:hint="default"/>
                <w:color w:val="auto"/>
                <w:highlight w:val="none"/>
                <w:lang w:eastAsia="zh-CN"/>
              </w:rPr>
              <w:t>月</w:t>
            </w:r>
            <w:r>
              <w:rPr>
                <w:rFonts w:hint="eastAsia"/>
                <w:color w:val="auto"/>
                <w:highlight w:val="none"/>
                <w:lang w:val="en-US" w:eastAsia="zh-CN"/>
              </w:rPr>
              <w:t>13</w:t>
            </w:r>
            <w:r>
              <w:rPr>
                <w:rFonts w:hint="default"/>
                <w:color w:val="auto"/>
                <w:highlight w:val="none"/>
                <w:lang w:eastAsia="zh-CN"/>
              </w:rPr>
              <w:t>日；</w:t>
            </w:r>
          </w:p>
          <w:p>
            <w:pPr>
              <w:bidi w:val="0"/>
              <w:ind w:left="0" w:leftChars="0" w:firstLine="0" w:firstLineChars="0"/>
              <w:rPr>
                <w:rFonts w:hint="default"/>
                <w:color w:val="auto"/>
                <w:highlight w:val="none"/>
                <w:lang w:eastAsia="zh-CN"/>
              </w:rPr>
            </w:pPr>
            <w:r>
              <w:rPr>
                <w:rFonts w:hint="default"/>
                <w:color w:val="auto"/>
                <w:highlight w:val="none"/>
                <w:lang w:eastAsia="zh-CN"/>
              </w:rPr>
              <w:t>3、审批机关：</w:t>
            </w:r>
            <w:r>
              <w:rPr>
                <w:rFonts w:hint="eastAsia"/>
                <w:color w:val="auto"/>
                <w:highlight w:val="none"/>
                <w:lang w:val="en-US" w:eastAsia="zh-CN"/>
              </w:rPr>
              <w:t>玉溪市</w:t>
            </w:r>
            <w:r>
              <w:rPr>
                <w:rFonts w:hint="default"/>
                <w:color w:val="auto"/>
                <w:highlight w:val="none"/>
                <w:lang w:eastAsia="zh-CN"/>
              </w:rPr>
              <w:t>人民政府；</w:t>
            </w:r>
          </w:p>
          <w:p>
            <w:pPr>
              <w:keepNext w:val="0"/>
              <w:keepLines w:val="0"/>
              <w:widowControl/>
              <w:suppressLineNumbers w:val="0"/>
              <w:ind w:left="0" w:leftChars="0" w:firstLine="0" w:firstLineChars="0"/>
              <w:jc w:val="left"/>
              <w:rPr>
                <w:rFonts w:hint="default" w:ascii="Times New Roman" w:hAnsi="Times New Roman" w:eastAsia="宋体" w:cs="Times New Roman"/>
                <w:i w:val="0"/>
                <w:iCs w:val="0"/>
                <w:color w:val="auto"/>
                <w:szCs w:val="24"/>
                <w:highlight w:val="none"/>
                <w:u w:val="none"/>
                <w:lang w:eastAsia="zh-CN"/>
              </w:rPr>
            </w:pPr>
            <w:r>
              <w:rPr>
                <w:rFonts w:hint="default"/>
                <w:color w:val="auto"/>
                <w:highlight w:val="none"/>
                <w:lang w:eastAsia="zh-CN"/>
              </w:rPr>
              <w:t>4、审查文件</w:t>
            </w:r>
            <w:r>
              <w:rPr>
                <w:rFonts w:hint="eastAsia"/>
                <w:color w:val="auto"/>
                <w:highlight w:val="none"/>
                <w:lang w:val="en-US" w:eastAsia="zh-CN"/>
              </w:rPr>
              <w:t>及</w:t>
            </w:r>
            <w:r>
              <w:rPr>
                <w:rFonts w:hint="default"/>
                <w:color w:val="auto"/>
                <w:highlight w:val="none"/>
                <w:lang w:eastAsia="zh-CN"/>
              </w:rPr>
              <w:t>文号：</w:t>
            </w:r>
            <w:r>
              <w:rPr>
                <w:rFonts w:hint="eastAsia" w:ascii="宋体" w:hAnsi="宋体" w:eastAsia="宋体" w:cs="宋体"/>
                <w:color w:val="auto"/>
                <w:kern w:val="0"/>
                <w:sz w:val="24"/>
                <w:szCs w:val="24"/>
                <w:highlight w:val="none"/>
                <w:lang w:val="en-US" w:eastAsia="zh-CN" w:bidi="ar"/>
              </w:rPr>
              <w:t>玉溪市人民政府关于云南易门产业园区总体规划修编（</w:t>
            </w:r>
            <w:r>
              <w:rPr>
                <w:rFonts w:hint="default" w:ascii="Times New Roman" w:hAnsi="Times New Roman" w:eastAsia="宋体" w:cs="Times New Roman"/>
                <w:color w:val="auto"/>
                <w:kern w:val="0"/>
                <w:sz w:val="24"/>
                <w:szCs w:val="24"/>
                <w:highlight w:val="none"/>
                <w:lang w:val="en-US" w:eastAsia="zh-CN" w:bidi="ar"/>
              </w:rPr>
              <w:t>2021</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 xml:space="preserve">2035 </w:t>
            </w:r>
            <w:r>
              <w:rPr>
                <w:rFonts w:hint="eastAsia" w:ascii="宋体" w:hAnsi="宋体" w:eastAsia="宋体" w:cs="宋体"/>
                <w:color w:val="auto"/>
                <w:kern w:val="0"/>
                <w:sz w:val="24"/>
                <w:szCs w:val="24"/>
                <w:highlight w:val="none"/>
                <w:lang w:val="en-US" w:eastAsia="zh-CN" w:bidi="ar"/>
              </w:rPr>
              <w:t>年）的批复（玉政复〔</w:t>
            </w:r>
            <w:r>
              <w:rPr>
                <w:rFonts w:hint="default" w:ascii="Times New Roman" w:hAnsi="Times New Roman" w:eastAsia="宋体" w:cs="Times New Roman"/>
                <w:color w:val="auto"/>
                <w:kern w:val="0"/>
                <w:sz w:val="24"/>
                <w:szCs w:val="24"/>
                <w:highlight w:val="none"/>
                <w:lang w:val="en-US" w:eastAsia="zh-CN" w:bidi="ar"/>
              </w:rPr>
              <w:t>2023</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9</w:t>
            </w:r>
            <w:r>
              <w:rPr>
                <w:rFonts w:hint="eastAsia" w:ascii="宋体" w:hAnsi="宋体" w:eastAsia="宋体" w:cs="宋体"/>
                <w:color w:val="auto"/>
                <w:kern w:val="0"/>
                <w:sz w:val="24"/>
                <w:szCs w:val="24"/>
                <w:highlight w:val="none"/>
                <w:lang w:val="en-US" w:eastAsia="zh-CN" w:bidi="ar"/>
              </w:rPr>
              <w:t>号）</w:t>
            </w:r>
            <w:r>
              <w:rPr>
                <w:rFonts w:hint="default"/>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9" w:hRule="atLeast"/>
          <w:jc w:val="center"/>
        </w:trPr>
        <w:tc>
          <w:tcPr>
            <w:tcW w:w="147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规划环境影响评价情况</w:t>
            </w:r>
          </w:p>
        </w:tc>
        <w:tc>
          <w:tcPr>
            <w:tcW w:w="7208" w:type="dxa"/>
            <w:gridSpan w:val="3"/>
            <w:tcBorders>
              <w:tl2br w:val="nil"/>
              <w:tr2bl w:val="nil"/>
            </w:tcBorders>
            <w:shd w:val="clear" w:color="auto" w:fill="auto"/>
            <w:noWrap/>
            <w:vAlign w:val="center"/>
          </w:tcPr>
          <w:p>
            <w:pPr>
              <w:bidi w:val="0"/>
              <w:ind w:left="0" w:leftChars="0" w:firstLine="0" w:firstLineChars="0"/>
              <w:rPr>
                <w:rFonts w:hint="default"/>
                <w:color w:val="auto"/>
                <w:highlight w:val="none"/>
                <w:lang w:eastAsia="zh-CN"/>
              </w:rPr>
            </w:pPr>
            <w:r>
              <w:rPr>
                <w:rFonts w:hint="default"/>
                <w:color w:val="auto"/>
                <w:highlight w:val="none"/>
                <w:lang w:eastAsia="zh-CN"/>
              </w:rPr>
              <w:t>1、规划环境影响评价文件名称：《云南</w:t>
            </w:r>
            <w:r>
              <w:rPr>
                <w:rFonts w:hint="eastAsia"/>
                <w:color w:val="auto"/>
                <w:highlight w:val="none"/>
                <w:lang w:val="en-US" w:eastAsia="zh-CN"/>
              </w:rPr>
              <w:t>易门</w:t>
            </w:r>
            <w:r>
              <w:rPr>
                <w:rFonts w:hint="default"/>
                <w:color w:val="auto"/>
                <w:highlight w:val="none"/>
                <w:lang w:eastAsia="zh-CN"/>
              </w:rPr>
              <w:t>产业园区总体规划（修编）（2021—2035年）环境影响报告书》；</w:t>
            </w:r>
          </w:p>
          <w:p>
            <w:pPr>
              <w:bidi w:val="0"/>
              <w:ind w:left="0" w:leftChars="0" w:firstLine="0" w:firstLineChars="0"/>
              <w:rPr>
                <w:rFonts w:hint="default"/>
                <w:color w:val="auto"/>
                <w:highlight w:val="none"/>
                <w:lang w:eastAsia="zh-CN"/>
              </w:rPr>
            </w:pPr>
            <w:r>
              <w:rPr>
                <w:rFonts w:hint="default"/>
                <w:color w:val="auto"/>
                <w:highlight w:val="none"/>
                <w:lang w:eastAsia="zh-CN"/>
              </w:rPr>
              <w:t>2、审批时间：202</w:t>
            </w:r>
            <w:r>
              <w:rPr>
                <w:rFonts w:hint="eastAsia"/>
                <w:color w:val="auto"/>
                <w:highlight w:val="none"/>
                <w:lang w:val="en-US" w:eastAsia="zh-CN"/>
              </w:rPr>
              <w:t>2</w:t>
            </w:r>
            <w:r>
              <w:rPr>
                <w:rFonts w:hint="default"/>
                <w:color w:val="auto"/>
                <w:highlight w:val="none"/>
                <w:lang w:eastAsia="zh-CN"/>
              </w:rPr>
              <w:t>年</w:t>
            </w:r>
            <w:r>
              <w:rPr>
                <w:rFonts w:hint="eastAsia"/>
                <w:color w:val="auto"/>
                <w:highlight w:val="none"/>
                <w:lang w:val="en-US" w:eastAsia="zh-CN"/>
              </w:rPr>
              <w:t>9</w:t>
            </w:r>
            <w:r>
              <w:rPr>
                <w:rFonts w:hint="default"/>
                <w:color w:val="auto"/>
                <w:highlight w:val="none"/>
                <w:lang w:eastAsia="zh-CN"/>
              </w:rPr>
              <w:t>月</w:t>
            </w:r>
            <w:r>
              <w:rPr>
                <w:rFonts w:hint="eastAsia"/>
                <w:color w:val="auto"/>
                <w:highlight w:val="none"/>
                <w:lang w:val="en-US" w:eastAsia="zh-CN"/>
              </w:rPr>
              <w:t>28</w:t>
            </w:r>
            <w:r>
              <w:rPr>
                <w:rFonts w:hint="default"/>
                <w:color w:val="auto"/>
                <w:highlight w:val="none"/>
                <w:lang w:eastAsia="zh-CN"/>
              </w:rPr>
              <w:t>日；</w:t>
            </w:r>
          </w:p>
          <w:p>
            <w:pPr>
              <w:bidi w:val="0"/>
              <w:ind w:left="0" w:leftChars="0" w:firstLine="0" w:firstLineChars="0"/>
              <w:rPr>
                <w:rFonts w:hint="default"/>
                <w:color w:val="auto"/>
                <w:highlight w:val="none"/>
                <w:lang w:eastAsia="zh-CN"/>
              </w:rPr>
            </w:pPr>
            <w:r>
              <w:rPr>
                <w:rFonts w:hint="default"/>
                <w:color w:val="auto"/>
                <w:highlight w:val="none"/>
                <w:lang w:eastAsia="zh-CN"/>
              </w:rPr>
              <w:t>3、审查机关：</w:t>
            </w:r>
            <w:r>
              <w:rPr>
                <w:rFonts w:hint="eastAsia"/>
                <w:color w:val="auto"/>
                <w:highlight w:val="none"/>
                <w:lang w:val="en-US" w:eastAsia="zh-CN"/>
              </w:rPr>
              <w:t>玉溪市</w:t>
            </w:r>
            <w:r>
              <w:rPr>
                <w:rFonts w:hint="default"/>
                <w:color w:val="auto"/>
                <w:highlight w:val="none"/>
                <w:lang w:eastAsia="zh-CN"/>
              </w:rPr>
              <w:t>生态环境局；</w:t>
            </w:r>
          </w:p>
          <w:p>
            <w:pPr>
              <w:bidi w:val="0"/>
              <w:ind w:left="0" w:leftChars="0" w:firstLine="0" w:firstLineChars="0"/>
              <w:rPr>
                <w:rFonts w:hint="default"/>
                <w:color w:val="auto"/>
                <w:highlight w:val="none"/>
                <w:lang w:eastAsia="zh-CN"/>
              </w:rPr>
            </w:pPr>
            <w:r>
              <w:rPr>
                <w:rFonts w:hint="default"/>
                <w:color w:val="auto"/>
                <w:highlight w:val="none"/>
                <w:lang w:eastAsia="zh-CN"/>
              </w:rPr>
              <w:t>4、审查文件名称及文号</w:t>
            </w:r>
            <w:r>
              <w:rPr>
                <w:rFonts w:hint="eastAsia"/>
                <w:color w:val="auto"/>
                <w:highlight w:val="none"/>
                <w:lang w:eastAsia="zh-CN"/>
              </w:rPr>
              <w:t>：</w:t>
            </w:r>
            <w:r>
              <w:rPr>
                <w:rFonts w:hint="eastAsia"/>
                <w:color w:val="auto"/>
                <w:highlight w:val="none"/>
                <w:lang w:val="en-US" w:eastAsia="zh-CN"/>
              </w:rPr>
              <w:t>《云南易门产业园区总体规划（修编）（2021-2035）环境影响报告书》审查意见的函（玉市环函〔2022〕32号）</w:t>
            </w:r>
            <w:r>
              <w:rPr>
                <w:rFonts w:hint="default"/>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17" w:hRule="atLeast"/>
          <w:jc w:val="center"/>
        </w:trPr>
        <w:tc>
          <w:tcPr>
            <w:tcW w:w="147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规划及规划环境影响评价符合性分析</w:t>
            </w:r>
          </w:p>
        </w:tc>
        <w:tc>
          <w:tcPr>
            <w:tcW w:w="7208" w:type="dxa"/>
            <w:gridSpan w:val="3"/>
            <w:tcBorders>
              <w:tl2br w:val="nil"/>
              <w:tr2bl w:val="nil"/>
            </w:tcBorders>
            <w:shd w:val="clear" w:color="auto" w:fill="auto"/>
            <w:noWrap/>
            <w:vAlign w:val="top"/>
          </w:tcPr>
          <w:p>
            <w:pPr>
              <w:pStyle w:val="40"/>
              <w:bidi w:val="0"/>
              <w:jc w:val="both"/>
              <w:rPr>
                <w:color w:val="auto"/>
                <w:highlight w:val="none"/>
              </w:rPr>
            </w:pPr>
            <w:r>
              <w:rPr>
                <w:rFonts w:hint="eastAsia"/>
                <w:color w:val="auto"/>
                <w:highlight w:val="none"/>
                <w:lang w:val="en-US" w:eastAsia="zh-CN"/>
              </w:rPr>
              <w:t>1、与</w:t>
            </w:r>
            <w:r>
              <w:rPr>
                <w:color w:val="auto"/>
                <w:highlight w:val="none"/>
              </w:rPr>
              <w:t>《</w:t>
            </w:r>
            <w:r>
              <w:rPr>
                <w:rFonts w:hint="default"/>
                <w:color w:val="auto"/>
                <w:highlight w:val="none"/>
                <w:lang w:eastAsia="zh-CN"/>
              </w:rPr>
              <w:t>云南</w:t>
            </w:r>
            <w:r>
              <w:rPr>
                <w:rFonts w:hint="eastAsia"/>
                <w:color w:val="auto"/>
                <w:highlight w:val="none"/>
                <w:lang w:val="en-US" w:eastAsia="zh-CN"/>
              </w:rPr>
              <w:t>易门</w:t>
            </w:r>
            <w:r>
              <w:rPr>
                <w:rFonts w:hint="default"/>
                <w:color w:val="auto"/>
                <w:highlight w:val="none"/>
                <w:lang w:eastAsia="zh-CN"/>
              </w:rPr>
              <w:t>产业园区总体规划（修编）</w:t>
            </w:r>
            <w:r>
              <w:rPr>
                <w:color w:val="auto"/>
                <w:highlight w:val="none"/>
              </w:rPr>
              <w:t>（2021-2035）》</w:t>
            </w:r>
            <w:r>
              <w:rPr>
                <w:rFonts w:hint="eastAsia"/>
                <w:color w:val="auto"/>
                <w:highlight w:val="none"/>
                <w:lang w:val="en-US" w:eastAsia="zh-CN"/>
              </w:rPr>
              <w:t>的</w:t>
            </w:r>
            <w:r>
              <w:rPr>
                <w:color w:val="auto"/>
                <w:highlight w:val="none"/>
              </w:rPr>
              <w:t>符合性分析</w:t>
            </w:r>
          </w:p>
          <w:p>
            <w:pPr>
              <w:bidi w:val="0"/>
              <w:rPr>
                <w:rFonts w:hint="eastAsia" w:ascii="黑体" w:hAnsi="黑体" w:eastAsia="黑体" w:cs="黑体"/>
                <w:color w:val="auto"/>
                <w:highlight w:val="none"/>
              </w:rPr>
            </w:pPr>
            <w:r>
              <w:rPr>
                <w:rFonts w:hint="eastAsia" w:ascii="黑体" w:hAnsi="黑体" w:eastAsia="黑体" w:cs="黑体"/>
                <w:color w:val="auto"/>
                <w:highlight w:val="none"/>
                <w:lang w:eastAsia="zh-CN"/>
              </w:rPr>
              <w:t>（</w:t>
            </w:r>
            <w:r>
              <w:rPr>
                <w:rFonts w:hint="eastAsia" w:ascii="黑体" w:hAnsi="黑体" w:eastAsia="黑体" w:cs="黑体"/>
                <w:color w:val="auto"/>
                <w:highlight w:val="none"/>
                <w:lang w:val="en-US" w:eastAsia="zh-CN"/>
              </w:rPr>
              <w:t>1</w:t>
            </w:r>
            <w:r>
              <w:rPr>
                <w:rFonts w:hint="eastAsia" w:ascii="黑体" w:hAnsi="黑体" w:eastAsia="黑体" w:cs="黑体"/>
                <w:color w:val="auto"/>
                <w:highlight w:val="none"/>
                <w:lang w:eastAsia="zh-CN"/>
              </w:rPr>
              <w:t>）</w:t>
            </w:r>
            <w:r>
              <w:rPr>
                <w:rFonts w:hint="eastAsia" w:ascii="黑体" w:hAnsi="黑体" w:eastAsia="黑体" w:cs="黑体"/>
                <w:color w:val="auto"/>
                <w:highlight w:val="none"/>
              </w:rPr>
              <w:t>规划简介</w:t>
            </w:r>
          </w:p>
          <w:p>
            <w:pPr>
              <w:bidi w:val="0"/>
              <w:rPr>
                <w:rFonts w:hint="eastAsia"/>
                <w:color w:val="auto"/>
                <w:highlight w:val="none"/>
                <w:lang w:val="en-US" w:eastAsia="zh-CN"/>
              </w:rPr>
            </w:pPr>
            <w:r>
              <w:rPr>
                <w:rFonts w:hint="eastAsia"/>
                <w:color w:val="auto"/>
                <w:highlight w:val="none"/>
                <w:lang w:val="en-US" w:eastAsia="zh-CN"/>
              </w:rPr>
              <w:t>根据</w:t>
            </w:r>
            <w:r>
              <w:rPr>
                <w:rFonts w:hint="default"/>
                <w:color w:val="auto"/>
                <w:highlight w:val="none"/>
              </w:rPr>
              <w:t>《</w:t>
            </w:r>
            <w:r>
              <w:rPr>
                <w:rFonts w:hint="eastAsia"/>
                <w:color w:val="auto"/>
                <w:highlight w:val="none"/>
                <w:lang w:eastAsia="zh-CN"/>
              </w:rPr>
              <w:t>云南易门产业园区总体规划（修编）（2021-2035）</w:t>
            </w:r>
            <w:r>
              <w:rPr>
                <w:rFonts w:hint="default"/>
                <w:color w:val="auto"/>
                <w:highlight w:val="none"/>
              </w:rPr>
              <w:t>》</w:t>
            </w:r>
            <w:r>
              <w:rPr>
                <w:rFonts w:hint="eastAsia"/>
                <w:color w:val="auto"/>
                <w:highlight w:val="none"/>
                <w:lang w:val="en-US" w:eastAsia="zh-CN"/>
              </w:rPr>
              <w:t>，规划期限为2021-2035年，按照“一园四片区六区块”进行空间布局，包括大椿树片区（分为大椿树区块和韩所区块）、麦子田片区、梅曾片区（分为曾所区块和南侧的梅营区块）和六街片区，打造“一主三辅”产业布局，以有色金属为主导产业（稀贵金属和铜为重点），以绿色建材产业、生物资源加工产业（绿色食品和生物医药为重点）、装备制造产业为辅助产业。</w:t>
            </w:r>
            <w:r>
              <w:rPr>
                <w:color w:val="auto"/>
                <w:highlight w:val="none"/>
              </w:rPr>
              <w:t>规划总用地面积29.20平方公里，包括4个片区6个区块，</w:t>
            </w:r>
            <w:r>
              <w:rPr>
                <w:rFonts w:hint="eastAsia"/>
                <w:color w:val="auto"/>
                <w:highlight w:val="none"/>
                <w:lang w:val="en-US" w:eastAsia="zh-CN"/>
              </w:rPr>
              <w:t>包括大椿树片区（</w:t>
            </w:r>
            <w:r>
              <w:rPr>
                <w:color w:val="auto"/>
                <w:highlight w:val="none"/>
              </w:rPr>
              <w:t>13.08平方公里</w:t>
            </w:r>
            <w:r>
              <w:rPr>
                <w:rFonts w:hint="eastAsia"/>
                <w:color w:val="auto"/>
                <w:highlight w:val="none"/>
                <w:lang w:val="en-US" w:eastAsia="zh-CN"/>
              </w:rPr>
              <w:t>）、麦子田片区（</w:t>
            </w:r>
            <w:r>
              <w:rPr>
                <w:color w:val="auto"/>
                <w:highlight w:val="none"/>
              </w:rPr>
              <w:t>5.93平方公里</w:t>
            </w:r>
            <w:r>
              <w:rPr>
                <w:rFonts w:hint="eastAsia"/>
                <w:color w:val="auto"/>
                <w:highlight w:val="none"/>
                <w:lang w:val="en-US" w:eastAsia="zh-CN"/>
              </w:rPr>
              <w:t>）、梅曾片区（</w:t>
            </w:r>
            <w:r>
              <w:rPr>
                <w:color w:val="auto"/>
                <w:highlight w:val="none"/>
              </w:rPr>
              <w:t>9.18平方公里</w:t>
            </w:r>
            <w:r>
              <w:rPr>
                <w:rFonts w:hint="eastAsia"/>
                <w:color w:val="auto"/>
                <w:highlight w:val="none"/>
                <w:lang w:val="en-US" w:eastAsia="zh-CN"/>
              </w:rPr>
              <w:t>）和六街片区（</w:t>
            </w:r>
            <w:r>
              <w:rPr>
                <w:color w:val="auto"/>
                <w:highlight w:val="none"/>
              </w:rPr>
              <w:t>1.01平方公里</w:t>
            </w:r>
            <w:r>
              <w:rPr>
                <w:rFonts w:hint="eastAsia"/>
                <w:color w:val="auto"/>
                <w:highlight w:val="none"/>
                <w:lang w:val="en-US" w:eastAsia="zh-CN"/>
              </w:rPr>
              <w:t>）4个片区。</w:t>
            </w:r>
          </w:p>
          <w:p>
            <w:pPr>
              <w:bidi w:val="0"/>
              <w:rPr>
                <w:rFonts w:hint="eastAsia" w:ascii="黑体" w:hAnsi="黑体" w:eastAsia="黑体" w:cs="黑体"/>
                <w:color w:val="auto"/>
                <w:highlight w:val="none"/>
              </w:rPr>
            </w:pPr>
            <w:r>
              <w:rPr>
                <w:rFonts w:hint="eastAsia" w:ascii="黑体" w:hAnsi="黑体" w:eastAsia="黑体" w:cs="黑体"/>
                <w:color w:val="auto"/>
                <w:highlight w:val="none"/>
                <w:lang w:eastAsia="zh-CN"/>
              </w:rPr>
              <w:t>（</w:t>
            </w:r>
            <w:r>
              <w:rPr>
                <w:rFonts w:hint="eastAsia" w:ascii="黑体" w:hAnsi="黑体" w:eastAsia="黑体" w:cs="黑体"/>
                <w:color w:val="auto"/>
                <w:highlight w:val="none"/>
                <w:lang w:val="en-US" w:eastAsia="zh-CN"/>
              </w:rPr>
              <w:t>2</w:t>
            </w:r>
            <w:r>
              <w:rPr>
                <w:rFonts w:hint="eastAsia" w:ascii="黑体" w:hAnsi="黑体" w:eastAsia="黑体" w:cs="黑体"/>
                <w:color w:val="auto"/>
                <w:highlight w:val="none"/>
                <w:lang w:eastAsia="zh-CN"/>
              </w:rPr>
              <w:t>）</w:t>
            </w:r>
            <w:r>
              <w:rPr>
                <w:rFonts w:hint="eastAsia" w:ascii="黑体" w:hAnsi="黑体" w:eastAsia="黑体" w:cs="黑体"/>
                <w:color w:val="auto"/>
                <w:highlight w:val="none"/>
                <w:lang w:val="en-US" w:eastAsia="zh-CN"/>
              </w:rPr>
              <w:t>项目</w:t>
            </w:r>
            <w:r>
              <w:rPr>
                <w:rFonts w:hint="eastAsia" w:ascii="黑体" w:hAnsi="黑体" w:eastAsia="黑体" w:cs="黑体"/>
                <w:color w:val="auto"/>
                <w:highlight w:val="none"/>
              </w:rPr>
              <w:t>与工业园区规划</w:t>
            </w:r>
            <w:r>
              <w:rPr>
                <w:rFonts w:hint="eastAsia" w:ascii="黑体" w:hAnsi="黑体" w:eastAsia="黑体" w:cs="黑体"/>
                <w:color w:val="auto"/>
                <w:highlight w:val="none"/>
                <w:lang w:val="en-US" w:eastAsia="zh-CN"/>
              </w:rPr>
              <w:t>的</w:t>
            </w:r>
            <w:r>
              <w:rPr>
                <w:rFonts w:hint="eastAsia" w:ascii="黑体" w:hAnsi="黑体" w:eastAsia="黑体" w:cs="黑体"/>
                <w:color w:val="auto"/>
                <w:highlight w:val="none"/>
              </w:rPr>
              <w:t>符合性分析</w:t>
            </w:r>
          </w:p>
          <w:p>
            <w:pPr>
              <w:bidi w:val="0"/>
              <w:rPr>
                <w:rFonts w:hint="default"/>
                <w:color w:val="auto"/>
                <w:highlight w:val="none"/>
                <w:lang w:val="en-US" w:eastAsia="zh-CN"/>
              </w:rPr>
            </w:pPr>
            <w:r>
              <w:rPr>
                <w:rFonts w:hint="eastAsia"/>
                <w:color w:val="auto"/>
                <w:highlight w:val="none"/>
                <w:lang w:val="en-US" w:eastAsia="zh-CN"/>
              </w:rPr>
              <w:t>本项目位于</w:t>
            </w:r>
            <w:r>
              <w:rPr>
                <w:rFonts w:hint="eastAsia" w:cs="Times New Roman"/>
                <w:i w:val="0"/>
                <w:iCs w:val="0"/>
                <w:color w:val="auto"/>
                <w:sz w:val="24"/>
                <w:szCs w:val="24"/>
                <w:highlight w:val="none"/>
                <w:u w:val="none"/>
                <w:lang w:val="en-US" w:eastAsia="zh-CN"/>
              </w:rPr>
              <w:t>云南易门产业园区大椿树片区</w:t>
            </w:r>
            <w:r>
              <w:rPr>
                <w:rFonts w:hint="eastAsia"/>
                <w:color w:val="auto"/>
                <w:highlight w:val="none"/>
                <w:lang w:val="en-US" w:eastAsia="zh-CN"/>
              </w:rPr>
              <w:t>。大椿树片区产业定位为循环经济产业示范区</w:t>
            </w:r>
            <w:r>
              <w:rPr>
                <w:color w:val="auto"/>
                <w:highlight w:val="none"/>
              </w:rPr>
              <w:t>，重点发展</w:t>
            </w:r>
            <w:r>
              <w:rPr>
                <w:rFonts w:hint="eastAsia"/>
                <w:color w:val="auto"/>
                <w:highlight w:val="none"/>
                <w:lang w:val="en-US" w:eastAsia="zh-CN"/>
              </w:rPr>
              <w:t>有色金属产业（以稀贵金属和铜为重点）、绿色建材产业（以水泥及制品为主体，以陶瓷建材为特点），并综合发展现代物流产业、固废综合利用产业等。充分结合产业之间的资源共享，提升资源综合利用率，发展多种产业互补的循环产业。</w:t>
            </w:r>
          </w:p>
          <w:p>
            <w:pPr>
              <w:bidi w:val="0"/>
              <w:rPr>
                <w:rFonts w:hint="default"/>
                <w:color w:val="auto"/>
                <w:highlight w:val="none"/>
                <w:lang w:eastAsia="zh-CN"/>
              </w:rPr>
            </w:pPr>
            <w:r>
              <w:rPr>
                <w:rFonts w:hint="eastAsia" w:ascii="Times New Roman" w:hAnsi="Times New Roman" w:cs="Times New Roman"/>
                <w:caps w:val="0"/>
                <w:smallCaps w:val="0"/>
                <w:color w:val="auto"/>
                <w:kern w:val="2"/>
                <w:sz w:val="24"/>
                <w:szCs w:val="24"/>
                <w:highlight w:val="none"/>
                <w:lang w:val="en-US" w:eastAsia="zh-CN" w:bidi="ar-SA"/>
              </w:rPr>
              <w:t>本项目</w:t>
            </w:r>
            <w:r>
              <w:rPr>
                <w:rFonts w:hint="eastAsia" w:ascii="Times New Roman" w:hAnsi="Times New Roman" w:eastAsia="宋体" w:cs="Times New Roman"/>
                <w:caps w:val="0"/>
                <w:smallCaps w:val="0"/>
                <w:color w:val="auto"/>
                <w:kern w:val="2"/>
                <w:sz w:val="24"/>
                <w:szCs w:val="24"/>
                <w:highlight w:val="none"/>
                <w:lang w:val="en-US" w:eastAsia="zh-CN" w:bidi="ar-SA"/>
              </w:rPr>
              <w:t>属于改建项目，在既有厂区</w:t>
            </w:r>
            <w:r>
              <w:rPr>
                <w:rFonts w:hint="eastAsia" w:ascii="Times New Roman" w:hAnsi="Times New Roman" w:cs="Times New Roman"/>
                <w:caps w:val="0"/>
                <w:smallCaps w:val="0"/>
                <w:color w:val="auto"/>
                <w:kern w:val="2"/>
                <w:sz w:val="24"/>
                <w:szCs w:val="24"/>
                <w:highlight w:val="none"/>
                <w:lang w:val="en-US" w:eastAsia="zh-CN" w:bidi="ar-SA"/>
              </w:rPr>
              <w:t>内</w:t>
            </w:r>
            <w:r>
              <w:rPr>
                <w:rFonts w:hint="eastAsia" w:ascii="Times New Roman" w:hAnsi="Times New Roman" w:eastAsia="宋体" w:cs="Times New Roman"/>
                <w:caps w:val="0"/>
                <w:smallCaps w:val="0"/>
                <w:color w:val="auto"/>
                <w:kern w:val="2"/>
                <w:sz w:val="24"/>
                <w:szCs w:val="24"/>
                <w:highlight w:val="none"/>
                <w:lang w:val="en-US" w:eastAsia="zh-CN" w:bidi="ar-SA"/>
              </w:rPr>
              <w:t>进行改建，不新增占地，根据大椿树片区用地规划，</w:t>
            </w:r>
            <w:r>
              <w:rPr>
                <w:rFonts w:hint="default" w:ascii="Times New Roman" w:hAnsi="Times New Roman" w:eastAsia="宋体" w:cs="Times New Roman"/>
                <w:caps w:val="0"/>
                <w:smallCaps w:val="0"/>
                <w:color w:val="auto"/>
                <w:sz w:val="24"/>
                <w:szCs w:val="24"/>
                <w:highlight w:val="none"/>
              </w:rPr>
              <w:t>用地性质为工业用地，符合用地布局要求；</w:t>
            </w:r>
            <w:r>
              <w:rPr>
                <w:rFonts w:hint="eastAsia" w:ascii="Times New Roman" w:hAnsi="Times New Roman" w:eastAsia="宋体" w:cs="Times New Roman"/>
                <w:caps w:val="0"/>
                <w:smallCaps w:val="0"/>
                <w:color w:val="auto"/>
                <w:kern w:val="2"/>
                <w:sz w:val="24"/>
                <w:szCs w:val="24"/>
                <w:highlight w:val="none"/>
                <w:lang w:val="en-US" w:eastAsia="zh-CN" w:bidi="ar-SA"/>
              </w:rPr>
              <w:t>易门铜业有限公司主要从事铜矿有色金属冶炼，本项目为</w:t>
            </w:r>
            <w:r>
              <w:rPr>
                <w:rFonts w:hint="eastAsia"/>
                <w:color w:val="auto"/>
                <w:highlight w:val="none"/>
                <w:lang w:val="en-US" w:eastAsia="zh-CN"/>
              </w:rPr>
              <w:t>制氧系统技术改造节能项目，属于易门铜业有限公司铜冶炼配套公用工程</w:t>
            </w:r>
            <w:r>
              <w:rPr>
                <w:rFonts w:hint="default" w:ascii="Times New Roman" w:hAnsi="Times New Roman" w:eastAsia="宋体" w:cs="Times New Roman"/>
                <w:caps w:val="0"/>
                <w:smallCaps w:val="0"/>
                <w:color w:val="auto"/>
                <w:kern w:val="2"/>
                <w:sz w:val="24"/>
                <w:szCs w:val="24"/>
                <w:highlight w:val="none"/>
                <w:lang w:val="en-US" w:eastAsia="zh-CN" w:bidi="ar-SA"/>
              </w:rPr>
              <w:t>，符合</w:t>
            </w:r>
            <w:r>
              <w:rPr>
                <w:rFonts w:hint="eastAsia" w:ascii="Times New Roman" w:hAnsi="Times New Roman" w:eastAsia="宋体" w:cs="Times New Roman"/>
                <w:caps w:val="0"/>
                <w:smallCaps w:val="0"/>
                <w:color w:val="auto"/>
                <w:sz w:val="24"/>
                <w:highlight w:val="none"/>
                <w:lang w:val="en-US" w:eastAsia="zh-CN"/>
              </w:rPr>
              <w:t>大椿树</w:t>
            </w:r>
            <w:r>
              <w:rPr>
                <w:rFonts w:hint="default" w:ascii="Times New Roman" w:hAnsi="Times New Roman" w:eastAsia="宋体" w:cs="Times New Roman"/>
                <w:caps w:val="0"/>
                <w:smallCaps w:val="0"/>
                <w:color w:val="auto"/>
                <w:sz w:val="24"/>
                <w:highlight w:val="none"/>
                <w:lang w:val="en-US" w:eastAsia="zh-CN"/>
              </w:rPr>
              <w:t>片区重点</w:t>
            </w:r>
            <w:r>
              <w:rPr>
                <w:rFonts w:hint="eastAsia" w:ascii="Times New Roman" w:hAnsi="Times New Roman" w:eastAsia="宋体" w:cs="Times New Roman"/>
                <w:caps w:val="0"/>
                <w:smallCaps w:val="0"/>
                <w:color w:val="auto"/>
                <w:sz w:val="24"/>
                <w:highlight w:val="none"/>
                <w:lang w:val="en-US" w:eastAsia="zh-CN"/>
              </w:rPr>
              <w:t>有色金属产业</w:t>
            </w:r>
            <w:r>
              <w:rPr>
                <w:rFonts w:hint="default" w:ascii="Times New Roman" w:hAnsi="Times New Roman" w:eastAsia="宋体" w:cs="Times New Roman"/>
                <w:caps w:val="0"/>
                <w:smallCaps w:val="0"/>
                <w:color w:val="auto"/>
                <w:sz w:val="24"/>
                <w:highlight w:val="none"/>
                <w:lang w:val="en-US" w:eastAsia="zh-CN"/>
              </w:rPr>
              <w:t>（</w:t>
            </w:r>
            <w:r>
              <w:rPr>
                <w:rFonts w:hint="eastAsia" w:ascii="Times New Roman" w:hAnsi="Times New Roman" w:eastAsia="宋体" w:cs="Times New Roman"/>
                <w:caps w:val="0"/>
                <w:smallCaps w:val="0"/>
                <w:color w:val="auto"/>
                <w:sz w:val="24"/>
                <w:highlight w:val="none"/>
                <w:lang w:val="en-US" w:eastAsia="zh-CN"/>
              </w:rPr>
              <w:t>以稀贵金属和铜产业为重点</w:t>
            </w:r>
            <w:r>
              <w:rPr>
                <w:rFonts w:hint="default" w:ascii="Times New Roman" w:hAnsi="Times New Roman" w:eastAsia="宋体" w:cs="Times New Roman"/>
                <w:caps w:val="0"/>
                <w:smallCaps w:val="0"/>
                <w:color w:val="auto"/>
                <w:sz w:val="24"/>
                <w:highlight w:val="none"/>
                <w:lang w:val="en-US" w:eastAsia="zh-CN"/>
              </w:rPr>
              <w:t>）的产业定位及发展方向</w:t>
            </w:r>
            <w:r>
              <w:rPr>
                <w:rFonts w:hint="default" w:ascii="Times New Roman" w:hAnsi="Times New Roman" w:eastAsia="宋体" w:cs="Times New Roman"/>
                <w:caps w:val="0"/>
                <w:smallCaps w:val="0"/>
                <w:color w:val="auto"/>
                <w:sz w:val="24"/>
                <w:szCs w:val="24"/>
                <w:highlight w:val="none"/>
              </w:rPr>
              <w:t>，</w:t>
            </w:r>
            <w:r>
              <w:rPr>
                <w:rFonts w:hint="eastAsia"/>
                <w:color w:val="auto"/>
                <w:highlight w:val="none"/>
                <w:lang w:eastAsia="zh-CN"/>
              </w:rPr>
              <w:t>且</w:t>
            </w:r>
            <w:r>
              <w:rPr>
                <w:rFonts w:hint="eastAsia"/>
                <w:color w:val="auto"/>
                <w:highlight w:val="none"/>
              </w:rPr>
              <w:t>项目已取得</w:t>
            </w:r>
            <w:r>
              <w:rPr>
                <w:rFonts w:hint="eastAsia" w:cs="Times New Roman"/>
                <w:i w:val="0"/>
                <w:iCs w:val="0"/>
                <w:color w:val="auto"/>
                <w:sz w:val="24"/>
                <w:szCs w:val="24"/>
                <w:highlight w:val="none"/>
                <w:u w:val="none"/>
                <w:lang w:val="en-US" w:eastAsia="zh-CN"/>
              </w:rPr>
              <w:t>云南易门产业园区</w:t>
            </w:r>
            <w:r>
              <w:rPr>
                <w:rFonts w:hint="eastAsia"/>
                <w:color w:val="auto"/>
                <w:highlight w:val="none"/>
              </w:rPr>
              <w:t>管理委</w:t>
            </w:r>
            <w:r>
              <w:rPr>
                <w:rFonts w:hint="eastAsia"/>
                <w:color w:val="auto"/>
                <w:highlight w:val="none"/>
                <w:lang w:eastAsia="zh-CN"/>
              </w:rPr>
              <w:t>员会</w:t>
            </w:r>
            <w:r>
              <w:rPr>
                <w:rFonts w:hint="eastAsia"/>
                <w:color w:val="auto"/>
                <w:highlight w:val="none"/>
                <w:lang w:val="en-US" w:eastAsia="zh-CN"/>
              </w:rPr>
              <w:t>出具的</w:t>
            </w:r>
            <w:r>
              <w:rPr>
                <w:rFonts w:hint="eastAsia"/>
                <w:color w:val="auto"/>
                <w:highlight w:val="none"/>
              </w:rPr>
              <w:t>“</w:t>
            </w:r>
            <w:r>
              <w:rPr>
                <w:rFonts w:hint="eastAsia"/>
                <w:color w:val="auto"/>
                <w:highlight w:val="none"/>
                <w:lang w:val="en-US" w:eastAsia="zh-CN"/>
              </w:rPr>
              <w:t>关于易门铜业有限公司制氧系统技术改造节能项目入园的复函</w:t>
            </w:r>
            <w:r>
              <w:rPr>
                <w:rFonts w:hint="eastAsia"/>
                <w:color w:val="auto"/>
                <w:highlight w:val="none"/>
              </w:rPr>
              <w:t>”</w:t>
            </w:r>
            <w:r>
              <w:rPr>
                <w:rFonts w:hint="eastAsia"/>
                <w:color w:val="auto"/>
                <w:highlight w:val="none"/>
                <w:lang w:eastAsia="zh-CN"/>
              </w:rPr>
              <w:t>，</w:t>
            </w:r>
            <w:r>
              <w:rPr>
                <w:rFonts w:hint="eastAsia"/>
                <w:color w:val="auto"/>
                <w:highlight w:val="none"/>
                <w:lang w:val="en-US" w:eastAsia="zh-CN"/>
              </w:rPr>
              <w:t>同意项目入园</w:t>
            </w:r>
            <w:r>
              <w:rPr>
                <w:rFonts w:hint="eastAsia"/>
                <w:color w:val="auto"/>
                <w:highlight w:val="none"/>
                <w:lang w:eastAsia="zh-CN"/>
              </w:rPr>
              <w:t>（</w:t>
            </w:r>
            <w:r>
              <w:rPr>
                <w:rFonts w:hint="eastAsia"/>
                <w:color w:val="auto"/>
                <w:highlight w:val="none"/>
                <w:lang w:val="en-US" w:eastAsia="zh-CN"/>
              </w:rPr>
              <w:t>详</w:t>
            </w:r>
            <w:r>
              <w:rPr>
                <w:rFonts w:hint="eastAsia"/>
                <w:color w:val="auto"/>
                <w:highlight w:val="none"/>
              </w:rPr>
              <w:t>见相关附件</w:t>
            </w:r>
            <w:r>
              <w:rPr>
                <w:rFonts w:hint="eastAsia"/>
                <w:color w:val="auto"/>
                <w:highlight w:val="none"/>
                <w:lang w:eastAsia="zh-CN"/>
              </w:rPr>
              <w:t>）</w:t>
            </w:r>
            <w:r>
              <w:rPr>
                <w:rFonts w:hint="eastAsia"/>
                <w:color w:val="auto"/>
                <w:highlight w:val="none"/>
              </w:rPr>
              <w:t>。因此</w:t>
            </w:r>
            <w:r>
              <w:rPr>
                <w:rFonts w:hint="eastAsia"/>
                <w:color w:val="auto"/>
                <w:highlight w:val="none"/>
                <w:lang w:eastAsia="zh-CN"/>
              </w:rPr>
              <w:t>，</w:t>
            </w:r>
            <w:r>
              <w:rPr>
                <w:rFonts w:hint="eastAsia"/>
                <w:color w:val="auto"/>
                <w:highlight w:val="none"/>
              </w:rPr>
              <w:t>本项目</w:t>
            </w:r>
            <w:r>
              <w:rPr>
                <w:rFonts w:hint="eastAsia"/>
                <w:color w:val="auto"/>
                <w:highlight w:val="none"/>
                <w:lang w:val="en-US" w:eastAsia="zh-CN"/>
              </w:rPr>
              <w:t>的建设</w:t>
            </w:r>
            <w:r>
              <w:rPr>
                <w:color w:val="auto"/>
                <w:highlight w:val="none"/>
              </w:rPr>
              <w:t>符合</w:t>
            </w:r>
            <w:r>
              <w:rPr>
                <w:rFonts w:hint="eastAsia"/>
                <w:color w:val="auto"/>
                <w:highlight w:val="none"/>
                <w:lang w:val="en-US" w:eastAsia="zh-CN"/>
              </w:rPr>
              <w:t>云南易门产业</w:t>
            </w:r>
            <w:r>
              <w:rPr>
                <w:rFonts w:hint="eastAsia"/>
                <w:color w:val="auto"/>
                <w:highlight w:val="none"/>
              </w:rPr>
              <w:t>园区</w:t>
            </w:r>
            <w:r>
              <w:rPr>
                <w:rFonts w:hint="eastAsia"/>
                <w:color w:val="auto"/>
                <w:highlight w:val="none"/>
                <w:lang w:val="en-US" w:eastAsia="zh-CN"/>
              </w:rPr>
              <w:t>相关</w:t>
            </w:r>
            <w:r>
              <w:rPr>
                <w:color w:val="auto"/>
                <w:highlight w:val="none"/>
              </w:rPr>
              <w:t>规划要求。</w:t>
            </w:r>
          </w:p>
          <w:p>
            <w:pPr>
              <w:pStyle w:val="40"/>
              <w:bidi w:val="0"/>
              <w:rPr>
                <w:rFonts w:hint="default"/>
                <w:color w:val="auto"/>
                <w:highlight w:val="none"/>
                <w:lang w:eastAsia="zh-CN"/>
              </w:rPr>
            </w:pPr>
            <w:r>
              <w:rPr>
                <w:rFonts w:hint="eastAsia"/>
                <w:color w:val="auto"/>
                <w:highlight w:val="none"/>
                <w:lang w:val="en-US" w:eastAsia="zh-CN"/>
              </w:rPr>
              <w:t>2、</w:t>
            </w:r>
            <w:r>
              <w:rPr>
                <w:color w:val="auto"/>
                <w:highlight w:val="none"/>
              </w:rPr>
              <w:t>与《</w:t>
            </w:r>
            <w:r>
              <w:rPr>
                <w:rFonts w:hint="default"/>
                <w:color w:val="auto"/>
                <w:highlight w:val="none"/>
                <w:lang w:eastAsia="zh-CN"/>
              </w:rPr>
              <w:t>云南</w:t>
            </w:r>
            <w:r>
              <w:rPr>
                <w:rFonts w:hint="eastAsia"/>
                <w:color w:val="auto"/>
                <w:highlight w:val="none"/>
                <w:lang w:val="en-US" w:eastAsia="zh-CN"/>
              </w:rPr>
              <w:t>易门</w:t>
            </w:r>
            <w:r>
              <w:rPr>
                <w:rFonts w:hint="default"/>
                <w:color w:val="auto"/>
                <w:highlight w:val="none"/>
                <w:lang w:eastAsia="zh-CN"/>
              </w:rPr>
              <w:t>产业园区总体规划（修编）</w:t>
            </w:r>
            <w:r>
              <w:rPr>
                <w:rFonts w:hint="eastAsia"/>
                <w:color w:val="auto"/>
                <w:highlight w:val="none"/>
                <w:lang w:eastAsia="zh-CN"/>
              </w:rPr>
              <w:t>（</w:t>
            </w:r>
            <w:r>
              <w:rPr>
                <w:rFonts w:hint="eastAsia"/>
                <w:color w:val="auto"/>
                <w:highlight w:val="none"/>
                <w:lang w:val="en-US" w:eastAsia="zh-CN"/>
              </w:rPr>
              <w:t>2021-2035</w:t>
            </w:r>
            <w:r>
              <w:rPr>
                <w:rFonts w:hint="eastAsia"/>
                <w:color w:val="auto"/>
                <w:highlight w:val="none"/>
                <w:lang w:eastAsia="zh-CN"/>
              </w:rPr>
              <w:t>）</w:t>
            </w:r>
            <w:r>
              <w:rPr>
                <w:color w:val="auto"/>
                <w:highlight w:val="none"/>
              </w:rPr>
              <w:t>环境影响报告书》</w:t>
            </w:r>
            <w:r>
              <w:rPr>
                <w:rFonts w:hint="eastAsia"/>
                <w:color w:val="auto"/>
                <w:highlight w:val="none"/>
                <w:lang w:val="en-US" w:eastAsia="zh-CN"/>
              </w:rPr>
              <w:t>及审查意见的</w:t>
            </w:r>
            <w:r>
              <w:rPr>
                <w:color w:val="auto"/>
                <w:highlight w:val="none"/>
              </w:rPr>
              <w:t>符合性分析</w:t>
            </w:r>
          </w:p>
          <w:p>
            <w:pPr>
              <w:bidi w:val="0"/>
              <w:rPr>
                <w:rFonts w:hint="default"/>
                <w:color w:val="auto"/>
                <w:highlight w:val="none"/>
                <w:lang w:val="en-US" w:eastAsia="zh-CN"/>
              </w:rPr>
            </w:pPr>
            <w:r>
              <w:rPr>
                <w:rFonts w:hint="eastAsia" w:ascii="黑体" w:hAnsi="黑体" w:eastAsia="黑体" w:cs="黑体"/>
                <w:color w:val="auto"/>
                <w:highlight w:val="none"/>
                <w:lang w:val="en-US" w:eastAsia="zh-CN"/>
              </w:rPr>
              <w:t>（1）与</w:t>
            </w:r>
            <w:r>
              <w:rPr>
                <w:rFonts w:hint="eastAsia" w:ascii="黑体" w:hAnsi="黑体" w:eastAsia="黑体" w:cs="黑体"/>
                <w:color w:val="auto"/>
                <w:highlight w:val="none"/>
              </w:rPr>
              <w:t>《</w:t>
            </w:r>
            <w:r>
              <w:rPr>
                <w:rFonts w:hint="eastAsia" w:ascii="黑体" w:hAnsi="黑体" w:eastAsia="黑体" w:cs="黑体"/>
                <w:color w:val="auto"/>
                <w:highlight w:val="none"/>
                <w:lang w:eastAsia="zh-CN"/>
              </w:rPr>
              <w:t>云南</w:t>
            </w:r>
            <w:r>
              <w:rPr>
                <w:rFonts w:hint="eastAsia" w:ascii="黑体" w:hAnsi="黑体" w:eastAsia="黑体" w:cs="黑体"/>
                <w:color w:val="auto"/>
                <w:highlight w:val="none"/>
                <w:lang w:val="en-US" w:eastAsia="zh-CN"/>
              </w:rPr>
              <w:t>易门</w:t>
            </w:r>
            <w:r>
              <w:rPr>
                <w:rFonts w:hint="eastAsia" w:ascii="黑体" w:hAnsi="黑体" w:eastAsia="黑体" w:cs="黑体"/>
                <w:color w:val="auto"/>
                <w:highlight w:val="none"/>
                <w:lang w:eastAsia="zh-CN"/>
              </w:rPr>
              <w:t>产业园区总体规划（</w:t>
            </w:r>
            <w:r>
              <w:rPr>
                <w:rFonts w:hint="eastAsia" w:ascii="黑体" w:hAnsi="黑体" w:eastAsia="黑体" w:cs="黑体"/>
                <w:color w:val="auto"/>
                <w:highlight w:val="none"/>
              </w:rPr>
              <w:t>修编</w:t>
            </w:r>
            <w:r>
              <w:rPr>
                <w:rFonts w:hint="eastAsia" w:ascii="黑体" w:hAnsi="黑体" w:eastAsia="黑体" w:cs="黑体"/>
                <w:color w:val="auto"/>
                <w:highlight w:val="none"/>
                <w:lang w:eastAsia="zh-CN"/>
              </w:rPr>
              <w:t>）</w:t>
            </w:r>
            <w:r>
              <w:rPr>
                <w:rFonts w:hint="eastAsia" w:ascii="黑体" w:hAnsi="黑体" w:eastAsia="黑体" w:cs="黑体"/>
                <w:color w:val="auto"/>
                <w:highlight w:val="none"/>
              </w:rPr>
              <w:t>（2021</w:t>
            </w:r>
            <w:r>
              <w:rPr>
                <w:rFonts w:hint="eastAsia" w:ascii="黑体" w:hAnsi="黑体" w:eastAsia="黑体" w:cs="黑体"/>
                <w:color w:val="auto"/>
                <w:highlight w:val="none"/>
                <w:lang w:val="en-US" w:eastAsia="zh-CN"/>
              </w:rPr>
              <w:t>-</w:t>
            </w:r>
            <w:r>
              <w:rPr>
                <w:rFonts w:hint="eastAsia" w:ascii="黑体" w:hAnsi="黑体" w:eastAsia="黑体" w:cs="黑体"/>
                <w:color w:val="auto"/>
                <w:highlight w:val="none"/>
              </w:rPr>
              <w:t>2035年）环境影响报告书》</w:t>
            </w:r>
            <w:r>
              <w:rPr>
                <w:rFonts w:hint="eastAsia" w:ascii="黑体" w:hAnsi="黑体" w:eastAsia="黑体" w:cs="黑体"/>
                <w:color w:val="auto"/>
                <w:highlight w:val="none"/>
                <w:lang w:val="en-US" w:eastAsia="zh-CN"/>
              </w:rPr>
              <w:t>的</w:t>
            </w:r>
            <w:r>
              <w:rPr>
                <w:rFonts w:hint="eastAsia" w:ascii="黑体" w:hAnsi="黑体" w:eastAsia="黑体" w:cs="黑体"/>
                <w:color w:val="auto"/>
                <w:highlight w:val="none"/>
              </w:rPr>
              <w:t>符合性分析</w:t>
            </w:r>
          </w:p>
          <w:p>
            <w:pPr>
              <w:bidi w:val="0"/>
              <w:rPr>
                <w:rFonts w:hint="default" w:eastAsia="宋体"/>
                <w:color w:val="auto"/>
                <w:highlight w:val="none"/>
                <w:lang w:val="en-US" w:eastAsia="zh-CN"/>
              </w:rPr>
            </w:pPr>
            <w:r>
              <w:rPr>
                <w:rFonts w:hint="eastAsia"/>
                <w:color w:val="auto"/>
                <w:highlight w:val="none"/>
                <w:lang w:val="en-US" w:eastAsia="zh-CN"/>
              </w:rPr>
              <w:t>本项目与</w:t>
            </w:r>
            <w:r>
              <w:rPr>
                <w:color w:val="auto"/>
                <w:highlight w:val="none"/>
              </w:rPr>
              <w:t>《</w:t>
            </w:r>
            <w:r>
              <w:rPr>
                <w:rFonts w:hint="eastAsia"/>
                <w:color w:val="auto"/>
                <w:highlight w:val="none"/>
                <w:lang w:eastAsia="zh-CN"/>
              </w:rPr>
              <w:t>云南</w:t>
            </w:r>
            <w:r>
              <w:rPr>
                <w:rFonts w:hint="eastAsia"/>
                <w:color w:val="auto"/>
                <w:highlight w:val="none"/>
                <w:lang w:val="en-US" w:eastAsia="zh-CN"/>
              </w:rPr>
              <w:t>易门</w:t>
            </w:r>
            <w:r>
              <w:rPr>
                <w:rFonts w:hint="eastAsia"/>
                <w:color w:val="auto"/>
                <w:highlight w:val="none"/>
                <w:lang w:eastAsia="zh-CN"/>
              </w:rPr>
              <w:t>产业园区总体规划（</w:t>
            </w:r>
            <w:r>
              <w:rPr>
                <w:rFonts w:hint="eastAsia"/>
                <w:color w:val="auto"/>
                <w:highlight w:val="none"/>
              </w:rPr>
              <w:t>修编</w:t>
            </w:r>
            <w:r>
              <w:rPr>
                <w:rFonts w:hint="eastAsia"/>
                <w:color w:val="auto"/>
                <w:highlight w:val="none"/>
                <w:lang w:eastAsia="zh-CN"/>
              </w:rPr>
              <w:t>）</w:t>
            </w:r>
            <w:r>
              <w:rPr>
                <w:color w:val="auto"/>
                <w:highlight w:val="none"/>
              </w:rPr>
              <w:t>（2021</w:t>
            </w:r>
            <w:r>
              <w:rPr>
                <w:rFonts w:hint="eastAsia"/>
                <w:color w:val="auto"/>
                <w:highlight w:val="none"/>
                <w:lang w:val="en-US" w:eastAsia="zh-CN"/>
              </w:rPr>
              <w:t>-</w:t>
            </w:r>
            <w:r>
              <w:rPr>
                <w:color w:val="auto"/>
                <w:highlight w:val="none"/>
              </w:rPr>
              <w:t>2035年）环境影响报告书》</w:t>
            </w:r>
            <w:r>
              <w:rPr>
                <w:rFonts w:hint="eastAsia"/>
                <w:color w:val="auto"/>
                <w:highlight w:val="none"/>
                <w:lang w:val="en-US" w:eastAsia="zh-CN"/>
              </w:rPr>
              <w:t>相关内容的符合性分析如下：</w:t>
            </w:r>
          </w:p>
          <w:p>
            <w:pPr>
              <w:pStyle w:val="35"/>
              <w:bidi w:val="0"/>
              <w:rPr>
                <w:rFonts w:hint="default"/>
                <w:color w:val="auto"/>
                <w:highlight w:val="none"/>
                <w:lang w:val="en-US" w:eastAsia="zh-CN"/>
              </w:rPr>
            </w:pPr>
            <w:r>
              <w:rPr>
                <w:rFonts w:hint="eastAsia"/>
                <w:color w:val="auto"/>
                <w:highlight w:val="none"/>
                <w:lang w:val="en-US" w:eastAsia="zh-CN"/>
              </w:rPr>
              <w:t>表1-2  本项目与“规划环评”相关内容的符合性分析一览表</w:t>
            </w:r>
          </w:p>
          <w:tbl>
            <w:tblPr>
              <w:tblStyle w:val="23"/>
              <w:tblW w:w="704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3"/>
              <w:gridCol w:w="380"/>
              <w:gridCol w:w="3474"/>
              <w:gridCol w:w="2042"/>
              <w:gridCol w:w="7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013" w:type="pct"/>
                  <w:gridSpan w:val="3"/>
                  <w:tcBorders>
                    <w:tl2br w:val="nil"/>
                    <w:tr2bl w:val="nil"/>
                  </w:tcBorders>
                  <w:noWrap w:val="0"/>
                  <w:vAlign w:val="center"/>
                </w:tcPr>
                <w:p>
                  <w:pPr>
                    <w:pStyle w:val="34"/>
                    <w:bidi w:val="0"/>
                    <w:rPr>
                      <w:rFonts w:hint="default"/>
                      <w:color w:val="auto"/>
                      <w:highlight w:val="none"/>
                    </w:rPr>
                  </w:pPr>
                  <w:r>
                    <w:rPr>
                      <w:rFonts w:hint="default"/>
                      <w:color w:val="auto"/>
                      <w:highlight w:val="none"/>
                    </w:rPr>
                    <w:t>规划环评要求</w:t>
                  </w:r>
                </w:p>
              </w:tc>
              <w:tc>
                <w:tcPr>
                  <w:tcW w:w="1449"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本项目情况</w:t>
                  </w:r>
                </w:p>
              </w:tc>
              <w:tc>
                <w:tcPr>
                  <w:tcW w:w="537" w:type="pct"/>
                  <w:tcBorders>
                    <w:tl2br w:val="nil"/>
                    <w:tr2bl w:val="nil"/>
                  </w:tcBorders>
                  <w:noWrap w:val="0"/>
                  <w:vAlign w:val="center"/>
                </w:tcPr>
                <w:p>
                  <w:pPr>
                    <w:pStyle w:val="34"/>
                    <w:bidi w:val="0"/>
                    <w:rPr>
                      <w:rFonts w:hint="default"/>
                      <w:color w:val="auto"/>
                      <w:highlight w:val="none"/>
                    </w:rPr>
                  </w:pPr>
                  <w:r>
                    <w:rPr>
                      <w:rFonts w:hint="default"/>
                      <w:color w:val="auto"/>
                      <w:highlight w:val="none"/>
                      <w:lang w:val="en-US" w:eastAsia="zh-CN"/>
                    </w:rPr>
                    <w:t>符合</w:t>
                  </w:r>
                  <w:r>
                    <w:rPr>
                      <w:rFonts w:hint="default"/>
                      <w:color w:val="auto"/>
                      <w:highlight w:val="none"/>
                    </w:rPr>
                    <w:t>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pct"/>
                  <w:tcBorders>
                    <w:tl2br w:val="nil"/>
                    <w:tr2bl w:val="nil"/>
                  </w:tcBorders>
                  <w:noWrap w:val="0"/>
                  <w:vAlign w:val="center"/>
                </w:tcPr>
                <w:p>
                  <w:pPr>
                    <w:pStyle w:val="34"/>
                    <w:bidi w:val="0"/>
                    <w:rPr>
                      <w:rFonts w:hint="eastAsia"/>
                      <w:color w:val="auto"/>
                      <w:highlight w:val="none"/>
                      <w:lang w:val="zh-CN" w:eastAsia="zh-CN"/>
                    </w:rPr>
                  </w:pPr>
                  <w:r>
                    <w:rPr>
                      <w:rFonts w:hint="eastAsia"/>
                      <w:color w:val="auto"/>
                      <w:highlight w:val="none"/>
                      <w:lang w:eastAsia="zh-CN"/>
                    </w:rPr>
                    <w:t>园区企业管理</w:t>
                  </w:r>
                </w:p>
              </w:tc>
              <w:tc>
                <w:tcPr>
                  <w:tcW w:w="2734" w:type="pct"/>
                  <w:gridSpan w:val="2"/>
                  <w:tcBorders>
                    <w:tl2br w:val="nil"/>
                    <w:tr2bl w:val="nil"/>
                  </w:tcBorders>
                  <w:noWrap w:val="0"/>
                  <w:vAlign w:val="center"/>
                </w:tcPr>
                <w:p>
                  <w:pPr>
                    <w:pStyle w:val="34"/>
                    <w:bidi w:val="0"/>
                    <w:rPr>
                      <w:rFonts w:hint="default"/>
                      <w:color w:val="auto"/>
                      <w:highlight w:val="none"/>
                      <w:lang w:val="zh-CN"/>
                    </w:rPr>
                  </w:pPr>
                  <w:r>
                    <w:rPr>
                      <w:rFonts w:hint="eastAsia"/>
                      <w:color w:val="auto"/>
                      <w:highlight w:val="none"/>
                      <w:lang w:val="zh-CN"/>
                    </w:rPr>
                    <w:t>科学筛选入园项目：对入园企业进行严格筛选，要求入园企业不仅应具有市场潜力大、产业联动效果好、高技术、高附加值的特点，还必须是低污染、低耗能的企业。不符合产业政策、不符合园区规划的行业、达不到规定的清洁生产水平的企业严禁入园。</w:t>
                  </w:r>
                </w:p>
              </w:tc>
              <w:tc>
                <w:tcPr>
                  <w:tcW w:w="1449" w:type="pct"/>
                  <w:tcBorders>
                    <w:tl2br w:val="nil"/>
                    <w:tr2bl w:val="nil"/>
                  </w:tcBorders>
                  <w:noWrap w:val="0"/>
                  <w:vAlign w:val="center"/>
                </w:tcPr>
                <w:p>
                  <w:pPr>
                    <w:pStyle w:val="34"/>
                    <w:bidi w:val="0"/>
                    <w:rPr>
                      <w:rFonts w:hint="default"/>
                      <w:color w:val="auto"/>
                      <w:highlight w:val="none"/>
                      <w:lang w:val="zh-CN"/>
                    </w:rPr>
                  </w:pPr>
                  <w:r>
                    <w:rPr>
                      <w:rFonts w:hint="eastAsia"/>
                      <w:color w:val="auto"/>
                      <w:highlight w:val="none"/>
                      <w:lang w:val="en-US" w:eastAsia="zh-CN"/>
                    </w:rPr>
                    <w:t>本项目为易门铜业有限公司制氧系统技术改造节能项目，易门铜业有限公司主要从事铜矿冶炼，</w:t>
                  </w:r>
                  <w:r>
                    <w:rPr>
                      <w:rFonts w:hint="default"/>
                      <w:color w:val="auto"/>
                      <w:highlight w:val="none"/>
                      <w:lang w:val="en-US" w:eastAsia="zh-CN"/>
                    </w:rPr>
                    <w:t>符合</w:t>
                  </w:r>
                  <w:r>
                    <w:rPr>
                      <w:rFonts w:hint="eastAsia"/>
                      <w:color w:val="auto"/>
                      <w:highlight w:val="none"/>
                      <w:lang w:val="en-US" w:eastAsia="zh-CN"/>
                    </w:rPr>
                    <w:t>大椿树</w:t>
                  </w:r>
                  <w:r>
                    <w:rPr>
                      <w:rFonts w:hint="default"/>
                      <w:color w:val="auto"/>
                      <w:highlight w:val="none"/>
                      <w:lang w:val="en-US" w:eastAsia="zh-CN"/>
                    </w:rPr>
                    <w:t>片区产业定位</w:t>
                  </w:r>
                  <w:r>
                    <w:rPr>
                      <w:rFonts w:hint="eastAsia"/>
                      <w:color w:val="auto"/>
                      <w:highlight w:val="none"/>
                      <w:lang w:val="en-US" w:eastAsia="zh-CN"/>
                    </w:rPr>
                    <w:t>要求，且项目已取得云南易门产业园区管理委员会出具的“关于易门铜业有限公司制氧系统技术改造节能项目入园的复函”，同意项目入园</w:t>
                  </w:r>
                  <w:r>
                    <w:rPr>
                      <w:rFonts w:hint="default"/>
                      <w:color w:val="auto"/>
                      <w:highlight w:val="none"/>
                      <w:lang w:val="en-US" w:eastAsia="zh-CN"/>
                    </w:rPr>
                    <w:t>。</w:t>
                  </w:r>
                </w:p>
              </w:tc>
              <w:tc>
                <w:tcPr>
                  <w:tcW w:w="537"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pct"/>
                  <w:vMerge w:val="restar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环境准入</w:t>
                  </w:r>
                </w:p>
              </w:tc>
              <w:tc>
                <w:tcPr>
                  <w:tcW w:w="269" w:type="pct"/>
                  <w:vMerge w:val="restart"/>
                  <w:tcBorders>
                    <w:tl2br w:val="nil"/>
                    <w:tr2bl w:val="nil"/>
                  </w:tcBorders>
                  <w:noWrap w:val="0"/>
                  <w:vAlign w:val="center"/>
                </w:tcPr>
                <w:p>
                  <w:pPr>
                    <w:pStyle w:val="34"/>
                    <w:bidi w:val="0"/>
                    <w:rPr>
                      <w:rFonts w:hint="default"/>
                      <w:color w:val="auto"/>
                      <w:highlight w:val="none"/>
                      <w:lang w:val="zh-CN"/>
                    </w:rPr>
                  </w:pPr>
                  <w:r>
                    <w:rPr>
                      <w:rFonts w:hint="eastAsia"/>
                      <w:color w:val="auto"/>
                      <w:highlight w:val="none"/>
                      <w:lang w:val="zh-CN"/>
                    </w:rPr>
                    <w:t>空间布局约束</w:t>
                  </w:r>
                </w:p>
              </w:tc>
              <w:tc>
                <w:tcPr>
                  <w:tcW w:w="2465" w:type="pct"/>
                  <w:tcBorders>
                    <w:tl2br w:val="nil"/>
                    <w:tr2bl w:val="nil"/>
                  </w:tcBorders>
                  <w:noWrap w:val="0"/>
                  <w:vAlign w:val="center"/>
                </w:tcPr>
                <w:p>
                  <w:pPr>
                    <w:pStyle w:val="34"/>
                    <w:bidi w:val="0"/>
                    <w:rPr>
                      <w:rFonts w:hint="eastAsia"/>
                      <w:color w:val="auto"/>
                      <w:highlight w:val="none"/>
                      <w:lang w:val="zh-CN"/>
                    </w:rPr>
                  </w:pPr>
                  <w:r>
                    <w:rPr>
                      <w:rFonts w:hint="eastAsia"/>
                      <w:color w:val="auto"/>
                      <w:highlight w:val="none"/>
                      <w:lang w:val="zh-CN"/>
                    </w:rPr>
                    <w:t>严禁“十小”企业进入园区。确保排放总量不超过单元允许排放量。不得引进无法解决水环境容量的企业。加快产业结构转型升级，淘汰和限制耗水量大、水污染物排放量大的行业和产品。</w:t>
                  </w:r>
                </w:p>
              </w:tc>
              <w:tc>
                <w:tcPr>
                  <w:tcW w:w="1449" w:type="pct"/>
                  <w:tcBorders>
                    <w:tl2br w:val="nil"/>
                    <w:tr2bl w:val="nil"/>
                  </w:tcBorders>
                  <w:noWrap w:val="0"/>
                  <w:vAlign w:val="center"/>
                </w:tcPr>
                <w:p>
                  <w:pPr>
                    <w:pStyle w:val="34"/>
                    <w:bidi w:val="0"/>
                    <w:rPr>
                      <w:rFonts w:hint="eastAsia"/>
                      <w:color w:val="auto"/>
                      <w:highlight w:val="none"/>
                      <w:lang w:eastAsia="zh-CN"/>
                    </w:rPr>
                  </w:pPr>
                  <w:r>
                    <w:rPr>
                      <w:rFonts w:hint="eastAsia"/>
                      <w:color w:val="auto"/>
                      <w:highlight w:val="none"/>
                      <w:lang w:val="en-US" w:eastAsia="zh-CN"/>
                    </w:rPr>
                    <w:t>本项目为易门铜业有限公司配套的制氧系统技术改造节能项目，易门铜业</w:t>
                  </w:r>
                  <w:r>
                    <w:rPr>
                      <w:rFonts w:hint="eastAsia"/>
                      <w:color w:val="auto"/>
                      <w:highlight w:val="none"/>
                      <w:lang w:eastAsia="zh-CN"/>
                    </w:rPr>
                    <w:t>不属于“十小”企业，项目</w:t>
                  </w:r>
                  <w:r>
                    <w:rPr>
                      <w:rFonts w:hint="eastAsia"/>
                      <w:color w:val="auto"/>
                      <w:highlight w:val="none"/>
                      <w:lang w:val="en-US" w:eastAsia="zh-CN"/>
                    </w:rPr>
                    <w:t>生产</w:t>
                  </w:r>
                  <w:r>
                    <w:rPr>
                      <w:rFonts w:hint="eastAsia"/>
                      <w:color w:val="auto"/>
                      <w:highlight w:val="none"/>
                      <w:lang w:eastAsia="zh-CN"/>
                    </w:rPr>
                    <w:t>废水</w:t>
                  </w:r>
                  <w:r>
                    <w:rPr>
                      <w:rFonts w:hint="eastAsia"/>
                      <w:color w:val="auto"/>
                      <w:highlight w:val="none"/>
                      <w:lang w:val="en-US" w:eastAsia="zh-CN"/>
                    </w:rPr>
                    <w:t>经处理后</w:t>
                  </w:r>
                  <w:r>
                    <w:rPr>
                      <w:rFonts w:hint="eastAsia"/>
                      <w:color w:val="auto"/>
                      <w:highlight w:val="none"/>
                      <w:lang w:eastAsia="zh-CN"/>
                    </w:rPr>
                    <w:t>回用，</w:t>
                  </w:r>
                  <w:r>
                    <w:rPr>
                      <w:rFonts w:hint="eastAsia"/>
                      <w:color w:val="auto"/>
                      <w:highlight w:val="none"/>
                      <w:lang w:val="en-US" w:eastAsia="zh-CN"/>
                    </w:rPr>
                    <w:t>不外排</w:t>
                  </w:r>
                  <w:r>
                    <w:rPr>
                      <w:rFonts w:hint="eastAsia"/>
                      <w:color w:val="auto"/>
                      <w:highlight w:val="none"/>
                      <w:lang w:eastAsia="zh-CN"/>
                    </w:rPr>
                    <w:t>，不属于水污染物排放量大的行业。</w:t>
                  </w:r>
                </w:p>
              </w:tc>
              <w:tc>
                <w:tcPr>
                  <w:tcW w:w="537"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pct"/>
                  <w:vMerge w:val="continue"/>
                  <w:tcBorders>
                    <w:tl2br w:val="nil"/>
                    <w:tr2bl w:val="nil"/>
                  </w:tcBorders>
                  <w:noWrap w:val="0"/>
                  <w:vAlign w:val="center"/>
                </w:tcPr>
                <w:p>
                  <w:pPr>
                    <w:pStyle w:val="34"/>
                    <w:bidi w:val="0"/>
                    <w:rPr>
                      <w:rFonts w:hint="eastAsia"/>
                      <w:color w:val="auto"/>
                      <w:highlight w:val="none"/>
                      <w:lang w:val="en-US" w:eastAsia="zh-CN"/>
                    </w:rPr>
                  </w:pPr>
                </w:p>
              </w:tc>
              <w:tc>
                <w:tcPr>
                  <w:tcW w:w="269" w:type="pct"/>
                  <w:vMerge w:val="continue"/>
                  <w:tcBorders>
                    <w:tl2br w:val="nil"/>
                    <w:tr2bl w:val="nil"/>
                  </w:tcBorders>
                  <w:noWrap w:val="0"/>
                  <w:vAlign w:val="center"/>
                </w:tcPr>
                <w:p>
                  <w:pPr>
                    <w:pStyle w:val="34"/>
                    <w:bidi w:val="0"/>
                    <w:rPr>
                      <w:rFonts w:hint="eastAsia"/>
                      <w:color w:val="auto"/>
                      <w:highlight w:val="none"/>
                      <w:lang w:val="zh-CN"/>
                    </w:rPr>
                  </w:pPr>
                </w:p>
              </w:tc>
              <w:tc>
                <w:tcPr>
                  <w:tcW w:w="2465" w:type="pct"/>
                  <w:tcBorders>
                    <w:tl2br w:val="nil"/>
                    <w:tr2bl w:val="nil"/>
                  </w:tcBorders>
                  <w:noWrap w:val="0"/>
                  <w:vAlign w:val="center"/>
                </w:tcPr>
                <w:p>
                  <w:pPr>
                    <w:pStyle w:val="34"/>
                    <w:bidi w:val="0"/>
                    <w:rPr>
                      <w:rFonts w:hint="eastAsia"/>
                      <w:color w:val="auto"/>
                      <w:highlight w:val="none"/>
                      <w:lang w:val="zh-CN"/>
                    </w:rPr>
                  </w:pPr>
                  <w:r>
                    <w:rPr>
                      <w:rFonts w:hint="eastAsia"/>
                      <w:color w:val="auto"/>
                      <w:highlight w:val="none"/>
                      <w:lang w:val="zh-CN"/>
                    </w:rPr>
                    <w:t>园区大气环境受体敏感区重点控制区按大气环境受体敏感区管控要求进行规划管控。严控涉及大气污染排放的工业项目布局建设；禁止新建、扩建采用非清洁燃料的项目和设施现有</w:t>
                  </w:r>
                  <w:r>
                    <w:rPr>
                      <w:rFonts w:hint="eastAsia"/>
                      <w:color w:val="auto"/>
                      <w:highlight w:val="none"/>
                      <w:lang w:val="en-US" w:eastAsia="zh-CN"/>
                    </w:rPr>
                    <w:t>产污</w:t>
                  </w:r>
                  <w:r>
                    <w:rPr>
                      <w:rFonts w:hint="eastAsia"/>
                      <w:color w:val="auto"/>
                      <w:highlight w:val="none"/>
                      <w:lang w:val="zh-CN"/>
                    </w:rPr>
                    <w:t>企业应持续开展节能减排，制定改用清洁能源时间表；严格限制新建可能对主城区大气产生影响的燃用煤、重油等高污染燃料的工业项目。禁止焚烧生活垃圾、建筑垃圾、环卫清扫物等废弃物。</w:t>
                  </w:r>
                </w:p>
              </w:tc>
              <w:tc>
                <w:tcPr>
                  <w:tcW w:w="1449" w:type="pct"/>
                  <w:tcBorders>
                    <w:tl2br w:val="nil"/>
                    <w:tr2bl w:val="nil"/>
                  </w:tcBorders>
                  <w:noWrap w:val="0"/>
                  <w:vAlign w:val="center"/>
                </w:tcPr>
                <w:p>
                  <w:pPr>
                    <w:pStyle w:val="34"/>
                    <w:bidi w:val="0"/>
                    <w:rPr>
                      <w:rFonts w:hint="eastAsia"/>
                      <w:color w:val="auto"/>
                      <w:highlight w:val="none"/>
                      <w:lang w:eastAsia="zh-CN"/>
                    </w:rPr>
                  </w:pPr>
                  <w:r>
                    <w:rPr>
                      <w:rFonts w:hint="eastAsia"/>
                      <w:color w:val="auto"/>
                      <w:highlight w:val="none"/>
                      <w:lang w:eastAsia="zh-CN"/>
                    </w:rPr>
                    <w:t>本项目</w:t>
                  </w:r>
                  <w:r>
                    <w:rPr>
                      <w:rFonts w:hint="eastAsia"/>
                      <w:color w:val="auto"/>
                      <w:highlight w:val="none"/>
                      <w:lang w:val="en-US" w:eastAsia="zh-CN"/>
                    </w:rPr>
                    <w:t>为易门铜业有限公司配套的制氧系统技术改造节能项目，项目使用原料为空气，产品为氧气，使用的能源主要为电能，为清洁能源，</w:t>
                  </w:r>
                  <w:r>
                    <w:rPr>
                      <w:rFonts w:hint="eastAsia"/>
                      <w:color w:val="auto"/>
                      <w:highlight w:val="none"/>
                      <w:lang w:eastAsia="zh-CN"/>
                    </w:rPr>
                    <w:t>不涉及焚烧</w:t>
                  </w:r>
                  <w:r>
                    <w:rPr>
                      <w:rFonts w:hint="eastAsia"/>
                      <w:color w:val="auto"/>
                      <w:highlight w:val="none"/>
                      <w:lang w:val="zh-CN"/>
                    </w:rPr>
                    <w:t>生活垃圾、建筑垃圾、环卫清扫物等废弃物。</w:t>
                  </w:r>
                </w:p>
              </w:tc>
              <w:tc>
                <w:tcPr>
                  <w:tcW w:w="537" w:type="pct"/>
                  <w:tcBorders>
                    <w:tl2br w:val="nil"/>
                    <w:tr2bl w:val="nil"/>
                  </w:tcBorders>
                  <w:noWrap w:val="0"/>
                  <w:vAlign w:val="center"/>
                </w:tcPr>
                <w:p>
                  <w:pPr>
                    <w:pStyle w:val="34"/>
                    <w:bidi w:val="0"/>
                    <w:rPr>
                      <w:rFonts w:hint="eastAsia"/>
                      <w:color w:val="auto"/>
                      <w:highlight w:val="none"/>
                      <w:lang w:eastAsia="zh-CN"/>
                    </w:rPr>
                  </w:pPr>
                  <w:r>
                    <w:rPr>
                      <w:rFonts w:hint="eastAsia"/>
                      <w:color w:val="auto"/>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pct"/>
                  <w:vMerge w:val="continue"/>
                  <w:tcBorders>
                    <w:tl2br w:val="nil"/>
                    <w:tr2bl w:val="nil"/>
                  </w:tcBorders>
                  <w:noWrap w:val="0"/>
                  <w:vAlign w:val="center"/>
                </w:tcPr>
                <w:p>
                  <w:pPr>
                    <w:pStyle w:val="34"/>
                    <w:bidi w:val="0"/>
                    <w:rPr>
                      <w:rFonts w:hint="eastAsia"/>
                      <w:color w:val="auto"/>
                      <w:highlight w:val="none"/>
                      <w:lang w:val="en-US" w:eastAsia="zh-CN"/>
                    </w:rPr>
                  </w:pPr>
                </w:p>
              </w:tc>
              <w:tc>
                <w:tcPr>
                  <w:tcW w:w="269" w:type="pct"/>
                  <w:vMerge w:val="continue"/>
                  <w:tcBorders>
                    <w:tl2br w:val="nil"/>
                    <w:tr2bl w:val="nil"/>
                  </w:tcBorders>
                  <w:noWrap w:val="0"/>
                  <w:vAlign w:val="center"/>
                </w:tcPr>
                <w:p>
                  <w:pPr>
                    <w:pStyle w:val="34"/>
                    <w:bidi w:val="0"/>
                    <w:rPr>
                      <w:rFonts w:hint="eastAsia"/>
                      <w:color w:val="auto"/>
                      <w:highlight w:val="none"/>
                      <w:lang w:val="zh-CN"/>
                    </w:rPr>
                  </w:pPr>
                </w:p>
              </w:tc>
              <w:tc>
                <w:tcPr>
                  <w:tcW w:w="2465" w:type="pct"/>
                  <w:tcBorders>
                    <w:tl2br w:val="nil"/>
                    <w:tr2bl w:val="nil"/>
                  </w:tcBorders>
                  <w:noWrap w:val="0"/>
                  <w:vAlign w:val="center"/>
                </w:tcPr>
                <w:p>
                  <w:pPr>
                    <w:pStyle w:val="34"/>
                    <w:bidi w:val="0"/>
                    <w:rPr>
                      <w:rFonts w:hint="eastAsia"/>
                      <w:color w:val="auto"/>
                      <w:highlight w:val="none"/>
                      <w:lang w:val="zh-CN"/>
                    </w:rPr>
                  </w:pPr>
                  <w:r>
                    <w:rPr>
                      <w:rFonts w:hint="eastAsia"/>
                      <w:color w:val="auto"/>
                      <w:highlight w:val="none"/>
                      <w:lang w:val="zh-CN"/>
                    </w:rPr>
                    <w:t>优化调整产业结构，逐步淘汰不符合园区产业定位的企业，加强培育符合主导产业下游产业链的产业，提高产业附加值，推进产业延链补链强链，塑造绿色发展。</w:t>
                  </w:r>
                </w:p>
              </w:tc>
              <w:tc>
                <w:tcPr>
                  <w:tcW w:w="1449" w:type="pct"/>
                  <w:tcBorders>
                    <w:tl2br w:val="nil"/>
                    <w:tr2bl w:val="nil"/>
                  </w:tcBorders>
                  <w:noWrap w:val="0"/>
                  <w:vAlign w:val="center"/>
                </w:tcPr>
                <w:p>
                  <w:pPr>
                    <w:pStyle w:val="34"/>
                    <w:bidi w:val="0"/>
                    <w:rPr>
                      <w:rFonts w:hint="default"/>
                      <w:color w:val="auto"/>
                      <w:highlight w:val="none"/>
                    </w:rPr>
                  </w:pPr>
                  <w:r>
                    <w:rPr>
                      <w:rFonts w:hint="eastAsia"/>
                      <w:color w:val="auto"/>
                      <w:highlight w:val="none"/>
                      <w:lang w:val="en-US" w:eastAsia="zh-CN"/>
                    </w:rPr>
                    <w:t>本项目为易门铜业有限公司配套制氧系统技术改造节能项目，易门铜业主要从事铜矿冶炼，</w:t>
                  </w:r>
                  <w:r>
                    <w:rPr>
                      <w:rFonts w:hint="default"/>
                      <w:color w:val="auto"/>
                      <w:highlight w:val="none"/>
                      <w:lang w:val="en-US" w:eastAsia="zh-CN"/>
                    </w:rPr>
                    <w:t>符合</w:t>
                  </w:r>
                  <w:r>
                    <w:rPr>
                      <w:rFonts w:hint="eastAsia"/>
                      <w:color w:val="auto"/>
                      <w:highlight w:val="none"/>
                      <w:lang w:val="en-US" w:eastAsia="zh-CN"/>
                    </w:rPr>
                    <w:t>大椿树</w:t>
                  </w:r>
                  <w:r>
                    <w:rPr>
                      <w:rFonts w:hint="default"/>
                      <w:color w:val="auto"/>
                      <w:highlight w:val="none"/>
                      <w:lang w:val="en-US" w:eastAsia="zh-CN"/>
                    </w:rPr>
                    <w:t>片区产业定位。</w:t>
                  </w:r>
                </w:p>
              </w:tc>
              <w:tc>
                <w:tcPr>
                  <w:tcW w:w="537" w:type="pct"/>
                  <w:tcBorders>
                    <w:tl2br w:val="nil"/>
                    <w:tr2bl w:val="nil"/>
                  </w:tcBorders>
                  <w:noWrap w:val="0"/>
                  <w:vAlign w:val="center"/>
                </w:tcPr>
                <w:p>
                  <w:pPr>
                    <w:pStyle w:val="34"/>
                    <w:bidi w:val="0"/>
                    <w:rPr>
                      <w:rFonts w:hint="eastAsia"/>
                      <w:color w:val="auto"/>
                      <w:highlight w:val="none"/>
                      <w:lang w:eastAsia="zh-CN"/>
                    </w:rPr>
                  </w:pPr>
                  <w:r>
                    <w:rPr>
                      <w:rFonts w:hint="eastAsia"/>
                      <w:color w:val="auto"/>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pct"/>
                  <w:vMerge w:val="continue"/>
                  <w:tcBorders>
                    <w:tl2br w:val="nil"/>
                    <w:tr2bl w:val="nil"/>
                  </w:tcBorders>
                  <w:noWrap w:val="0"/>
                  <w:vAlign w:val="center"/>
                </w:tcPr>
                <w:p>
                  <w:pPr>
                    <w:pStyle w:val="34"/>
                    <w:bidi w:val="0"/>
                    <w:rPr>
                      <w:rFonts w:hint="eastAsia"/>
                      <w:color w:val="auto"/>
                      <w:highlight w:val="none"/>
                      <w:lang w:val="en-US" w:eastAsia="zh-CN"/>
                    </w:rPr>
                  </w:pPr>
                </w:p>
              </w:tc>
              <w:tc>
                <w:tcPr>
                  <w:tcW w:w="269" w:type="pct"/>
                  <w:vMerge w:val="continue"/>
                  <w:tcBorders>
                    <w:tl2br w:val="nil"/>
                    <w:tr2bl w:val="nil"/>
                  </w:tcBorders>
                  <w:noWrap w:val="0"/>
                  <w:vAlign w:val="center"/>
                </w:tcPr>
                <w:p>
                  <w:pPr>
                    <w:pStyle w:val="34"/>
                    <w:bidi w:val="0"/>
                    <w:rPr>
                      <w:rFonts w:hint="eastAsia"/>
                      <w:color w:val="auto"/>
                      <w:highlight w:val="none"/>
                      <w:lang w:val="zh-CN"/>
                    </w:rPr>
                  </w:pPr>
                </w:p>
              </w:tc>
              <w:tc>
                <w:tcPr>
                  <w:tcW w:w="2465" w:type="pct"/>
                  <w:tcBorders>
                    <w:tl2br w:val="nil"/>
                    <w:tr2bl w:val="nil"/>
                  </w:tcBorders>
                  <w:noWrap w:val="0"/>
                  <w:vAlign w:val="center"/>
                </w:tcPr>
                <w:p>
                  <w:pPr>
                    <w:pStyle w:val="34"/>
                    <w:bidi w:val="0"/>
                    <w:rPr>
                      <w:rFonts w:hint="eastAsia"/>
                      <w:color w:val="auto"/>
                      <w:highlight w:val="none"/>
                      <w:lang w:val="zh-CN"/>
                    </w:rPr>
                  </w:pPr>
                  <w:r>
                    <w:rPr>
                      <w:rFonts w:hint="eastAsia"/>
                      <w:color w:val="auto"/>
                      <w:highlight w:val="none"/>
                      <w:lang w:val="zh-CN"/>
                    </w:rPr>
                    <w:t>禁止入驻项目占用水塘、河流等地表水体；严格控制和优化园区水文地质单元内的开发强度，保障一定的降雨补给面积。严格按照园区内地下水环境红线划分及区域布局建议，做好地下水污染防控。</w:t>
                  </w:r>
                </w:p>
              </w:tc>
              <w:tc>
                <w:tcPr>
                  <w:tcW w:w="1449" w:type="pct"/>
                  <w:tcBorders>
                    <w:tl2br w:val="nil"/>
                    <w:tr2bl w:val="nil"/>
                  </w:tcBorders>
                  <w:noWrap w:val="0"/>
                  <w:vAlign w:val="center"/>
                </w:tcPr>
                <w:p>
                  <w:pPr>
                    <w:pStyle w:val="34"/>
                    <w:bidi w:val="0"/>
                    <w:rPr>
                      <w:rFonts w:hint="eastAsia"/>
                      <w:color w:val="auto"/>
                      <w:highlight w:val="none"/>
                      <w:lang w:eastAsia="zh-CN"/>
                    </w:rPr>
                  </w:pPr>
                  <w:r>
                    <w:rPr>
                      <w:rFonts w:hint="eastAsia"/>
                      <w:color w:val="auto"/>
                      <w:highlight w:val="none"/>
                      <w:lang w:val="en-US" w:eastAsia="zh-CN"/>
                    </w:rPr>
                    <w:t>本项目属于改建项目，不新增占地，不涉及</w:t>
                  </w:r>
                  <w:r>
                    <w:rPr>
                      <w:rFonts w:hint="eastAsia"/>
                      <w:color w:val="auto"/>
                      <w:highlight w:val="none"/>
                      <w:lang w:val="zh-CN"/>
                    </w:rPr>
                    <w:t>占用水塘、河流等地表水体，</w:t>
                  </w:r>
                  <w:r>
                    <w:rPr>
                      <w:rFonts w:hint="eastAsia"/>
                      <w:color w:val="auto"/>
                      <w:highlight w:val="none"/>
                      <w:lang w:val="en-US" w:eastAsia="zh-CN"/>
                    </w:rPr>
                    <w:t>按要求采取地下水污染防控措施。</w:t>
                  </w:r>
                </w:p>
              </w:tc>
              <w:tc>
                <w:tcPr>
                  <w:tcW w:w="537" w:type="pct"/>
                  <w:tcBorders>
                    <w:tl2br w:val="nil"/>
                    <w:tr2bl w:val="nil"/>
                  </w:tcBorders>
                  <w:noWrap w:val="0"/>
                  <w:vAlign w:val="center"/>
                </w:tcPr>
                <w:p>
                  <w:pPr>
                    <w:pStyle w:val="34"/>
                    <w:bidi w:val="0"/>
                    <w:rPr>
                      <w:rFonts w:hint="eastAsia"/>
                      <w:color w:val="auto"/>
                      <w:highlight w:val="none"/>
                      <w:lang w:eastAsia="zh-CN"/>
                    </w:rPr>
                  </w:pPr>
                  <w:r>
                    <w:rPr>
                      <w:rFonts w:hint="eastAsia"/>
                      <w:color w:val="auto"/>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pct"/>
                  <w:vMerge w:val="continue"/>
                  <w:tcBorders>
                    <w:tl2br w:val="nil"/>
                    <w:tr2bl w:val="nil"/>
                  </w:tcBorders>
                  <w:noWrap w:val="0"/>
                  <w:vAlign w:val="center"/>
                </w:tcPr>
                <w:p>
                  <w:pPr>
                    <w:pStyle w:val="34"/>
                    <w:bidi w:val="0"/>
                    <w:rPr>
                      <w:rFonts w:hint="eastAsia"/>
                      <w:color w:val="auto"/>
                      <w:highlight w:val="none"/>
                      <w:lang w:val="en-US" w:eastAsia="zh-CN"/>
                    </w:rPr>
                  </w:pPr>
                </w:p>
              </w:tc>
              <w:tc>
                <w:tcPr>
                  <w:tcW w:w="269" w:type="pct"/>
                  <w:vMerge w:val="continue"/>
                  <w:tcBorders>
                    <w:tl2br w:val="nil"/>
                    <w:tr2bl w:val="nil"/>
                  </w:tcBorders>
                  <w:noWrap w:val="0"/>
                  <w:vAlign w:val="center"/>
                </w:tcPr>
                <w:p>
                  <w:pPr>
                    <w:pStyle w:val="34"/>
                    <w:bidi w:val="0"/>
                    <w:rPr>
                      <w:rFonts w:hint="eastAsia"/>
                      <w:color w:val="auto"/>
                      <w:highlight w:val="none"/>
                      <w:lang w:val="zh-CN"/>
                    </w:rPr>
                  </w:pPr>
                </w:p>
              </w:tc>
              <w:tc>
                <w:tcPr>
                  <w:tcW w:w="2465" w:type="pct"/>
                  <w:tcBorders>
                    <w:tl2br w:val="nil"/>
                    <w:tr2bl w:val="nil"/>
                  </w:tcBorders>
                  <w:noWrap w:val="0"/>
                  <w:vAlign w:val="center"/>
                </w:tcPr>
                <w:p>
                  <w:pPr>
                    <w:pStyle w:val="34"/>
                    <w:bidi w:val="0"/>
                    <w:rPr>
                      <w:rFonts w:hint="eastAsia"/>
                      <w:color w:val="auto"/>
                      <w:highlight w:val="none"/>
                      <w:lang w:val="zh-CN"/>
                    </w:rPr>
                  </w:pPr>
                  <w:r>
                    <w:rPr>
                      <w:rFonts w:hint="eastAsia"/>
                      <w:color w:val="auto"/>
                      <w:highlight w:val="none"/>
                      <w:lang w:val="zh-CN"/>
                    </w:rPr>
                    <w:t>严格执行有关行业企业布局选址要求，禁止在居民区和学校、医疗、养老机构等单位周边新建、改建、扩建可能造成土壤污染的建设项目，结合区域功能定位和土壤污染防治需要，科学布局生活垃圾处理、危险废物处置废旧资源再生利用等设施和场所。</w:t>
                  </w:r>
                </w:p>
              </w:tc>
              <w:tc>
                <w:tcPr>
                  <w:tcW w:w="1449" w:type="pct"/>
                  <w:tcBorders>
                    <w:tl2br w:val="nil"/>
                    <w:tr2bl w:val="nil"/>
                  </w:tcBorders>
                  <w:noWrap w:val="0"/>
                  <w:vAlign w:val="center"/>
                </w:tcPr>
                <w:p>
                  <w:pPr>
                    <w:pStyle w:val="34"/>
                    <w:bidi w:val="0"/>
                    <w:rPr>
                      <w:rFonts w:hint="default"/>
                      <w:color w:val="auto"/>
                      <w:highlight w:val="none"/>
                      <w:lang w:val="en-US"/>
                    </w:rPr>
                  </w:pPr>
                  <w:r>
                    <w:rPr>
                      <w:rFonts w:hint="eastAsia"/>
                      <w:color w:val="auto"/>
                      <w:highlight w:val="none"/>
                      <w:lang w:val="en-US" w:eastAsia="zh-CN"/>
                    </w:rPr>
                    <w:t>本项目位于云南易门产业园区大椿树片区，项目周边不存在</w:t>
                  </w:r>
                  <w:r>
                    <w:rPr>
                      <w:rFonts w:hint="eastAsia"/>
                      <w:color w:val="auto"/>
                      <w:highlight w:val="none"/>
                      <w:lang w:val="zh-CN"/>
                    </w:rPr>
                    <w:t>居民区、学校、医疗、养老机构等单位，</w:t>
                  </w:r>
                  <w:r>
                    <w:rPr>
                      <w:rFonts w:hint="eastAsia"/>
                      <w:color w:val="auto"/>
                      <w:highlight w:val="none"/>
                      <w:lang w:val="en-US" w:eastAsia="zh-CN"/>
                    </w:rPr>
                    <w:t>本项目属于改建项目，运营期将严格按照相关要求采取土壤污染防治措施。</w:t>
                  </w:r>
                </w:p>
              </w:tc>
              <w:tc>
                <w:tcPr>
                  <w:tcW w:w="537" w:type="pct"/>
                  <w:tcBorders>
                    <w:tl2br w:val="nil"/>
                    <w:tr2bl w:val="nil"/>
                  </w:tcBorders>
                  <w:noWrap w:val="0"/>
                  <w:vAlign w:val="center"/>
                </w:tcPr>
                <w:p>
                  <w:pPr>
                    <w:pStyle w:val="34"/>
                    <w:bidi w:val="0"/>
                    <w:rPr>
                      <w:rFonts w:hint="eastAsia"/>
                      <w:color w:val="auto"/>
                      <w:highlight w:val="none"/>
                      <w:lang w:eastAsia="zh-CN"/>
                    </w:rPr>
                  </w:pPr>
                  <w:r>
                    <w:rPr>
                      <w:rFonts w:hint="eastAsia"/>
                      <w:color w:val="auto"/>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pct"/>
                  <w:vMerge w:val="continue"/>
                  <w:tcBorders>
                    <w:tl2br w:val="nil"/>
                    <w:tr2bl w:val="nil"/>
                  </w:tcBorders>
                  <w:noWrap w:val="0"/>
                  <w:vAlign w:val="center"/>
                </w:tcPr>
                <w:p>
                  <w:pPr>
                    <w:pStyle w:val="34"/>
                    <w:bidi w:val="0"/>
                    <w:rPr>
                      <w:rFonts w:hint="eastAsia"/>
                      <w:color w:val="auto"/>
                      <w:highlight w:val="none"/>
                      <w:lang w:val="en-US" w:eastAsia="zh-CN"/>
                    </w:rPr>
                  </w:pPr>
                </w:p>
              </w:tc>
              <w:tc>
                <w:tcPr>
                  <w:tcW w:w="269" w:type="pct"/>
                  <w:vMerge w:val="continue"/>
                  <w:tcBorders>
                    <w:tl2br w:val="nil"/>
                    <w:tr2bl w:val="nil"/>
                  </w:tcBorders>
                  <w:noWrap w:val="0"/>
                  <w:vAlign w:val="center"/>
                </w:tcPr>
                <w:p>
                  <w:pPr>
                    <w:pStyle w:val="34"/>
                    <w:bidi w:val="0"/>
                    <w:rPr>
                      <w:rFonts w:hint="eastAsia"/>
                      <w:color w:val="auto"/>
                      <w:highlight w:val="none"/>
                      <w:lang w:val="zh-CN"/>
                    </w:rPr>
                  </w:pPr>
                </w:p>
              </w:tc>
              <w:tc>
                <w:tcPr>
                  <w:tcW w:w="2465" w:type="pct"/>
                  <w:tcBorders>
                    <w:tl2br w:val="nil"/>
                    <w:tr2bl w:val="nil"/>
                  </w:tcBorders>
                  <w:noWrap w:val="0"/>
                  <w:vAlign w:val="center"/>
                </w:tcPr>
                <w:p>
                  <w:pPr>
                    <w:pStyle w:val="34"/>
                    <w:bidi w:val="0"/>
                    <w:rPr>
                      <w:rFonts w:hint="eastAsia"/>
                      <w:color w:val="auto"/>
                      <w:highlight w:val="none"/>
                      <w:lang w:val="zh-CN"/>
                    </w:rPr>
                  </w:pPr>
                  <w:r>
                    <w:rPr>
                      <w:rFonts w:hint="eastAsia"/>
                      <w:color w:val="auto"/>
                      <w:highlight w:val="none"/>
                      <w:lang w:val="zh-CN"/>
                    </w:rPr>
                    <w:t>限制在居民区、学校附近布局排放异味废气污染物的企业，并充分考虑产业与城市建成区、区内居民点之间的环境防护距离。</w:t>
                  </w:r>
                </w:p>
              </w:tc>
              <w:tc>
                <w:tcPr>
                  <w:tcW w:w="1449" w:type="pct"/>
                  <w:tcBorders>
                    <w:tl2br w:val="nil"/>
                    <w:tr2bl w:val="nil"/>
                  </w:tcBorders>
                  <w:noWrap w:val="0"/>
                  <w:vAlign w:val="center"/>
                </w:tcPr>
                <w:p>
                  <w:pPr>
                    <w:pStyle w:val="34"/>
                    <w:bidi w:val="0"/>
                    <w:rPr>
                      <w:rFonts w:hint="eastAsia"/>
                      <w:color w:val="auto"/>
                      <w:highlight w:val="none"/>
                      <w:lang w:eastAsia="zh-CN"/>
                    </w:rPr>
                  </w:pPr>
                  <w:r>
                    <w:rPr>
                      <w:rFonts w:hint="eastAsia"/>
                      <w:color w:val="auto"/>
                      <w:highlight w:val="none"/>
                      <w:lang w:eastAsia="zh-CN"/>
                    </w:rPr>
                    <w:t>项目距离</w:t>
                  </w:r>
                  <w:r>
                    <w:rPr>
                      <w:rFonts w:hint="eastAsia"/>
                      <w:color w:val="auto"/>
                      <w:highlight w:val="none"/>
                      <w:lang w:val="en-US" w:eastAsia="zh-CN"/>
                    </w:rPr>
                    <w:t>居民区最近直线距离1500m，项目不设环境防护距离。</w:t>
                  </w:r>
                </w:p>
              </w:tc>
              <w:tc>
                <w:tcPr>
                  <w:tcW w:w="537" w:type="pct"/>
                  <w:tcBorders>
                    <w:tl2br w:val="nil"/>
                    <w:tr2bl w:val="nil"/>
                  </w:tcBorders>
                  <w:noWrap w:val="0"/>
                  <w:vAlign w:val="center"/>
                </w:tcPr>
                <w:p>
                  <w:pPr>
                    <w:pStyle w:val="34"/>
                    <w:bidi w:val="0"/>
                    <w:rPr>
                      <w:rFonts w:hint="eastAsia"/>
                      <w:color w:val="auto"/>
                      <w:highlight w:val="none"/>
                      <w:lang w:eastAsia="zh-CN"/>
                    </w:rPr>
                  </w:pPr>
                  <w:r>
                    <w:rPr>
                      <w:rFonts w:hint="eastAsia"/>
                      <w:color w:val="auto"/>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pct"/>
                  <w:vMerge w:val="continue"/>
                  <w:tcBorders>
                    <w:tl2br w:val="nil"/>
                    <w:tr2bl w:val="nil"/>
                  </w:tcBorders>
                  <w:noWrap w:val="0"/>
                  <w:vAlign w:val="center"/>
                </w:tcPr>
                <w:p>
                  <w:pPr>
                    <w:pStyle w:val="34"/>
                    <w:bidi w:val="0"/>
                    <w:rPr>
                      <w:rFonts w:hint="eastAsia"/>
                      <w:color w:val="auto"/>
                      <w:highlight w:val="none"/>
                      <w:lang w:val="en-US" w:eastAsia="zh-CN"/>
                    </w:rPr>
                  </w:pPr>
                </w:p>
              </w:tc>
              <w:tc>
                <w:tcPr>
                  <w:tcW w:w="269" w:type="pct"/>
                  <w:vMerge w:val="continue"/>
                  <w:tcBorders>
                    <w:tl2br w:val="nil"/>
                    <w:tr2bl w:val="nil"/>
                  </w:tcBorders>
                  <w:noWrap w:val="0"/>
                  <w:vAlign w:val="center"/>
                </w:tcPr>
                <w:p>
                  <w:pPr>
                    <w:pStyle w:val="34"/>
                    <w:bidi w:val="0"/>
                    <w:rPr>
                      <w:rFonts w:hint="eastAsia"/>
                      <w:color w:val="auto"/>
                      <w:highlight w:val="none"/>
                      <w:lang w:val="zh-CN"/>
                    </w:rPr>
                  </w:pPr>
                </w:p>
              </w:tc>
              <w:tc>
                <w:tcPr>
                  <w:tcW w:w="2465" w:type="pct"/>
                  <w:tcBorders>
                    <w:tl2br w:val="nil"/>
                    <w:tr2bl w:val="nil"/>
                  </w:tcBorders>
                  <w:noWrap w:val="0"/>
                  <w:vAlign w:val="center"/>
                </w:tcPr>
                <w:p>
                  <w:pPr>
                    <w:pStyle w:val="34"/>
                    <w:bidi w:val="0"/>
                    <w:rPr>
                      <w:rFonts w:hint="eastAsia"/>
                      <w:color w:val="auto"/>
                      <w:highlight w:val="none"/>
                      <w:lang w:val="zh-CN"/>
                    </w:rPr>
                  </w:pPr>
                  <w:r>
                    <w:rPr>
                      <w:rFonts w:hint="eastAsia"/>
                      <w:color w:val="auto"/>
                      <w:highlight w:val="none"/>
                      <w:lang w:val="zh-CN"/>
                    </w:rPr>
                    <w:t>居民集中区周边禁止布局重污染企业。麦子田片区布局重污染企业应远离六街镇居民集中区。</w:t>
                  </w:r>
                </w:p>
              </w:tc>
              <w:tc>
                <w:tcPr>
                  <w:tcW w:w="1449"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本项目为易门铜业有限公司配套制氧系统技术改造节能项目</w:t>
                  </w:r>
                  <w:r>
                    <w:rPr>
                      <w:rFonts w:hint="eastAsia"/>
                      <w:color w:val="auto"/>
                      <w:highlight w:val="none"/>
                      <w:lang w:eastAsia="zh-CN"/>
                    </w:rPr>
                    <w:t>，距离居民集中区较远。</w:t>
                  </w:r>
                </w:p>
              </w:tc>
              <w:tc>
                <w:tcPr>
                  <w:tcW w:w="537" w:type="pct"/>
                  <w:tcBorders>
                    <w:tl2br w:val="nil"/>
                    <w:tr2bl w:val="nil"/>
                  </w:tcBorders>
                  <w:noWrap w:val="0"/>
                  <w:vAlign w:val="center"/>
                </w:tcPr>
                <w:p>
                  <w:pPr>
                    <w:pStyle w:val="34"/>
                    <w:bidi w:val="0"/>
                    <w:rPr>
                      <w:rFonts w:hint="eastAsia"/>
                      <w:color w:val="auto"/>
                      <w:highlight w:val="none"/>
                      <w:lang w:eastAsia="zh-CN"/>
                    </w:rPr>
                  </w:pPr>
                  <w:r>
                    <w:rPr>
                      <w:rFonts w:hint="eastAsia"/>
                      <w:color w:val="auto"/>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pct"/>
                  <w:vMerge w:val="continue"/>
                  <w:tcBorders>
                    <w:tl2br w:val="nil"/>
                    <w:tr2bl w:val="nil"/>
                  </w:tcBorders>
                  <w:noWrap w:val="0"/>
                  <w:vAlign w:val="center"/>
                </w:tcPr>
                <w:p>
                  <w:pPr>
                    <w:pStyle w:val="34"/>
                    <w:bidi w:val="0"/>
                    <w:rPr>
                      <w:rFonts w:hint="default"/>
                      <w:color w:val="auto"/>
                      <w:highlight w:val="none"/>
                    </w:rPr>
                  </w:pPr>
                </w:p>
              </w:tc>
              <w:tc>
                <w:tcPr>
                  <w:tcW w:w="269" w:type="pct"/>
                  <w:vMerge w:val="restart"/>
                  <w:tcBorders>
                    <w:tl2br w:val="nil"/>
                    <w:tr2bl w:val="nil"/>
                  </w:tcBorders>
                  <w:noWrap w:val="0"/>
                  <w:vAlign w:val="center"/>
                </w:tcPr>
                <w:p>
                  <w:pPr>
                    <w:pStyle w:val="34"/>
                    <w:bidi w:val="0"/>
                    <w:rPr>
                      <w:rFonts w:hint="eastAsia"/>
                      <w:color w:val="auto"/>
                      <w:highlight w:val="none"/>
                      <w:lang w:eastAsia="zh-CN"/>
                    </w:rPr>
                  </w:pPr>
                  <w:r>
                    <w:rPr>
                      <w:rFonts w:hint="eastAsia"/>
                      <w:color w:val="auto"/>
                      <w:highlight w:val="none"/>
                      <w:lang w:eastAsia="zh-CN"/>
                    </w:rPr>
                    <w:t>污染物排放管控</w:t>
                  </w:r>
                </w:p>
              </w:tc>
              <w:tc>
                <w:tcPr>
                  <w:tcW w:w="2465"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禁止不符合行业准入条件或产业政策的高耗水、高排污企业入园。</w:t>
                  </w:r>
                </w:p>
              </w:tc>
              <w:tc>
                <w:tcPr>
                  <w:tcW w:w="1449" w:type="pct"/>
                  <w:tcBorders>
                    <w:tl2br w:val="nil"/>
                    <w:tr2bl w:val="nil"/>
                  </w:tcBorders>
                  <w:noWrap w:val="0"/>
                  <w:vAlign w:val="center"/>
                </w:tcPr>
                <w:p>
                  <w:pPr>
                    <w:pStyle w:val="34"/>
                    <w:bidi w:val="0"/>
                    <w:rPr>
                      <w:rFonts w:hint="eastAsia"/>
                      <w:color w:val="auto"/>
                      <w:highlight w:val="none"/>
                      <w:lang w:eastAsia="zh-CN"/>
                    </w:rPr>
                  </w:pPr>
                  <w:r>
                    <w:rPr>
                      <w:rFonts w:hint="eastAsia"/>
                      <w:color w:val="auto"/>
                      <w:highlight w:val="none"/>
                      <w:lang w:val="en-US" w:eastAsia="zh-CN"/>
                    </w:rPr>
                    <w:t>本项目为易门铜业有限公司配套制氧系统技术改造节能项目</w:t>
                  </w:r>
                  <w:r>
                    <w:rPr>
                      <w:rFonts w:hint="eastAsia"/>
                      <w:color w:val="auto"/>
                      <w:highlight w:val="none"/>
                      <w:lang w:eastAsia="zh-CN"/>
                    </w:rPr>
                    <w:t>，</w:t>
                  </w:r>
                  <w:r>
                    <w:rPr>
                      <w:rFonts w:hint="eastAsia"/>
                      <w:color w:val="auto"/>
                      <w:highlight w:val="none"/>
                      <w:lang w:val="en-US" w:eastAsia="zh-CN"/>
                    </w:rPr>
                    <w:t>不属于</w:t>
                  </w:r>
                  <w:r>
                    <w:rPr>
                      <w:rFonts w:hint="default"/>
                      <w:color w:val="auto"/>
                      <w:highlight w:val="none"/>
                    </w:rPr>
                    <w:t>高耗水、高排污</w:t>
                  </w:r>
                  <w:r>
                    <w:rPr>
                      <w:rFonts w:hint="eastAsia"/>
                      <w:color w:val="auto"/>
                      <w:highlight w:val="none"/>
                      <w:lang w:val="en-US" w:eastAsia="zh-CN"/>
                    </w:rPr>
                    <w:t>项目</w:t>
                  </w:r>
                  <w:r>
                    <w:rPr>
                      <w:rFonts w:hint="eastAsia"/>
                      <w:color w:val="auto"/>
                      <w:highlight w:val="none"/>
                      <w:lang w:eastAsia="zh-CN"/>
                    </w:rPr>
                    <w:t>。</w:t>
                  </w:r>
                </w:p>
              </w:tc>
              <w:tc>
                <w:tcPr>
                  <w:tcW w:w="537" w:type="pct"/>
                  <w:tcBorders>
                    <w:tl2br w:val="nil"/>
                    <w:tr2bl w:val="nil"/>
                  </w:tcBorders>
                  <w:noWrap w:val="0"/>
                  <w:vAlign w:val="center"/>
                </w:tcPr>
                <w:p>
                  <w:pPr>
                    <w:pStyle w:val="34"/>
                    <w:bidi w:val="0"/>
                    <w:rPr>
                      <w:rFonts w:hint="default"/>
                      <w:color w:val="auto"/>
                      <w:highlight w:val="none"/>
                      <w:lang w:val="zh-CN"/>
                    </w:rPr>
                  </w:pPr>
                  <w:r>
                    <w:rPr>
                      <w:rFonts w:hint="default"/>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pct"/>
                  <w:vMerge w:val="continue"/>
                  <w:tcBorders>
                    <w:tl2br w:val="nil"/>
                    <w:tr2bl w:val="nil"/>
                  </w:tcBorders>
                  <w:noWrap w:val="0"/>
                  <w:vAlign w:val="center"/>
                </w:tcPr>
                <w:p>
                  <w:pPr>
                    <w:pStyle w:val="34"/>
                    <w:bidi w:val="0"/>
                    <w:rPr>
                      <w:rFonts w:hint="default"/>
                      <w:color w:val="auto"/>
                      <w:highlight w:val="none"/>
                    </w:rPr>
                  </w:pPr>
                </w:p>
              </w:tc>
              <w:tc>
                <w:tcPr>
                  <w:tcW w:w="269" w:type="pct"/>
                  <w:vMerge w:val="continue"/>
                  <w:tcBorders>
                    <w:tl2br w:val="nil"/>
                    <w:tr2bl w:val="nil"/>
                  </w:tcBorders>
                  <w:noWrap w:val="0"/>
                  <w:vAlign w:val="center"/>
                </w:tcPr>
                <w:p>
                  <w:pPr>
                    <w:pStyle w:val="34"/>
                    <w:bidi w:val="0"/>
                    <w:rPr>
                      <w:rFonts w:hint="eastAsia"/>
                      <w:color w:val="auto"/>
                      <w:highlight w:val="none"/>
                      <w:lang w:eastAsia="zh-CN"/>
                    </w:rPr>
                  </w:pPr>
                </w:p>
              </w:tc>
              <w:tc>
                <w:tcPr>
                  <w:tcW w:w="2465"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禁止任何生产废水和生活污水直接排入地表水体，废水达到园区污水处理厂进水标准后，经污水管网收集排入园区污水处理厂处理</w:t>
                  </w:r>
                  <w:r>
                    <w:rPr>
                      <w:rFonts w:hint="eastAsia"/>
                      <w:color w:val="auto"/>
                      <w:highlight w:val="none"/>
                      <w:lang w:eastAsia="zh-CN"/>
                    </w:rPr>
                    <w:t>；</w:t>
                  </w:r>
                  <w:r>
                    <w:rPr>
                      <w:rFonts w:hint="default"/>
                      <w:color w:val="auto"/>
                      <w:highlight w:val="none"/>
                    </w:rPr>
                    <w:t>园区纳污水体在未达到水质目标前，除城镇污水处理厂入河排污口外，严格控制新设、改设或者扩大排污口。</w:t>
                  </w:r>
                </w:p>
              </w:tc>
              <w:tc>
                <w:tcPr>
                  <w:tcW w:w="1449" w:type="pct"/>
                  <w:tcBorders>
                    <w:tl2br w:val="nil"/>
                    <w:tr2bl w:val="nil"/>
                  </w:tcBorders>
                  <w:noWrap w:val="0"/>
                  <w:vAlign w:val="center"/>
                </w:tcPr>
                <w:p>
                  <w:pPr>
                    <w:pStyle w:val="34"/>
                    <w:bidi w:val="0"/>
                    <w:rPr>
                      <w:rFonts w:hint="eastAsia"/>
                      <w:color w:val="auto"/>
                      <w:highlight w:val="none"/>
                      <w:lang w:eastAsia="zh-CN"/>
                    </w:rPr>
                  </w:pPr>
                  <w:r>
                    <w:rPr>
                      <w:rFonts w:hint="eastAsia"/>
                      <w:color w:val="auto"/>
                      <w:highlight w:val="none"/>
                      <w:lang w:val="en-US" w:eastAsia="zh-CN"/>
                    </w:rPr>
                    <w:t>本项目循环冷却水循环使用，循环冷却系统排污水经厂区已建生产废水深度水处理站处理达标后回用于易门铜业有限公司冶炼渣缓冷场，不外排</w:t>
                  </w:r>
                  <w:r>
                    <w:rPr>
                      <w:rFonts w:hint="eastAsia"/>
                      <w:color w:val="auto"/>
                      <w:highlight w:val="none"/>
                      <w:lang w:eastAsia="zh-CN"/>
                    </w:rPr>
                    <w:t>。</w:t>
                  </w:r>
                </w:p>
              </w:tc>
              <w:tc>
                <w:tcPr>
                  <w:tcW w:w="537"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pct"/>
                  <w:vMerge w:val="continue"/>
                  <w:tcBorders>
                    <w:tl2br w:val="nil"/>
                    <w:tr2bl w:val="nil"/>
                  </w:tcBorders>
                  <w:noWrap w:val="0"/>
                  <w:vAlign w:val="center"/>
                </w:tcPr>
                <w:p>
                  <w:pPr>
                    <w:pStyle w:val="34"/>
                    <w:bidi w:val="0"/>
                    <w:rPr>
                      <w:rFonts w:hint="default"/>
                      <w:color w:val="auto"/>
                      <w:highlight w:val="none"/>
                    </w:rPr>
                  </w:pPr>
                </w:p>
              </w:tc>
              <w:tc>
                <w:tcPr>
                  <w:tcW w:w="269" w:type="pct"/>
                  <w:vMerge w:val="continue"/>
                  <w:tcBorders>
                    <w:tl2br w:val="nil"/>
                    <w:tr2bl w:val="nil"/>
                  </w:tcBorders>
                  <w:noWrap w:val="0"/>
                  <w:vAlign w:val="center"/>
                </w:tcPr>
                <w:p>
                  <w:pPr>
                    <w:pStyle w:val="34"/>
                    <w:bidi w:val="0"/>
                    <w:rPr>
                      <w:rFonts w:hint="eastAsia"/>
                      <w:color w:val="auto"/>
                      <w:highlight w:val="none"/>
                      <w:lang w:eastAsia="zh-CN"/>
                    </w:rPr>
                  </w:pPr>
                </w:p>
              </w:tc>
              <w:tc>
                <w:tcPr>
                  <w:tcW w:w="2465"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企业废气达标率100%，污水处理达标率100%，工业固废处理率100%，危险废物安全处置率100%，生活垃圾无害化处理率100%，工业固废综合利用率60%，中水回用率不低于30%，清洁能源使用率不低于60%，重点企业清洁生产审核实施比例100%，项目环境影响评价执行率100%，“三同时”执行率100%。</w:t>
                  </w:r>
                </w:p>
              </w:tc>
              <w:tc>
                <w:tcPr>
                  <w:tcW w:w="1449"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eastAsia="zh-CN"/>
                    </w:rPr>
                    <w:t>项目</w:t>
                  </w:r>
                  <w:r>
                    <w:rPr>
                      <w:rFonts w:hint="eastAsia"/>
                      <w:color w:val="auto"/>
                      <w:highlight w:val="none"/>
                      <w:lang w:val="en-US" w:eastAsia="zh-CN"/>
                    </w:rPr>
                    <w:t>运营过程中无废气产生</w:t>
                  </w:r>
                  <w:r>
                    <w:rPr>
                      <w:rFonts w:hint="eastAsia"/>
                      <w:color w:val="auto"/>
                      <w:highlight w:val="none"/>
                      <w:lang w:eastAsia="zh-CN"/>
                    </w:rPr>
                    <w:t>；</w:t>
                  </w:r>
                  <w:r>
                    <w:rPr>
                      <w:rFonts w:hint="eastAsia"/>
                      <w:color w:val="auto"/>
                      <w:highlight w:val="none"/>
                      <w:lang w:val="en-US" w:eastAsia="zh-CN"/>
                    </w:rPr>
                    <w:t>项目废水经处理达标后全部回用，不外排；工业固废</w:t>
                  </w:r>
                  <w:r>
                    <w:rPr>
                      <w:rFonts w:hint="eastAsia"/>
                      <w:color w:val="auto"/>
                      <w:highlight w:val="none"/>
                      <w:lang w:eastAsia="zh-CN"/>
                    </w:rPr>
                    <w:t>处置率</w:t>
                  </w:r>
                  <w:r>
                    <w:rPr>
                      <w:rFonts w:hint="eastAsia"/>
                      <w:color w:val="auto"/>
                      <w:highlight w:val="none"/>
                      <w:lang w:val="en-US" w:eastAsia="zh-CN"/>
                    </w:rPr>
                    <w:t>100%。</w:t>
                  </w:r>
                </w:p>
              </w:tc>
              <w:tc>
                <w:tcPr>
                  <w:tcW w:w="537"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pct"/>
                  <w:vMerge w:val="continue"/>
                  <w:tcBorders>
                    <w:tl2br w:val="nil"/>
                    <w:tr2bl w:val="nil"/>
                  </w:tcBorders>
                  <w:noWrap w:val="0"/>
                  <w:vAlign w:val="center"/>
                </w:tcPr>
                <w:p>
                  <w:pPr>
                    <w:pStyle w:val="34"/>
                    <w:bidi w:val="0"/>
                    <w:rPr>
                      <w:rFonts w:hint="default"/>
                      <w:color w:val="auto"/>
                      <w:highlight w:val="none"/>
                    </w:rPr>
                  </w:pPr>
                </w:p>
              </w:tc>
              <w:tc>
                <w:tcPr>
                  <w:tcW w:w="269" w:type="pct"/>
                  <w:vMerge w:val="restart"/>
                  <w:tcBorders>
                    <w:tl2br w:val="nil"/>
                    <w:tr2bl w:val="nil"/>
                  </w:tcBorders>
                  <w:noWrap w:val="0"/>
                  <w:vAlign w:val="center"/>
                </w:tcPr>
                <w:p>
                  <w:pPr>
                    <w:pStyle w:val="34"/>
                    <w:bidi w:val="0"/>
                    <w:rPr>
                      <w:rFonts w:hint="eastAsia"/>
                      <w:color w:val="auto"/>
                      <w:highlight w:val="none"/>
                      <w:lang w:eastAsia="zh-CN"/>
                    </w:rPr>
                  </w:pPr>
                  <w:r>
                    <w:rPr>
                      <w:rFonts w:hint="eastAsia"/>
                      <w:color w:val="auto"/>
                      <w:highlight w:val="none"/>
                      <w:lang w:eastAsia="zh-CN"/>
                    </w:rPr>
                    <w:t>环境风险防控</w:t>
                  </w:r>
                </w:p>
              </w:tc>
              <w:tc>
                <w:tcPr>
                  <w:tcW w:w="2465" w:type="pct"/>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rPr>
                    <w:t>入驻企业生产区须“雨污分流”，并完善排污管网，所有废水必须处理后回用或达标排入园区污水管网，严禁废水事故外排</w:t>
                  </w:r>
                  <w:r>
                    <w:rPr>
                      <w:rFonts w:hint="eastAsia"/>
                      <w:color w:val="auto"/>
                      <w:highlight w:val="none"/>
                      <w:lang w:eastAsia="zh-CN"/>
                    </w:rPr>
                    <w:t>；</w:t>
                  </w:r>
                  <w:r>
                    <w:rPr>
                      <w:rFonts w:hint="default"/>
                      <w:color w:val="auto"/>
                      <w:highlight w:val="none"/>
                    </w:rPr>
                    <w:t>对于初期雨水需设置收集设施</w:t>
                  </w:r>
                  <w:r>
                    <w:rPr>
                      <w:rFonts w:hint="eastAsia"/>
                      <w:color w:val="auto"/>
                      <w:highlight w:val="none"/>
                      <w:lang w:eastAsia="zh-CN"/>
                    </w:rPr>
                    <w:t>；对企业原料堆存场地、车间、污水处理</w:t>
                  </w:r>
                  <w:r>
                    <w:rPr>
                      <w:rFonts w:hint="default"/>
                      <w:color w:val="auto"/>
                      <w:highlight w:val="none"/>
                    </w:rPr>
                    <w:t>设施需进行地面硬化，设置雨污分流设施，地坪冲洗水、各车间跑冒滴漏废水应做到封闭回用</w:t>
                  </w:r>
                  <w:r>
                    <w:rPr>
                      <w:rFonts w:hint="eastAsia"/>
                      <w:color w:val="auto"/>
                      <w:highlight w:val="none"/>
                      <w:lang w:eastAsia="zh-CN"/>
                    </w:rPr>
                    <w:t>；</w:t>
                  </w:r>
                  <w:r>
                    <w:rPr>
                      <w:rFonts w:hint="default"/>
                      <w:color w:val="auto"/>
                      <w:highlight w:val="none"/>
                    </w:rPr>
                    <w:t>对于油料贮存库必须采取防渗措施</w:t>
                  </w:r>
                  <w:r>
                    <w:rPr>
                      <w:rFonts w:hint="eastAsia"/>
                      <w:color w:val="auto"/>
                      <w:highlight w:val="none"/>
                      <w:lang w:eastAsia="zh-CN"/>
                    </w:rPr>
                    <w:t>；</w:t>
                  </w:r>
                  <w:r>
                    <w:rPr>
                      <w:rFonts w:hint="default"/>
                      <w:color w:val="auto"/>
                      <w:highlight w:val="none"/>
                    </w:rPr>
                    <w:t>处理设施确保稳定运行</w:t>
                  </w:r>
                  <w:r>
                    <w:rPr>
                      <w:rFonts w:hint="eastAsia"/>
                      <w:color w:val="auto"/>
                      <w:highlight w:val="none"/>
                      <w:lang w:eastAsia="zh-CN"/>
                    </w:rPr>
                    <w:t>；</w:t>
                  </w:r>
                  <w:r>
                    <w:rPr>
                      <w:rFonts w:hint="default"/>
                      <w:color w:val="auto"/>
                      <w:highlight w:val="none"/>
                    </w:rPr>
                    <w:t>加强企业内部环境风险</w:t>
                  </w:r>
                  <w:r>
                    <w:rPr>
                      <w:rFonts w:hint="eastAsia"/>
                      <w:color w:val="auto"/>
                      <w:highlight w:val="none"/>
                      <w:lang w:eastAsia="zh-CN"/>
                    </w:rPr>
                    <w:t>三</w:t>
                  </w:r>
                  <w:r>
                    <w:rPr>
                      <w:rFonts w:hint="default"/>
                      <w:color w:val="auto"/>
                      <w:highlight w:val="none"/>
                    </w:rPr>
                    <w:t>级防护措施，对涉风险的生产和储存设施设置围堰防护。</w:t>
                  </w:r>
                </w:p>
              </w:tc>
              <w:tc>
                <w:tcPr>
                  <w:tcW w:w="1449"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eastAsia="zh-CN"/>
                    </w:rPr>
                    <w:t>项目</w:t>
                  </w:r>
                  <w:r>
                    <w:rPr>
                      <w:rFonts w:hint="eastAsia"/>
                      <w:color w:val="auto"/>
                      <w:highlight w:val="none"/>
                      <w:lang w:val="en-US" w:eastAsia="zh-CN"/>
                    </w:rPr>
                    <w:t>实行</w:t>
                  </w:r>
                  <w:r>
                    <w:rPr>
                      <w:rFonts w:hint="eastAsia"/>
                      <w:color w:val="auto"/>
                      <w:highlight w:val="none"/>
                      <w:lang w:eastAsia="zh-CN"/>
                    </w:rPr>
                    <w:t>“雨污分流”</w:t>
                  </w:r>
                  <w:r>
                    <w:rPr>
                      <w:rFonts w:hint="eastAsia"/>
                      <w:color w:val="auto"/>
                      <w:highlight w:val="none"/>
                      <w:lang w:val="en-US" w:eastAsia="zh-CN"/>
                    </w:rPr>
                    <w:t>制度</w:t>
                  </w:r>
                  <w:r>
                    <w:rPr>
                      <w:rFonts w:hint="eastAsia"/>
                      <w:color w:val="auto"/>
                      <w:highlight w:val="none"/>
                      <w:lang w:eastAsia="zh-CN"/>
                    </w:rPr>
                    <w:t>，</w:t>
                  </w:r>
                  <w:r>
                    <w:rPr>
                      <w:rFonts w:hint="eastAsia"/>
                      <w:color w:val="auto"/>
                      <w:highlight w:val="none"/>
                      <w:lang w:val="en-US" w:eastAsia="zh-CN"/>
                    </w:rPr>
                    <w:t>项目区初期雨水经收集后进入雨水处理系统，生活污水、生产废水经处理达标后回用，不外排。</w:t>
                  </w:r>
                </w:p>
              </w:tc>
              <w:tc>
                <w:tcPr>
                  <w:tcW w:w="537" w:type="pct"/>
                  <w:tcBorders>
                    <w:tl2br w:val="nil"/>
                    <w:tr2bl w:val="nil"/>
                  </w:tcBorders>
                  <w:noWrap w:val="0"/>
                  <w:vAlign w:val="center"/>
                </w:tcPr>
                <w:p>
                  <w:pPr>
                    <w:pStyle w:val="34"/>
                    <w:bidi w:val="0"/>
                    <w:rPr>
                      <w:rFonts w:hint="eastAsia"/>
                      <w:color w:val="auto"/>
                      <w:highlight w:val="none"/>
                      <w:lang w:eastAsia="zh-CN"/>
                    </w:rPr>
                  </w:pPr>
                  <w:r>
                    <w:rPr>
                      <w:rFonts w:hint="eastAsia"/>
                      <w:color w:val="auto"/>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pct"/>
                  <w:vMerge w:val="continue"/>
                  <w:tcBorders>
                    <w:tl2br w:val="nil"/>
                    <w:tr2bl w:val="nil"/>
                  </w:tcBorders>
                  <w:noWrap w:val="0"/>
                  <w:vAlign w:val="center"/>
                </w:tcPr>
                <w:p>
                  <w:pPr>
                    <w:pStyle w:val="34"/>
                    <w:bidi w:val="0"/>
                    <w:rPr>
                      <w:rFonts w:hint="default"/>
                      <w:color w:val="auto"/>
                      <w:highlight w:val="none"/>
                    </w:rPr>
                  </w:pPr>
                </w:p>
              </w:tc>
              <w:tc>
                <w:tcPr>
                  <w:tcW w:w="269" w:type="pct"/>
                  <w:vMerge w:val="continue"/>
                  <w:tcBorders>
                    <w:tl2br w:val="nil"/>
                    <w:tr2bl w:val="nil"/>
                  </w:tcBorders>
                  <w:noWrap w:val="0"/>
                  <w:vAlign w:val="center"/>
                </w:tcPr>
                <w:p>
                  <w:pPr>
                    <w:pStyle w:val="34"/>
                    <w:bidi w:val="0"/>
                    <w:rPr>
                      <w:rFonts w:hint="eastAsia"/>
                      <w:color w:val="auto"/>
                      <w:highlight w:val="none"/>
                      <w:lang w:eastAsia="zh-CN"/>
                    </w:rPr>
                  </w:pPr>
                </w:p>
              </w:tc>
              <w:tc>
                <w:tcPr>
                  <w:tcW w:w="2465"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固废堆存场应按照各固废属性鉴别结果按相关要求进行防渗，同时设置防雨淋、防流失设施，并在四周设置地沟收集跑冒滴漏，防止雨水对固废侵蚀造成地下水污染</w:t>
                  </w:r>
                  <w:r>
                    <w:rPr>
                      <w:rFonts w:hint="eastAsia"/>
                      <w:color w:val="auto"/>
                      <w:highlight w:val="none"/>
                      <w:lang w:eastAsia="zh-CN"/>
                    </w:rPr>
                    <w:t>；</w:t>
                  </w:r>
                  <w:r>
                    <w:rPr>
                      <w:rFonts w:hint="default"/>
                      <w:color w:val="auto"/>
                      <w:highlight w:val="none"/>
                    </w:rPr>
                    <w:t>危废临时储存设施的选址、防渗设计等应严格遵守《危险废物贮存污染控制标准》(GB18597-2001) 的规定，并交由有资质的单位处置。</w:t>
                  </w:r>
                </w:p>
              </w:tc>
              <w:tc>
                <w:tcPr>
                  <w:tcW w:w="1449" w:type="pct"/>
                  <w:tcBorders>
                    <w:tl2br w:val="nil"/>
                    <w:tr2bl w:val="nil"/>
                  </w:tcBorders>
                  <w:noWrap w:val="0"/>
                  <w:vAlign w:val="center"/>
                </w:tcPr>
                <w:p>
                  <w:pPr>
                    <w:pStyle w:val="34"/>
                    <w:bidi w:val="0"/>
                    <w:rPr>
                      <w:rFonts w:hint="eastAsia"/>
                      <w:color w:val="auto"/>
                      <w:highlight w:val="none"/>
                      <w:lang w:eastAsia="zh-CN"/>
                    </w:rPr>
                  </w:pPr>
                  <w:r>
                    <w:rPr>
                      <w:rFonts w:hint="eastAsia"/>
                      <w:color w:val="auto"/>
                      <w:highlight w:val="none"/>
                      <w:lang w:val="en-US" w:eastAsia="zh-CN"/>
                    </w:rPr>
                    <w:t>厂区内</w:t>
                  </w:r>
                  <w:r>
                    <w:rPr>
                      <w:rFonts w:hint="eastAsia"/>
                      <w:color w:val="auto"/>
                      <w:highlight w:val="none"/>
                      <w:lang w:eastAsia="zh-CN"/>
                    </w:rPr>
                    <w:t>一般固废、生活</w:t>
                  </w:r>
                  <w:r>
                    <w:rPr>
                      <w:rFonts w:hint="eastAsia"/>
                      <w:color w:val="auto"/>
                      <w:highlight w:val="none"/>
                      <w:lang w:val="en-US" w:eastAsia="zh-CN"/>
                    </w:rPr>
                    <w:t>垃圾</w:t>
                  </w:r>
                  <w:r>
                    <w:rPr>
                      <w:rFonts w:hint="eastAsia"/>
                      <w:color w:val="auto"/>
                      <w:highlight w:val="none"/>
                      <w:lang w:eastAsia="zh-CN"/>
                    </w:rPr>
                    <w:t>、危险废物分</w:t>
                  </w:r>
                  <w:r>
                    <w:rPr>
                      <w:rFonts w:hint="eastAsia"/>
                      <w:color w:val="auto"/>
                      <w:highlight w:val="none"/>
                      <w:lang w:val="en-US" w:eastAsia="zh-CN"/>
                    </w:rPr>
                    <w:t>区域存放</w:t>
                  </w:r>
                  <w:r>
                    <w:rPr>
                      <w:rFonts w:hint="eastAsia"/>
                      <w:color w:val="auto"/>
                      <w:highlight w:val="none"/>
                      <w:lang w:eastAsia="zh-CN"/>
                    </w:rPr>
                    <w:t>；危险废物贮存库、</w:t>
                  </w:r>
                  <w:r>
                    <w:rPr>
                      <w:rFonts w:hint="eastAsia"/>
                      <w:color w:val="auto"/>
                      <w:highlight w:val="none"/>
                      <w:lang w:val="en-US" w:eastAsia="zh-CN"/>
                    </w:rPr>
                    <w:t>储存区</w:t>
                  </w:r>
                  <w:r>
                    <w:rPr>
                      <w:rFonts w:hint="eastAsia"/>
                      <w:color w:val="auto"/>
                      <w:highlight w:val="none"/>
                      <w:lang w:eastAsia="zh-CN"/>
                    </w:rPr>
                    <w:t>地面进行防渗，</w:t>
                  </w:r>
                  <w:r>
                    <w:rPr>
                      <w:rFonts w:hint="default"/>
                      <w:color w:val="auto"/>
                      <w:highlight w:val="none"/>
                    </w:rPr>
                    <w:t>并在四周设置地沟收集跑冒滴漏，防止雨水对固废侵蚀造成地下水污染</w:t>
                  </w:r>
                  <w:r>
                    <w:rPr>
                      <w:rFonts w:hint="eastAsia"/>
                      <w:color w:val="auto"/>
                      <w:highlight w:val="none"/>
                      <w:lang w:eastAsia="zh-CN"/>
                    </w:rPr>
                    <w:t>，</w:t>
                  </w:r>
                  <w:r>
                    <w:rPr>
                      <w:rFonts w:hint="eastAsia"/>
                      <w:color w:val="auto"/>
                      <w:highlight w:val="none"/>
                      <w:lang w:val="en-US" w:eastAsia="zh-CN"/>
                    </w:rPr>
                    <w:t>危废贮存设施满足</w:t>
                  </w:r>
                  <w:r>
                    <w:rPr>
                      <w:rFonts w:hint="default"/>
                      <w:color w:val="auto"/>
                      <w:highlight w:val="none"/>
                    </w:rPr>
                    <w:t>《危险废物贮存污染控制标准》</w:t>
                  </w:r>
                  <w:r>
                    <w:rPr>
                      <w:rFonts w:hint="eastAsia"/>
                      <w:color w:val="auto"/>
                      <w:highlight w:val="none"/>
                      <w:lang w:eastAsia="zh-CN"/>
                    </w:rPr>
                    <w:t>（</w:t>
                  </w:r>
                  <w:r>
                    <w:rPr>
                      <w:rFonts w:hint="default"/>
                      <w:color w:val="auto"/>
                      <w:highlight w:val="none"/>
                    </w:rPr>
                    <w:t>GB18597-20</w:t>
                  </w:r>
                  <w:r>
                    <w:rPr>
                      <w:rFonts w:hint="eastAsia"/>
                      <w:color w:val="auto"/>
                      <w:highlight w:val="none"/>
                      <w:lang w:val="en-US" w:eastAsia="zh-CN"/>
                    </w:rPr>
                    <w:t>23</w:t>
                  </w:r>
                  <w:r>
                    <w:rPr>
                      <w:rFonts w:hint="eastAsia"/>
                      <w:color w:val="auto"/>
                      <w:highlight w:val="none"/>
                      <w:lang w:eastAsia="zh-CN"/>
                    </w:rPr>
                    <w:t>）</w:t>
                  </w:r>
                  <w:r>
                    <w:rPr>
                      <w:rFonts w:hint="eastAsia"/>
                      <w:color w:val="auto"/>
                      <w:highlight w:val="none"/>
                      <w:lang w:val="en-US" w:eastAsia="zh-CN"/>
                    </w:rPr>
                    <w:t>标准</w:t>
                  </w:r>
                  <w:r>
                    <w:rPr>
                      <w:rFonts w:hint="eastAsia"/>
                      <w:color w:val="auto"/>
                      <w:highlight w:val="none"/>
                      <w:lang w:eastAsia="zh-CN"/>
                    </w:rPr>
                    <w:t>，定期交由</w:t>
                  </w:r>
                  <w:r>
                    <w:rPr>
                      <w:rFonts w:hint="eastAsia"/>
                      <w:color w:val="auto"/>
                      <w:highlight w:val="none"/>
                      <w:lang w:val="en-US" w:eastAsia="zh-CN"/>
                    </w:rPr>
                    <w:t>云南广莱再生资源回收有限公司</w:t>
                  </w:r>
                  <w:r>
                    <w:rPr>
                      <w:rFonts w:hint="eastAsia"/>
                      <w:color w:val="auto"/>
                      <w:highlight w:val="none"/>
                      <w:lang w:eastAsia="zh-CN"/>
                    </w:rPr>
                    <w:t>处置。</w:t>
                  </w:r>
                </w:p>
              </w:tc>
              <w:tc>
                <w:tcPr>
                  <w:tcW w:w="537" w:type="pct"/>
                  <w:tcBorders>
                    <w:tl2br w:val="nil"/>
                    <w:tr2bl w:val="nil"/>
                  </w:tcBorders>
                  <w:noWrap w:val="0"/>
                  <w:vAlign w:val="center"/>
                </w:tcPr>
                <w:p>
                  <w:pPr>
                    <w:pStyle w:val="34"/>
                    <w:bidi w:val="0"/>
                    <w:rPr>
                      <w:rFonts w:hint="eastAsia"/>
                      <w:color w:val="auto"/>
                      <w:highlight w:val="none"/>
                      <w:lang w:eastAsia="zh-CN"/>
                    </w:rPr>
                  </w:pPr>
                  <w:r>
                    <w:rPr>
                      <w:rFonts w:hint="eastAsia"/>
                      <w:color w:val="auto"/>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pct"/>
                  <w:vMerge w:val="continue"/>
                  <w:tcBorders>
                    <w:tl2br w:val="nil"/>
                    <w:tr2bl w:val="nil"/>
                  </w:tcBorders>
                  <w:noWrap w:val="0"/>
                  <w:vAlign w:val="center"/>
                </w:tcPr>
                <w:p>
                  <w:pPr>
                    <w:pStyle w:val="34"/>
                    <w:bidi w:val="0"/>
                    <w:rPr>
                      <w:rFonts w:hint="default"/>
                      <w:color w:val="auto"/>
                      <w:highlight w:val="none"/>
                    </w:rPr>
                  </w:pPr>
                </w:p>
              </w:tc>
              <w:tc>
                <w:tcPr>
                  <w:tcW w:w="269" w:type="pct"/>
                  <w:vMerge w:val="continue"/>
                  <w:tcBorders>
                    <w:tl2br w:val="nil"/>
                    <w:tr2bl w:val="nil"/>
                  </w:tcBorders>
                  <w:noWrap w:val="0"/>
                  <w:vAlign w:val="center"/>
                </w:tcPr>
                <w:p>
                  <w:pPr>
                    <w:pStyle w:val="34"/>
                    <w:bidi w:val="0"/>
                    <w:rPr>
                      <w:rFonts w:hint="eastAsia"/>
                      <w:color w:val="auto"/>
                      <w:highlight w:val="none"/>
                      <w:lang w:eastAsia="zh-CN"/>
                    </w:rPr>
                  </w:pPr>
                </w:p>
              </w:tc>
              <w:tc>
                <w:tcPr>
                  <w:tcW w:w="2465" w:type="pct"/>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lang w:val="en-US" w:eastAsia="zh-CN"/>
                    </w:rPr>
                    <w:t>强化企业环境风险防范设施设备建设和运行监管，制定突发环境事件应急预案，建立企业隐患排查整治常态化监管机制，加强企业环境应急预案与园区综合环境应急预案的衔接，加强区域应急物资调配管理，组织园区范围内的环境安全隐患排查应急培训和演练，构建区域环境风险联控机制。</w:t>
                  </w:r>
                </w:p>
              </w:tc>
              <w:tc>
                <w:tcPr>
                  <w:tcW w:w="1449" w:type="pct"/>
                  <w:tcBorders>
                    <w:tl2br w:val="nil"/>
                    <w:tr2bl w:val="nil"/>
                  </w:tcBorders>
                  <w:noWrap w:val="0"/>
                  <w:vAlign w:val="center"/>
                </w:tcPr>
                <w:p>
                  <w:pPr>
                    <w:pStyle w:val="34"/>
                    <w:bidi w:val="0"/>
                    <w:rPr>
                      <w:rFonts w:hint="eastAsia"/>
                      <w:color w:val="auto"/>
                      <w:highlight w:val="none"/>
                      <w:lang w:val="en-US" w:eastAsia="zh-CN"/>
                    </w:rPr>
                  </w:pPr>
                  <w:r>
                    <w:rPr>
                      <w:rFonts w:hint="eastAsia"/>
                      <w:color w:val="auto"/>
                      <w:highlight w:val="none"/>
                      <w:lang w:val="en-US" w:eastAsia="zh-CN"/>
                    </w:rPr>
                    <w:t>企业已制定</w:t>
                  </w:r>
                  <w:r>
                    <w:rPr>
                      <w:rFonts w:hint="default"/>
                      <w:color w:val="auto"/>
                      <w:highlight w:val="none"/>
                      <w:lang w:val="en-US" w:eastAsia="zh-CN"/>
                    </w:rPr>
                    <w:t>突发环境事件应急预案</w:t>
                  </w:r>
                  <w:r>
                    <w:rPr>
                      <w:rFonts w:hint="eastAsia"/>
                      <w:color w:val="auto"/>
                      <w:highlight w:val="none"/>
                      <w:lang w:val="en-US" w:eastAsia="zh-CN"/>
                    </w:rPr>
                    <w:t>并完成备案，改建完成后及时修订应急预案，定期进行应急演练。</w:t>
                  </w:r>
                </w:p>
              </w:tc>
              <w:tc>
                <w:tcPr>
                  <w:tcW w:w="537" w:type="pct"/>
                  <w:tcBorders>
                    <w:tl2br w:val="nil"/>
                    <w:tr2bl w:val="nil"/>
                  </w:tcBorders>
                  <w:noWrap w:val="0"/>
                  <w:vAlign w:val="center"/>
                </w:tcPr>
                <w:p>
                  <w:pPr>
                    <w:pStyle w:val="34"/>
                    <w:bidi w:val="0"/>
                    <w:rPr>
                      <w:rFonts w:hint="eastAsia"/>
                      <w:color w:val="auto"/>
                      <w:highlight w:val="none"/>
                      <w:lang w:eastAsia="zh-CN"/>
                    </w:rPr>
                  </w:pPr>
                  <w:r>
                    <w:rPr>
                      <w:rFonts w:hint="eastAsia"/>
                      <w:color w:val="auto"/>
                      <w:highlight w:val="none"/>
                      <w:lang w:eastAsia="zh-CN"/>
                    </w:rPr>
                    <w:t>符合</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color w:val="auto"/>
                <w:highlight w:val="none"/>
                <w:lang w:val="en-US" w:eastAsia="zh-CN"/>
              </w:rPr>
            </w:pPr>
            <w:r>
              <w:rPr>
                <w:rFonts w:hint="eastAsia"/>
                <w:color w:val="auto"/>
                <w:highlight w:val="none"/>
                <w:lang w:val="en-US" w:eastAsia="zh-CN"/>
              </w:rPr>
              <w:t>综上所述，本项目建设</w:t>
            </w:r>
            <w:r>
              <w:rPr>
                <w:rFonts w:hint="eastAsia"/>
                <w:color w:val="auto"/>
                <w:highlight w:val="none"/>
              </w:rPr>
              <w:t>符合《</w:t>
            </w:r>
            <w:r>
              <w:rPr>
                <w:rFonts w:hint="eastAsia"/>
                <w:color w:val="auto"/>
                <w:highlight w:val="none"/>
                <w:lang w:eastAsia="zh-CN"/>
              </w:rPr>
              <w:t>云南</w:t>
            </w:r>
            <w:r>
              <w:rPr>
                <w:rFonts w:hint="eastAsia"/>
                <w:color w:val="auto"/>
                <w:highlight w:val="none"/>
                <w:lang w:val="en-US" w:eastAsia="zh-CN"/>
              </w:rPr>
              <w:t>易门</w:t>
            </w:r>
            <w:r>
              <w:rPr>
                <w:rFonts w:hint="eastAsia"/>
                <w:color w:val="auto"/>
                <w:highlight w:val="none"/>
                <w:lang w:eastAsia="zh-CN"/>
              </w:rPr>
              <w:t>产业园区总体规划（</w:t>
            </w:r>
            <w:r>
              <w:rPr>
                <w:rFonts w:hint="eastAsia"/>
                <w:color w:val="auto"/>
                <w:highlight w:val="none"/>
              </w:rPr>
              <w:t>修编</w:t>
            </w:r>
            <w:r>
              <w:rPr>
                <w:rFonts w:hint="eastAsia"/>
                <w:color w:val="auto"/>
                <w:highlight w:val="none"/>
                <w:lang w:eastAsia="zh-CN"/>
              </w:rPr>
              <w:t>）</w:t>
            </w:r>
            <w:r>
              <w:rPr>
                <w:rFonts w:hint="eastAsia"/>
                <w:color w:val="auto"/>
                <w:highlight w:val="none"/>
              </w:rPr>
              <w:t>（2021-2035）环境影响报告书》中</w:t>
            </w:r>
            <w:r>
              <w:rPr>
                <w:rFonts w:hint="eastAsia"/>
                <w:color w:val="auto"/>
                <w:highlight w:val="none"/>
                <w:lang w:val="en-US" w:eastAsia="zh-CN"/>
              </w:rPr>
              <w:t>的</w:t>
            </w:r>
            <w:r>
              <w:rPr>
                <w:rFonts w:hint="eastAsia"/>
                <w:color w:val="auto"/>
                <w:highlight w:val="none"/>
              </w:rPr>
              <w:t>相关要求。</w:t>
            </w:r>
          </w:p>
          <w:p>
            <w:pPr>
              <w:bidi w:val="0"/>
              <w:rPr>
                <w:rFonts w:hint="default"/>
                <w:color w:val="auto"/>
                <w:highlight w:val="none"/>
                <w:lang w:val="en-US" w:eastAsia="zh-CN"/>
              </w:rPr>
            </w:pPr>
            <w:r>
              <w:rPr>
                <w:rFonts w:hint="eastAsia" w:ascii="黑体" w:hAnsi="黑体" w:eastAsia="黑体" w:cs="黑体"/>
                <w:color w:val="auto"/>
                <w:highlight w:val="none"/>
                <w:lang w:val="en-US" w:eastAsia="zh-CN"/>
              </w:rPr>
              <w:t>（2）与“玉溪市生态环境局关于《</w:t>
            </w:r>
            <w:r>
              <w:rPr>
                <w:rFonts w:hint="eastAsia" w:ascii="黑体" w:hAnsi="黑体" w:eastAsia="黑体" w:cs="黑体"/>
                <w:color w:val="auto"/>
                <w:highlight w:val="none"/>
                <w:lang w:eastAsia="zh-CN"/>
              </w:rPr>
              <w:t>云南</w:t>
            </w:r>
            <w:r>
              <w:rPr>
                <w:rFonts w:hint="eastAsia" w:ascii="黑体" w:hAnsi="黑体" w:eastAsia="黑体" w:cs="黑体"/>
                <w:color w:val="auto"/>
                <w:highlight w:val="none"/>
                <w:lang w:val="en-US" w:eastAsia="zh-CN"/>
              </w:rPr>
              <w:t>易门</w:t>
            </w:r>
            <w:r>
              <w:rPr>
                <w:rFonts w:hint="eastAsia" w:ascii="黑体" w:hAnsi="黑体" w:eastAsia="黑体" w:cs="黑体"/>
                <w:color w:val="auto"/>
                <w:highlight w:val="none"/>
                <w:lang w:eastAsia="zh-CN"/>
              </w:rPr>
              <w:t>产业园区总体规划（</w:t>
            </w:r>
            <w:r>
              <w:rPr>
                <w:rFonts w:hint="eastAsia" w:ascii="黑体" w:hAnsi="黑体" w:eastAsia="黑体" w:cs="黑体"/>
                <w:color w:val="auto"/>
                <w:highlight w:val="none"/>
              </w:rPr>
              <w:t>修编</w:t>
            </w:r>
            <w:r>
              <w:rPr>
                <w:rFonts w:hint="eastAsia" w:ascii="黑体" w:hAnsi="黑体" w:eastAsia="黑体" w:cs="黑体"/>
                <w:color w:val="auto"/>
                <w:highlight w:val="none"/>
                <w:lang w:eastAsia="zh-CN"/>
              </w:rPr>
              <w:t>）</w:t>
            </w:r>
            <w:r>
              <w:rPr>
                <w:rFonts w:hint="eastAsia" w:ascii="黑体" w:hAnsi="黑体" w:eastAsia="黑体" w:cs="黑体"/>
                <w:color w:val="auto"/>
                <w:highlight w:val="none"/>
                <w:lang w:val="en-US" w:eastAsia="zh-CN"/>
              </w:rPr>
              <w:t>（2021-2035年）环境影响报告书》审查意见的函（玉市环函〔2022〕32号）”的符合性分析</w:t>
            </w:r>
          </w:p>
          <w:p>
            <w:pPr>
              <w:bidi w:val="0"/>
              <w:rPr>
                <w:rFonts w:hint="default"/>
                <w:color w:val="auto"/>
                <w:highlight w:val="none"/>
                <w:lang w:val="en-US" w:eastAsia="zh-CN"/>
              </w:rPr>
            </w:pPr>
            <w:r>
              <w:rPr>
                <w:rFonts w:hint="eastAsia"/>
                <w:color w:val="auto"/>
                <w:highlight w:val="none"/>
                <w:lang w:val="en-US" w:eastAsia="zh-CN"/>
              </w:rPr>
              <w:t>本项目与“玉溪市生态环境局关于《云南易门产业园区总体规划（修编）（2021-2035年）环境影响报告书》审查意见的函（玉市环函〔2022〕32号）”的符合性分析详见下表。</w:t>
            </w:r>
          </w:p>
          <w:p>
            <w:pPr>
              <w:pStyle w:val="35"/>
              <w:bidi w:val="0"/>
              <w:rPr>
                <w:rFonts w:hint="default"/>
                <w:color w:val="auto"/>
                <w:highlight w:val="none"/>
                <w:lang w:val="en-US" w:eastAsia="zh-CN"/>
              </w:rPr>
            </w:pPr>
            <w:r>
              <w:rPr>
                <w:rFonts w:hint="eastAsia"/>
                <w:color w:val="auto"/>
                <w:highlight w:val="none"/>
                <w:lang w:val="en-US" w:eastAsia="zh-CN"/>
              </w:rPr>
              <w:t>表1-3  本项目与“规划环评审查意见”的符合性分析一览表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3"/>
              <w:gridCol w:w="731"/>
              <w:gridCol w:w="2856"/>
              <w:gridCol w:w="1971"/>
              <w:gridCol w:w="7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040" w:type="pct"/>
                  <w:gridSpan w:val="3"/>
                  <w:tcBorders>
                    <w:tl2br w:val="nil"/>
                    <w:tr2bl w:val="nil"/>
                  </w:tcBorders>
                  <w:noWrap w:val="0"/>
                  <w:vAlign w:val="center"/>
                </w:tcPr>
                <w:p>
                  <w:pPr>
                    <w:pStyle w:val="34"/>
                    <w:bidi w:val="0"/>
                    <w:rPr>
                      <w:rFonts w:hint="default"/>
                      <w:color w:val="auto"/>
                      <w:highlight w:val="none"/>
                    </w:rPr>
                  </w:pPr>
                  <w:r>
                    <w:rPr>
                      <w:rFonts w:hint="default"/>
                      <w:color w:val="auto"/>
                      <w:highlight w:val="none"/>
                    </w:rPr>
                    <w:t>规划环评审查意见要求</w:t>
                  </w:r>
                </w:p>
              </w:tc>
              <w:tc>
                <w:tcPr>
                  <w:tcW w:w="1410"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本项目情况</w:t>
                  </w:r>
                </w:p>
              </w:tc>
              <w:tc>
                <w:tcPr>
                  <w:tcW w:w="549"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vMerge w:val="restart"/>
                  <w:tcBorders>
                    <w:tl2br w:val="nil"/>
                    <w:tr2bl w:val="nil"/>
                  </w:tcBorders>
                  <w:noWrap w:val="0"/>
                  <w:vAlign w:val="center"/>
                </w:tcPr>
                <w:p>
                  <w:pPr>
                    <w:pStyle w:val="34"/>
                    <w:bidi w:val="0"/>
                    <w:rPr>
                      <w:rFonts w:hint="default"/>
                      <w:color w:val="auto"/>
                      <w:highlight w:val="none"/>
                    </w:rPr>
                  </w:pPr>
                  <w:r>
                    <w:rPr>
                      <w:rFonts w:hint="default"/>
                      <w:color w:val="auto"/>
                      <w:highlight w:val="none"/>
                    </w:rPr>
                    <w:t>《规划》优化调整和实施过程中的意见建议</w:t>
                  </w:r>
                </w:p>
              </w:tc>
              <w:tc>
                <w:tcPr>
                  <w:tcW w:w="523"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（二）严格控制产业发展规模，合理安排开发时序。</w:t>
                  </w:r>
                </w:p>
              </w:tc>
              <w:tc>
                <w:tcPr>
                  <w:tcW w:w="2042"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根据资源环境禀赋条件、产业政策、能源双控、环境容量等要求，审慎论证规划产业规模；</w:t>
                  </w:r>
                  <w:r>
                    <w:rPr>
                      <w:rFonts w:hint="default"/>
                      <w:color w:val="auto"/>
                      <w:highlight w:val="none"/>
                    </w:rPr>
                    <w:t>实施“雨污分流”，加强建设初期雨水收集处理系统，加强园区企业废水的梯次利用，区域水环境质量未达到水质目标前，除城镇污水处理厂入河排污口外，不再新设、改设或扩大排污口</w:t>
                  </w:r>
                  <w:r>
                    <w:rPr>
                      <w:rFonts w:hint="eastAsia"/>
                      <w:color w:val="auto"/>
                      <w:highlight w:val="none"/>
                      <w:lang w:eastAsia="zh-CN"/>
                    </w:rPr>
                    <w:t>，</w:t>
                  </w:r>
                  <w:r>
                    <w:rPr>
                      <w:rFonts w:hint="eastAsia"/>
                      <w:color w:val="auto"/>
                      <w:highlight w:val="none"/>
                      <w:lang w:val="en-US" w:eastAsia="zh-CN"/>
                    </w:rPr>
                    <w:t>结合水污染防治方案等实施相应的水环境质量改善工程，切实削减COD、氨氮等污染物，配合易门县相关部门，加强六街河、小山凹河、双龙河、三五大河、浦北河、扒河等河道的水环境综合整治与生态修复工程，切实改善地表水环境质量。</w:t>
                  </w:r>
                </w:p>
              </w:tc>
              <w:tc>
                <w:tcPr>
                  <w:tcW w:w="1410"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eastAsia="zh-CN"/>
                    </w:rPr>
                    <w:t>项目</w:t>
                  </w:r>
                  <w:r>
                    <w:rPr>
                      <w:rFonts w:hint="eastAsia"/>
                      <w:color w:val="auto"/>
                      <w:highlight w:val="none"/>
                      <w:lang w:val="en-US" w:eastAsia="zh-CN"/>
                    </w:rPr>
                    <w:t>实行</w:t>
                  </w:r>
                  <w:r>
                    <w:rPr>
                      <w:rFonts w:hint="eastAsia"/>
                      <w:color w:val="auto"/>
                      <w:highlight w:val="none"/>
                      <w:lang w:eastAsia="zh-CN"/>
                    </w:rPr>
                    <w:t>“雨污分流”</w:t>
                  </w:r>
                  <w:r>
                    <w:rPr>
                      <w:rFonts w:hint="eastAsia"/>
                      <w:color w:val="auto"/>
                      <w:highlight w:val="none"/>
                      <w:lang w:val="en-US" w:eastAsia="zh-CN"/>
                    </w:rPr>
                    <w:t>制度</w:t>
                  </w:r>
                  <w:r>
                    <w:rPr>
                      <w:rFonts w:hint="eastAsia"/>
                      <w:color w:val="auto"/>
                      <w:highlight w:val="none"/>
                      <w:lang w:eastAsia="zh-CN"/>
                    </w:rPr>
                    <w:t>，</w:t>
                  </w:r>
                  <w:r>
                    <w:rPr>
                      <w:rFonts w:hint="eastAsia"/>
                      <w:color w:val="auto"/>
                      <w:highlight w:val="none"/>
                      <w:lang w:val="en-US" w:eastAsia="zh-CN"/>
                    </w:rPr>
                    <w:t>项目区初期雨水经收集后进入雨水处理系统，生活污水、生产废水经处理达标后回用，不外排</w:t>
                  </w:r>
                  <w:r>
                    <w:rPr>
                      <w:rFonts w:hint="default"/>
                      <w:color w:val="auto"/>
                      <w:highlight w:val="none"/>
                      <w:lang w:val="en-US" w:eastAsia="zh-CN"/>
                    </w:rPr>
                    <w:t>。</w:t>
                  </w:r>
                </w:p>
              </w:tc>
              <w:tc>
                <w:tcPr>
                  <w:tcW w:w="549"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474" w:type="pct"/>
                  <w:vMerge w:val="continue"/>
                  <w:tcBorders>
                    <w:tl2br w:val="nil"/>
                    <w:tr2bl w:val="nil"/>
                  </w:tcBorders>
                  <w:noWrap w:val="0"/>
                  <w:vAlign w:val="center"/>
                </w:tcPr>
                <w:p>
                  <w:pPr>
                    <w:pStyle w:val="34"/>
                    <w:bidi w:val="0"/>
                    <w:rPr>
                      <w:rFonts w:hint="default"/>
                      <w:color w:val="auto"/>
                      <w:highlight w:val="none"/>
                    </w:rPr>
                  </w:pPr>
                </w:p>
              </w:tc>
              <w:tc>
                <w:tcPr>
                  <w:tcW w:w="523" w:type="pct"/>
                  <w:vMerge w:val="restart"/>
                  <w:tcBorders>
                    <w:tl2br w:val="nil"/>
                    <w:tr2bl w:val="nil"/>
                  </w:tcBorders>
                  <w:noWrap w:val="0"/>
                  <w:vAlign w:val="center"/>
                </w:tcPr>
                <w:p>
                  <w:pPr>
                    <w:pStyle w:val="34"/>
                    <w:bidi w:val="0"/>
                    <w:rPr>
                      <w:rFonts w:hint="default"/>
                      <w:color w:val="auto"/>
                      <w:highlight w:val="none"/>
                    </w:rPr>
                  </w:pPr>
                  <w:r>
                    <w:rPr>
                      <w:rFonts w:hint="default"/>
                      <w:color w:val="auto"/>
                      <w:highlight w:val="none"/>
                    </w:rPr>
                    <w:t>（三）进一步优化园区空间布局，加强空间管控，加大对环境敏感区的保护力度，严禁不符合管控要求的各类开发和建设活动</w:t>
                  </w:r>
                </w:p>
              </w:tc>
              <w:tc>
                <w:tcPr>
                  <w:tcW w:w="2042"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《规划》范围内的一般生态空间、公益林、基本农田等敏感区域，严格进行保护，原则上不进行开发建设；</w:t>
                  </w:r>
                </w:p>
              </w:tc>
              <w:tc>
                <w:tcPr>
                  <w:tcW w:w="1410"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项目</w:t>
                  </w:r>
                  <w:r>
                    <w:rPr>
                      <w:rFonts w:hint="eastAsia"/>
                      <w:color w:val="auto"/>
                      <w:highlight w:val="none"/>
                      <w:lang w:val="en-US" w:eastAsia="zh-CN"/>
                    </w:rPr>
                    <w:t>不新增用地，</w:t>
                  </w:r>
                  <w:r>
                    <w:rPr>
                      <w:rFonts w:hint="default"/>
                      <w:color w:val="auto"/>
                      <w:highlight w:val="none"/>
                    </w:rPr>
                    <w:t>不</w:t>
                  </w:r>
                  <w:r>
                    <w:rPr>
                      <w:rFonts w:hint="eastAsia"/>
                      <w:color w:val="auto"/>
                      <w:highlight w:val="none"/>
                      <w:lang w:val="en-US" w:eastAsia="zh-CN"/>
                    </w:rPr>
                    <w:t>涉及</w:t>
                  </w:r>
                  <w:r>
                    <w:rPr>
                      <w:rFonts w:hint="default"/>
                      <w:color w:val="auto"/>
                      <w:highlight w:val="none"/>
                    </w:rPr>
                    <w:t>《规划》范围内的一般生态空间、公益林、基本农田等敏感区域。</w:t>
                  </w:r>
                </w:p>
              </w:tc>
              <w:tc>
                <w:tcPr>
                  <w:tcW w:w="549"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474" w:type="pct"/>
                  <w:vMerge w:val="continue"/>
                  <w:tcBorders>
                    <w:tl2br w:val="nil"/>
                    <w:tr2bl w:val="nil"/>
                  </w:tcBorders>
                  <w:noWrap w:val="0"/>
                  <w:vAlign w:val="center"/>
                </w:tcPr>
                <w:p>
                  <w:pPr>
                    <w:pStyle w:val="34"/>
                    <w:bidi w:val="0"/>
                    <w:rPr>
                      <w:rFonts w:hint="default"/>
                      <w:color w:val="auto"/>
                      <w:highlight w:val="none"/>
                    </w:rPr>
                  </w:pPr>
                </w:p>
              </w:tc>
              <w:tc>
                <w:tcPr>
                  <w:tcW w:w="523" w:type="pct"/>
                  <w:vMerge w:val="continue"/>
                  <w:tcBorders>
                    <w:tl2br w:val="nil"/>
                    <w:tr2bl w:val="nil"/>
                  </w:tcBorders>
                  <w:noWrap w:val="0"/>
                  <w:vAlign w:val="center"/>
                </w:tcPr>
                <w:p>
                  <w:pPr>
                    <w:pStyle w:val="34"/>
                    <w:bidi w:val="0"/>
                    <w:rPr>
                      <w:rFonts w:hint="default"/>
                      <w:color w:val="auto"/>
                      <w:highlight w:val="none"/>
                    </w:rPr>
                  </w:pPr>
                </w:p>
              </w:tc>
              <w:tc>
                <w:tcPr>
                  <w:tcW w:w="2042"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六街片区紧邻易门县级翠柏自然保护区，应优化布局，企业与保护区须留出一定的缓冲距离；</w:t>
                  </w:r>
                </w:p>
              </w:tc>
              <w:tc>
                <w:tcPr>
                  <w:tcW w:w="1410"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本项目位于大椿树片区，在既有厂区范围内进行改造，不涉及翠柏保护区。</w:t>
                  </w:r>
                </w:p>
              </w:tc>
              <w:tc>
                <w:tcPr>
                  <w:tcW w:w="549"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474" w:type="pct"/>
                  <w:vMerge w:val="continue"/>
                  <w:tcBorders>
                    <w:tl2br w:val="nil"/>
                    <w:tr2bl w:val="nil"/>
                  </w:tcBorders>
                  <w:noWrap w:val="0"/>
                  <w:vAlign w:val="center"/>
                </w:tcPr>
                <w:p>
                  <w:pPr>
                    <w:pStyle w:val="34"/>
                    <w:bidi w:val="0"/>
                    <w:rPr>
                      <w:rFonts w:hint="default"/>
                      <w:color w:val="auto"/>
                      <w:highlight w:val="none"/>
                    </w:rPr>
                  </w:pPr>
                </w:p>
              </w:tc>
              <w:tc>
                <w:tcPr>
                  <w:tcW w:w="523" w:type="pct"/>
                  <w:vMerge w:val="continue"/>
                  <w:tcBorders>
                    <w:tl2br w:val="nil"/>
                    <w:tr2bl w:val="nil"/>
                  </w:tcBorders>
                  <w:noWrap w:val="0"/>
                  <w:vAlign w:val="center"/>
                </w:tcPr>
                <w:p>
                  <w:pPr>
                    <w:pStyle w:val="34"/>
                    <w:bidi w:val="0"/>
                    <w:rPr>
                      <w:rFonts w:hint="default"/>
                      <w:color w:val="auto"/>
                      <w:highlight w:val="none"/>
                    </w:rPr>
                  </w:pPr>
                </w:p>
              </w:tc>
              <w:tc>
                <w:tcPr>
                  <w:tcW w:w="2042"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园区内工业用地与人口密集区应合理设置绿化隔离带，留出必要的防护距离；</w:t>
                  </w:r>
                </w:p>
              </w:tc>
              <w:tc>
                <w:tcPr>
                  <w:tcW w:w="1410"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项目位于</w:t>
                  </w:r>
                  <w:r>
                    <w:rPr>
                      <w:rFonts w:hint="eastAsia"/>
                      <w:color w:val="auto"/>
                      <w:highlight w:val="none"/>
                      <w:lang w:val="en-US" w:eastAsia="zh-CN"/>
                    </w:rPr>
                    <w:t>大椿树片区</w:t>
                  </w:r>
                  <w:r>
                    <w:rPr>
                      <w:rFonts w:hint="default"/>
                      <w:color w:val="auto"/>
                      <w:highlight w:val="none"/>
                    </w:rPr>
                    <w:t>，</w:t>
                  </w:r>
                  <w:r>
                    <w:rPr>
                      <w:rFonts w:hint="eastAsia"/>
                      <w:color w:val="auto"/>
                      <w:highlight w:val="none"/>
                      <w:lang w:val="en-US" w:eastAsia="zh-CN"/>
                    </w:rPr>
                    <w:t>在既有厂区范围内，不新增用地，</w:t>
                  </w:r>
                  <w:r>
                    <w:rPr>
                      <w:rFonts w:hint="default"/>
                      <w:color w:val="auto"/>
                      <w:highlight w:val="none"/>
                    </w:rPr>
                    <w:t>所在区域距离人口密集区较远。</w:t>
                  </w:r>
                </w:p>
              </w:tc>
              <w:tc>
                <w:tcPr>
                  <w:tcW w:w="549"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44" w:hRule="atLeast"/>
                <w:jc w:val="center"/>
              </w:trPr>
              <w:tc>
                <w:tcPr>
                  <w:tcW w:w="474" w:type="pct"/>
                  <w:vMerge w:val="continue"/>
                  <w:tcBorders>
                    <w:tl2br w:val="nil"/>
                    <w:tr2bl w:val="nil"/>
                  </w:tcBorders>
                  <w:noWrap w:val="0"/>
                  <w:vAlign w:val="center"/>
                </w:tcPr>
                <w:p>
                  <w:pPr>
                    <w:pStyle w:val="34"/>
                    <w:bidi w:val="0"/>
                    <w:rPr>
                      <w:rFonts w:hint="default"/>
                      <w:color w:val="auto"/>
                      <w:highlight w:val="none"/>
                    </w:rPr>
                  </w:pPr>
                </w:p>
              </w:tc>
              <w:tc>
                <w:tcPr>
                  <w:tcW w:w="523" w:type="pct"/>
                  <w:vMerge w:val="continue"/>
                  <w:tcBorders>
                    <w:tl2br w:val="nil"/>
                    <w:tr2bl w:val="nil"/>
                  </w:tcBorders>
                  <w:noWrap w:val="0"/>
                  <w:vAlign w:val="center"/>
                </w:tcPr>
                <w:p>
                  <w:pPr>
                    <w:pStyle w:val="34"/>
                    <w:bidi w:val="0"/>
                    <w:rPr>
                      <w:rFonts w:hint="default"/>
                      <w:color w:val="auto"/>
                      <w:highlight w:val="none"/>
                    </w:rPr>
                  </w:pPr>
                </w:p>
              </w:tc>
              <w:tc>
                <w:tcPr>
                  <w:tcW w:w="2042"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园区按《云南省人民政府办公厅关于推动落后和低端低效产能退出的实施意见》（云政办发</w:t>
                  </w:r>
                  <w:r>
                    <w:rPr>
                      <w:rFonts w:hint="default"/>
                      <w:color w:val="auto"/>
                      <w:highlight w:val="none"/>
                    </w:rPr>
                    <w:t>〔20</w:t>
                  </w:r>
                  <w:r>
                    <w:rPr>
                      <w:rFonts w:hint="eastAsia"/>
                      <w:color w:val="auto"/>
                      <w:highlight w:val="none"/>
                      <w:lang w:val="en-US" w:eastAsia="zh-CN"/>
                    </w:rPr>
                    <w:t>22</w:t>
                  </w:r>
                  <w:r>
                    <w:rPr>
                      <w:rFonts w:hint="default"/>
                      <w:color w:val="auto"/>
                      <w:highlight w:val="none"/>
                    </w:rPr>
                    <w:t>〕</w:t>
                  </w:r>
                  <w:r>
                    <w:rPr>
                      <w:rFonts w:hint="eastAsia"/>
                      <w:color w:val="auto"/>
                      <w:highlight w:val="none"/>
                      <w:lang w:val="en-US" w:eastAsia="zh-CN"/>
                    </w:rPr>
                    <w:t>17号）相关要求，依法依规关停退出能耗、环保、质量、安全不达标和落后、过剩产能，分行业有序退出“限制类”产能；现有重污染企业要开展技术升级改造和环保设施提标改造；加强对各片区内及周边集中居住区等生活空间防护，确保园区产业布局与生态环境保护、人居环境安全相协调。</w:t>
                  </w:r>
                </w:p>
              </w:tc>
              <w:tc>
                <w:tcPr>
                  <w:tcW w:w="1410"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本项目不属于限制类；本项目属于改建项目，正在开展技术改造和环保设施提标改造；加强环境保护。</w:t>
                  </w:r>
                </w:p>
              </w:tc>
              <w:tc>
                <w:tcPr>
                  <w:tcW w:w="549"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74" w:type="pct"/>
                  <w:vMerge w:val="continue"/>
                  <w:tcBorders>
                    <w:tl2br w:val="nil"/>
                    <w:tr2bl w:val="nil"/>
                  </w:tcBorders>
                  <w:noWrap w:val="0"/>
                  <w:vAlign w:val="center"/>
                </w:tcPr>
                <w:p>
                  <w:pPr>
                    <w:pStyle w:val="34"/>
                    <w:bidi w:val="0"/>
                    <w:rPr>
                      <w:rFonts w:hint="default"/>
                      <w:color w:val="auto"/>
                      <w:highlight w:val="none"/>
                    </w:rPr>
                  </w:pPr>
                </w:p>
              </w:tc>
              <w:tc>
                <w:tcPr>
                  <w:tcW w:w="523"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（四）强化污染物排放总量管控</w:t>
                  </w:r>
                </w:p>
              </w:tc>
              <w:tc>
                <w:tcPr>
                  <w:tcW w:w="2042"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根据国家和云南省污染防治规划和区域“三线一单”生态环境分区管控相关要求，落实园区污染减排措施和要求，采取有效措施减少颗粒物、挥发性有机物等特征污染物的排放量</w:t>
                  </w:r>
                  <w:r>
                    <w:rPr>
                      <w:rFonts w:hint="eastAsia"/>
                      <w:color w:val="auto"/>
                      <w:highlight w:val="none"/>
                      <w:lang w:eastAsia="zh-CN"/>
                    </w:rPr>
                    <w:t>，</w:t>
                  </w:r>
                  <w:r>
                    <w:rPr>
                      <w:rFonts w:hint="eastAsia"/>
                      <w:color w:val="auto"/>
                      <w:highlight w:val="none"/>
                      <w:lang w:val="en-US" w:eastAsia="zh-CN"/>
                    </w:rPr>
                    <w:t>推进挥发性有机物和氮氧化物协同治理，促进产业发展和生态环境保护相协调，新建、扩建金属冶炼项目大气污染物需满足超低排放要求，建材等“两高”项目实行主要污染物区域削减替代</w:t>
                  </w:r>
                  <w:r>
                    <w:rPr>
                      <w:rFonts w:hint="default"/>
                      <w:color w:val="auto"/>
                      <w:highlight w:val="none"/>
                    </w:rPr>
                    <w:t>；</w:t>
                  </w:r>
                </w:p>
              </w:tc>
              <w:tc>
                <w:tcPr>
                  <w:tcW w:w="1410" w:type="pct"/>
                  <w:tcBorders>
                    <w:tl2br w:val="nil"/>
                    <w:tr2bl w:val="nil"/>
                  </w:tcBorders>
                  <w:noWrap w:val="0"/>
                  <w:vAlign w:val="center"/>
                </w:tcPr>
                <w:p>
                  <w:pPr>
                    <w:pStyle w:val="34"/>
                    <w:bidi w:val="0"/>
                    <w:rPr>
                      <w:rFonts w:hint="default"/>
                      <w:color w:val="auto"/>
                      <w:highlight w:val="none"/>
                      <w:lang w:val="en-US"/>
                    </w:rPr>
                  </w:pPr>
                  <w:r>
                    <w:rPr>
                      <w:rFonts w:hint="eastAsia"/>
                      <w:color w:val="auto"/>
                      <w:highlight w:val="none"/>
                      <w:lang w:val="en-US" w:eastAsia="zh-CN"/>
                    </w:rPr>
                    <w:t>本项目为制氧系统技术改造节能项目，</w:t>
                  </w:r>
                  <w:r>
                    <w:rPr>
                      <w:rFonts w:hint="default"/>
                      <w:color w:val="auto"/>
                      <w:highlight w:val="none"/>
                    </w:rPr>
                    <w:t>项目</w:t>
                  </w:r>
                  <w:r>
                    <w:rPr>
                      <w:rFonts w:hint="eastAsia"/>
                      <w:color w:val="auto"/>
                      <w:highlight w:val="none"/>
                      <w:lang w:val="en-US" w:eastAsia="zh-CN"/>
                    </w:rPr>
                    <w:t>建设符合</w:t>
                  </w:r>
                  <w:r>
                    <w:rPr>
                      <w:rFonts w:hint="default"/>
                      <w:color w:val="auto"/>
                      <w:highlight w:val="none"/>
                    </w:rPr>
                    <w:t>国家和云南省污染防治规划和区域“三线一单”生态环境分区管控相关要求</w:t>
                  </w:r>
                  <w:r>
                    <w:rPr>
                      <w:rFonts w:hint="default"/>
                      <w:color w:val="auto"/>
                      <w:highlight w:val="none"/>
                      <w:lang w:val="en-US" w:eastAsia="zh-CN"/>
                    </w:rPr>
                    <w:t>，</w:t>
                  </w:r>
                  <w:r>
                    <w:rPr>
                      <w:rFonts w:hint="eastAsia"/>
                      <w:color w:val="auto"/>
                      <w:highlight w:val="none"/>
                      <w:lang w:val="en-US" w:eastAsia="zh-CN"/>
                    </w:rPr>
                    <w:t>项目运营期无废气产生。</w:t>
                  </w:r>
                </w:p>
              </w:tc>
              <w:tc>
                <w:tcPr>
                  <w:tcW w:w="549"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474" w:type="pct"/>
                  <w:vMerge w:val="continue"/>
                  <w:tcBorders>
                    <w:tl2br w:val="nil"/>
                    <w:tr2bl w:val="nil"/>
                  </w:tcBorders>
                  <w:noWrap w:val="0"/>
                  <w:vAlign w:val="center"/>
                </w:tcPr>
                <w:p>
                  <w:pPr>
                    <w:pStyle w:val="34"/>
                    <w:bidi w:val="0"/>
                    <w:rPr>
                      <w:rFonts w:hint="default"/>
                      <w:color w:val="auto"/>
                      <w:highlight w:val="none"/>
                    </w:rPr>
                  </w:pPr>
                </w:p>
              </w:tc>
              <w:tc>
                <w:tcPr>
                  <w:tcW w:w="523" w:type="pct"/>
                  <w:vMerge w:val="restart"/>
                  <w:tcBorders>
                    <w:tl2br w:val="nil"/>
                    <w:tr2bl w:val="nil"/>
                  </w:tcBorders>
                  <w:noWrap w:val="0"/>
                  <w:vAlign w:val="center"/>
                </w:tcPr>
                <w:p>
                  <w:pPr>
                    <w:pStyle w:val="34"/>
                    <w:bidi w:val="0"/>
                    <w:rPr>
                      <w:rFonts w:hint="default"/>
                      <w:color w:val="auto"/>
                      <w:highlight w:val="none"/>
                    </w:rPr>
                  </w:pPr>
                  <w:r>
                    <w:rPr>
                      <w:rFonts w:hint="default"/>
                      <w:color w:val="auto"/>
                      <w:highlight w:val="none"/>
                    </w:rPr>
                    <w:t>（五）严守环境质量底线，严格片区环境管控</w:t>
                  </w:r>
                </w:p>
              </w:tc>
              <w:tc>
                <w:tcPr>
                  <w:tcW w:w="2042"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根据“三线一单”、国家和云南省有关大气污染防治的相关要求，严格执行园区大气污染物总量管控要求，合理确定产业规划、布局、建设时序；</w:t>
                  </w:r>
                </w:p>
              </w:tc>
              <w:tc>
                <w:tcPr>
                  <w:tcW w:w="1410"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项目运营期无废气污染物产生，不涉及大气污染物总量管控要求。</w:t>
                  </w:r>
                </w:p>
              </w:tc>
              <w:tc>
                <w:tcPr>
                  <w:tcW w:w="549"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474" w:type="pct"/>
                  <w:vMerge w:val="continue"/>
                  <w:tcBorders>
                    <w:tl2br w:val="nil"/>
                    <w:tr2bl w:val="nil"/>
                  </w:tcBorders>
                  <w:noWrap w:val="0"/>
                  <w:vAlign w:val="center"/>
                </w:tcPr>
                <w:p>
                  <w:pPr>
                    <w:pStyle w:val="34"/>
                    <w:bidi w:val="0"/>
                    <w:rPr>
                      <w:rFonts w:hint="default"/>
                      <w:color w:val="auto"/>
                      <w:highlight w:val="none"/>
                    </w:rPr>
                  </w:pPr>
                </w:p>
              </w:tc>
              <w:tc>
                <w:tcPr>
                  <w:tcW w:w="523" w:type="pct"/>
                  <w:vMerge w:val="continue"/>
                  <w:tcBorders>
                    <w:tl2br w:val="nil"/>
                    <w:tr2bl w:val="nil"/>
                  </w:tcBorders>
                  <w:noWrap w:val="0"/>
                  <w:vAlign w:val="center"/>
                </w:tcPr>
                <w:p>
                  <w:pPr>
                    <w:pStyle w:val="34"/>
                    <w:bidi w:val="0"/>
                    <w:rPr>
                      <w:rFonts w:hint="default"/>
                      <w:color w:val="auto"/>
                      <w:highlight w:val="none"/>
                    </w:rPr>
                  </w:pPr>
                </w:p>
              </w:tc>
              <w:tc>
                <w:tcPr>
                  <w:tcW w:w="2042"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入园企业采用先进的生产工艺路线、装备、清洁能源与原料，从源头上控制污染物的产生</w:t>
                  </w:r>
                  <w:r>
                    <w:rPr>
                      <w:rFonts w:hint="eastAsia"/>
                      <w:color w:val="auto"/>
                      <w:highlight w:val="none"/>
                      <w:lang w:eastAsia="zh-CN"/>
                    </w:rPr>
                    <w:t>，</w:t>
                  </w:r>
                  <w:r>
                    <w:rPr>
                      <w:rFonts w:hint="eastAsia"/>
                      <w:color w:val="auto"/>
                      <w:highlight w:val="none"/>
                      <w:lang w:val="en-US" w:eastAsia="zh-CN"/>
                    </w:rPr>
                    <w:t>在技术经济可行的条件下，应采用先进高效的污染防治措施，重点做好外排废气中颗粒物、二氧化硫、氮氧化物、挥发性有机物等污染物的减排工作，结合区域大气污染防治要求，加快能源结构升级改造和适用清洁能源，促进区域大气环境质量改善</w:t>
                  </w:r>
                  <w:r>
                    <w:rPr>
                      <w:rFonts w:hint="default"/>
                      <w:color w:val="auto"/>
                      <w:highlight w:val="none"/>
                    </w:rPr>
                    <w:t>；</w:t>
                  </w:r>
                </w:p>
              </w:tc>
              <w:tc>
                <w:tcPr>
                  <w:tcW w:w="1410"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本项目</w:t>
                  </w:r>
                  <w:r>
                    <w:rPr>
                      <w:rFonts w:hint="default"/>
                      <w:color w:val="auto"/>
                      <w:highlight w:val="none"/>
                    </w:rPr>
                    <w:t>采用先进的生产工艺路线、装备、清洁能源与原料，</w:t>
                  </w:r>
                  <w:r>
                    <w:rPr>
                      <w:rFonts w:hint="eastAsia"/>
                      <w:color w:val="auto"/>
                      <w:highlight w:val="none"/>
                      <w:lang w:val="en-US" w:eastAsia="zh-CN"/>
                    </w:rPr>
                    <w:t>项目运营期无废气产生。</w:t>
                  </w:r>
                </w:p>
              </w:tc>
              <w:tc>
                <w:tcPr>
                  <w:tcW w:w="549"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474" w:type="pct"/>
                  <w:vMerge w:val="continue"/>
                  <w:tcBorders>
                    <w:tl2br w:val="nil"/>
                    <w:tr2bl w:val="nil"/>
                  </w:tcBorders>
                  <w:noWrap w:val="0"/>
                  <w:vAlign w:val="center"/>
                </w:tcPr>
                <w:p>
                  <w:pPr>
                    <w:pStyle w:val="34"/>
                    <w:bidi w:val="0"/>
                    <w:rPr>
                      <w:rFonts w:hint="default"/>
                      <w:color w:val="auto"/>
                      <w:highlight w:val="none"/>
                    </w:rPr>
                  </w:pPr>
                </w:p>
              </w:tc>
              <w:tc>
                <w:tcPr>
                  <w:tcW w:w="523" w:type="pct"/>
                  <w:vMerge w:val="continue"/>
                  <w:tcBorders>
                    <w:tl2br w:val="nil"/>
                    <w:tr2bl w:val="nil"/>
                  </w:tcBorders>
                  <w:noWrap w:val="0"/>
                  <w:vAlign w:val="center"/>
                </w:tcPr>
                <w:p>
                  <w:pPr>
                    <w:pStyle w:val="34"/>
                    <w:bidi w:val="0"/>
                    <w:rPr>
                      <w:rFonts w:hint="default"/>
                      <w:color w:val="auto"/>
                      <w:highlight w:val="none"/>
                    </w:rPr>
                  </w:pPr>
                </w:p>
              </w:tc>
              <w:tc>
                <w:tcPr>
                  <w:tcW w:w="2042"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高度重视园区废水收集、处理、回用的环境管理，实施“雨污分流”，加快各片区污水管网、回用管网的建设，结合区域的建设时序适时建设污水处理厂、再生水处理设施，区域河流纳污容量有限，确保受纳水体水质满足环境功能要求。</w:t>
                  </w:r>
                </w:p>
              </w:tc>
              <w:tc>
                <w:tcPr>
                  <w:tcW w:w="1410"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项目重视废水收集、处理、回用的环境管理，实施雨污分流，生活污水管网已配套完成。</w:t>
                  </w:r>
                </w:p>
              </w:tc>
              <w:tc>
                <w:tcPr>
                  <w:tcW w:w="549" w:type="pct"/>
                  <w:tcBorders>
                    <w:tl2br w:val="nil"/>
                    <w:tr2bl w:val="nil"/>
                  </w:tcBorders>
                  <w:noWrap w:val="0"/>
                  <w:vAlign w:val="center"/>
                </w:tcPr>
                <w:p>
                  <w:pPr>
                    <w:pStyle w:val="34"/>
                    <w:bidi w:val="0"/>
                    <w:rPr>
                      <w:rFonts w:hint="eastAsia" w:eastAsia="宋体"/>
                      <w:color w:val="auto"/>
                      <w:highlight w:val="none"/>
                      <w:lang w:val="en-US" w:eastAsia="zh-CN"/>
                    </w:rPr>
                  </w:pPr>
                  <w:r>
                    <w:rPr>
                      <w:rFonts w:hint="eastAsia"/>
                      <w:color w:val="auto"/>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474" w:type="pct"/>
                  <w:vMerge w:val="continue"/>
                  <w:tcBorders>
                    <w:tl2br w:val="nil"/>
                    <w:tr2bl w:val="nil"/>
                  </w:tcBorders>
                  <w:noWrap w:val="0"/>
                  <w:vAlign w:val="center"/>
                </w:tcPr>
                <w:p>
                  <w:pPr>
                    <w:pStyle w:val="34"/>
                    <w:bidi w:val="0"/>
                    <w:rPr>
                      <w:rFonts w:hint="default"/>
                      <w:color w:val="auto"/>
                      <w:highlight w:val="none"/>
                    </w:rPr>
                  </w:pPr>
                </w:p>
              </w:tc>
              <w:tc>
                <w:tcPr>
                  <w:tcW w:w="523" w:type="pct"/>
                  <w:vMerge w:val="continue"/>
                  <w:tcBorders>
                    <w:tl2br w:val="nil"/>
                    <w:tr2bl w:val="nil"/>
                  </w:tcBorders>
                  <w:noWrap w:val="0"/>
                  <w:vAlign w:val="center"/>
                </w:tcPr>
                <w:p>
                  <w:pPr>
                    <w:pStyle w:val="34"/>
                    <w:bidi w:val="0"/>
                    <w:rPr>
                      <w:rFonts w:hint="default"/>
                      <w:color w:val="auto"/>
                      <w:highlight w:val="none"/>
                    </w:rPr>
                  </w:pPr>
                </w:p>
              </w:tc>
              <w:tc>
                <w:tcPr>
                  <w:tcW w:w="2042"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园区产业布局和项目建设时应充分考虑对地下水环境的影响，优化布局，严格水文地质、工程地质勘察，合理规避地下暗河及溶岩发育区，做好地下水污染防治和监控，按相关规范要求采取针对性防渗措施，确保区域地下水环境安全</w:t>
                  </w:r>
                  <w:r>
                    <w:rPr>
                      <w:rFonts w:hint="eastAsia"/>
                      <w:color w:val="auto"/>
                      <w:highlight w:val="none"/>
                      <w:lang w:eastAsia="zh-CN"/>
                    </w:rPr>
                    <w:t>；</w:t>
                  </w:r>
                  <w:r>
                    <w:rPr>
                      <w:rFonts w:hint="default"/>
                      <w:color w:val="auto"/>
                      <w:highlight w:val="none"/>
                    </w:rPr>
                    <w:t>严格执行《地下水管理条例》中相关规定，在泉域保护范围以及岩溶强发育、存在较多落水洞和岩溶漏斗的区域内</w:t>
                  </w:r>
                  <w:r>
                    <w:rPr>
                      <w:rFonts w:hint="eastAsia"/>
                      <w:color w:val="auto"/>
                      <w:highlight w:val="none"/>
                      <w:lang w:eastAsia="zh-CN"/>
                    </w:rPr>
                    <w:t>，</w:t>
                  </w:r>
                  <w:r>
                    <w:rPr>
                      <w:rFonts w:hint="default"/>
                      <w:color w:val="auto"/>
                      <w:highlight w:val="none"/>
                    </w:rPr>
                    <w:t>不得新建、改建、扩建可能造成地下水污染的建设项目。</w:t>
                  </w:r>
                </w:p>
              </w:tc>
              <w:tc>
                <w:tcPr>
                  <w:tcW w:w="1410"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本项目在易门铜业有限公司既有厂区内进行改建，不新增占地，不属于地下水污染的建设项目，且所在区域不属于</w:t>
                  </w:r>
                  <w:r>
                    <w:rPr>
                      <w:rFonts w:hint="default"/>
                      <w:color w:val="auto"/>
                      <w:highlight w:val="none"/>
                    </w:rPr>
                    <w:t>泉域保护范围以及岩溶强发育、存在较多落水洞和岩溶漏斗的区域内</w:t>
                  </w:r>
                  <w:r>
                    <w:rPr>
                      <w:rFonts w:hint="eastAsia"/>
                      <w:color w:val="auto"/>
                      <w:highlight w:val="none"/>
                      <w:lang w:eastAsia="zh-CN"/>
                    </w:rPr>
                    <w:t>，</w:t>
                  </w:r>
                  <w:r>
                    <w:rPr>
                      <w:rFonts w:hint="eastAsia"/>
                      <w:color w:val="auto"/>
                      <w:highlight w:val="none"/>
                      <w:lang w:val="en-US" w:eastAsia="zh-CN"/>
                    </w:rPr>
                    <w:t>已采取地下水防治措施。</w:t>
                  </w:r>
                </w:p>
              </w:tc>
              <w:tc>
                <w:tcPr>
                  <w:tcW w:w="549" w:type="pct"/>
                  <w:tcBorders>
                    <w:tl2br w:val="nil"/>
                    <w:tr2bl w:val="nil"/>
                  </w:tcBorders>
                  <w:noWrap w:val="0"/>
                  <w:vAlign w:val="center"/>
                </w:tcPr>
                <w:p>
                  <w:pPr>
                    <w:pStyle w:val="34"/>
                    <w:bidi w:val="0"/>
                    <w:rPr>
                      <w:rFonts w:hint="eastAsia"/>
                      <w:color w:val="auto"/>
                      <w:highlight w:val="none"/>
                      <w:lang w:val="en-US" w:eastAsia="zh-CN"/>
                    </w:rPr>
                  </w:pPr>
                  <w:r>
                    <w:rPr>
                      <w:rFonts w:hint="eastAsia"/>
                      <w:color w:val="auto"/>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474" w:type="pct"/>
                  <w:vMerge w:val="continue"/>
                  <w:tcBorders>
                    <w:tl2br w:val="nil"/>
                    <w:tr2bl w:val="nil"/>
                  </w:tcBorders>
                  <w:noWrap w:val="0"/>
                  <w:vAlign w:val="center"/>
                </w:tcPr>
                <w:p>
                  <w:pPr>
                    <w:pStyle w:val="34"/>
                    <w:bidi w:val="0"/>
                    <w:rPr>
                      <w:rFonts w:hint="default"/>
                      <w:color w:val="auto"/>
                      <w:highlight w:val="none"/>
                    </w:rPr>
                  </w:pPr>
                </w:p>
              </w:tc>
              <w:tc>
                <w:tcPr>
                  <w:tcW w:w="523" w:type="pct"/>
                  <w:vMerge w:val="continue"/>
                  <w:tcBorders>
                    <w:tl2br w:val="nil"/>
                    <w:tr2bl w:val="nil"/>
                  </w:tcBorders>
                  <w:noWrap w:val="0"/>
                  <w:vAlign w:val="center"/>
                </w:tcPr>
                <w:p>
                  <w:pPr>
                    <w:pStyle w:val="34"/>
                    <w:bidi w:val="0"/>
                    <w:rPr>
                      <w:rFonts w:hint="default"/>
                      <w:color w:val="auto"/>
                      <w:highlight w:val="none"/>
                    </w:rPr>
                  </w:pPr>
                </w:p>
              </w:tc>
              <w:tc>
                <w:tcPr>
                  <w:tcW w:w="2042"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将土壤污染防治工作纳入园区规划及相关环境保护规划，采取有效预防措施，防止、减少土壤污染，确保满足土壤环境管控要求。入园企业产生的危险废物按照规定严格管控，积极推进工业固体废物综合利用。</w:t>
                  </w:r>
                </w:p>
              </w:tc>
              <w:tc>
                <w:tcPr>
                  <w:tcW w:w="1410" w:type="pct"/>
                  <w:tcBorders>
                    <w:tl2br w:val="nil"/>
                    <w:tr2bl w:val="nil"/>
                  </w:tcBorders>
                  <w:noWrap w:val="0"/>
                  <w:vAlign w:val="center"/>
                </w:tcPr>
                <w:p>
                  <w:pPr>
                    <w:pStyle w:val="34"/>
                    <w:bidi w:val="0"/>
                    <w:rPr>
                      <w:rFonts w:hint="default"/>
                      <w:color w:val="auto"/>
                      <w:highlight w:val="none"/>
                    </w:rPr>
                  </w:pPr>
                  <w:r>
                    <w:rPr>
                      <w:rFonts w:hint="default"/>
                      <w:color w:val="auto"/>
                      <w:highlight w:val="none"/>
                      <w:lang w:val="en-US" w:eastAsia="zh-CN"/>
                    </w:rPr>
                    <w:t>本项目</w:t>
                  </w:r>
                  <w:r>
                    <w:rPr>
                      <w:rFonts w:hint="eastAsia"/>
                      <w:color w:val="auto"/>
                      <w:highlight w:val="none"/>
                      <w:lang w:val="en-US" w:eastAsia="zh-CN"/>
                    </w:rPr>
                    <w:t>采取有效预防措施，防止、减少土壤污染，确保满足土壤环境管控要求，</w:t>
                  </w:r>
                  <w:r>
                    <w:rPr>
                      <w:rFonts w:hint="default"/>
                      <w:color w:val="auto"/>
                      <w:highlight w:val="none"/>
                      <w:lang w:val="en-US" w:eastAsia="zh-CN"/>
                    </w:rPr>
                    <w:t>危险废物</w:t>
                  </w:r>
                  <w:r>
                    <w:rPr>
                      <w:rFonts w:hint="eastAsia"/>
                      <w:color w:val="auto"/>
                      <w:highlight w:val="none"/>
                      <w:lang w:val="en-US" w:eastAsia="zh-CN"/>
                    </w:rPr>
                    <w:t>按要求委托云南广莱再生资源回收有限公司进行处置。处置率100%</w:t>
                  </w:r>
                  <w:r>
                    <w:rPr>
                      <w:rFonts w:hint="default"/>
                      <w:color w:val="auto"/>
                      <w:highlight w:val="none"/>
                      <w:lang w:val="en-US" w:eastAsia="zh-CN"/>
                    </w:rPr>
                    <w:t>。</w:t>
                  </w:r>
                </w:p>
              </w:tc>
              <w:tc>
                <w:tcPr>
                  <w:tcW w:w="549"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474" w:type="pct"/>
                  <w:vMerge w:val="continue"/>
                  <w:tcBorders>
                    <w:tl2br w:val="nil"/>
                    <w:tr2bl w:val="nil"/>
                  </w:tcBorders>
                  <w:noWrap w:val="0"/>
                  <w:vAlign w:val="center"/>
                </w:tcPr>
                <w:p>
                  <w:pPr>
                    <w:pStyle w:val="34"/>
                    <w:bidi w:val="0"/>
                    <w:rPr>
                      <w:rFonts w:hint="default"/>
                      <w:color w:val="auto"/>
                      <w:highlight w:val="none"/>
                    </w:rPr>
                  </w:pPr>
                </w:p>
              </w:tc>
              <w:tc>
                <w:tcPr>
                  <w:tcW w:w="523"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（六）严格执行环境准入要求，加强入园项目生态环境准入管理。</w:t>
                  </w:r>
                </w:p>
              </w:tc>
              <w:tc>
                <w:tcPr>
                  <w:tcW w:w="2042"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落实蓝天、碧水、净土保卫战有关管控要求，加强“两高”行业生态环境源头防控，引进项目的生产工艺、设备、污染物排放和资源利用等，应达到清洁生产国内先进水平</w:t>
                  </w:r>
                  <w:r>
                    <w:rPr>
                      <w:rFonts w:hint="eastAsia"/>
                      <w:color w:val="auto"/>
                      <w:highlight w:val="none"/>
                      <w:lang w:eastAsia="zh-CN"/>
                    </w:rPr>
                    <w:t>；</w:t>
                  </w:r>
                  <w:r>
                    <w:rPr>
                      <w:rFonts w:hint="default"/>
                      <w:color w:val="auto"/>
                      <w:highlight w:val="none"/>
                    </w:rPr>
                    <w:t>推进技术研发型、创新型产业发展，提升产业的技术水平和园区的绿色低碳化水平</w:t>
                  </w:r>
                  <w:r>
                    <w:rPr>
                      <w:rFonts w:hint="eastAsia"/>
                      <w:color w:val="auto"/>
                      <w:highlight w:val="none"/>
                      <w:lang w:eastAsia="zh-CN"/>
                    </w:rPr>
                    <w:t>；</w:t>
                  </w:r>
                  <w:r>
                    <w:rPr>
                      <w:rFonts w:hint="default"/>
                      <w:color w:val="auto"/>
                      <w:highlight w:val="none"/>
                    </w:rPr>
                    <w:t>园区招商引资、入园项目环评审批应严格执行生态环境准入要求，要以园区的资源环境承载能力为基础，充分论证、有序发展，严禁引进工艺装备落后，不符合污染物排放总量控制要求的企业。</w:t>
                  </w:r>
                </w:p>
              </w:tc>
              <w:tc>
                <w:tcPr>
                  <w:tcW w:w="1410" w:type="pct"/>
                  <w:tcBorders>
                    <w:tl2br w:val="nil"/>
                    <w:tr2bl w:val="nil"/>
                  </w:tcBorders>
                  <w:noWrap w:val="0"/>
                  <w:vAlign w:val="center"/>
                </w:tcPr>
                <w:p>
                  <w:pPr>
                    <w:pStyle w:val="34"/>
                    <w:bidi w:val="0"/>
                    <w:rPr>
                      <w:rFonts w:hint="default"/>
                      <w:color w:val="auto"/>
                      <w:highlight w:val="none"/>
                    </w:rPr>
                  </w:pPr>
                  <w:r>
                    <w:rPr>
                      <w:rFonts w:hint="eastAsia"/>
                      <w:color w:val="auto"/>
                      <w:highlight w:val="none"/>
                      <w:lang w:val="en-US" w:eastAsia="zh-CN"/>
                    </w:rPr>
                    <w:t>本项目为制氧系统技术改造节能项目，项目加强源头防控，不设</w:t>
                  </w:r>
                  <w:r>
                    <w:rPr>
                      <w:rFonts w:hint="default"/>
                      <w:color w:val="auto"/>
                      <w:highlight w:val="none"/>
                      <w:lang w:val="en-US" w:eastAsia="zh-CN"/>
                    </w:rPr>
                    <w:t>总量控制</w:t>
                  </w:r>
                  <w:r>
                    <w:rPr>
                      <w:rFonts w:hint="eastAsia"/>
                      <w:color w:val="auto"/>
                      <w:highlight w:val="none"/>
                      <w:lang w:val="en-US" w:eastAsia="zh-CN"/>
                    </w:rPr>
                    <w:t>指标</w:t>
                  </w:r>
                  <w:r>
                    <w:rPr>
                      <w:rFonts w:hint="default"/>
                      <w:color w:val="auto"/>
                      <w:highlight w:val="none"/>
                    </w:rPr>
                    <w:t>。</w:t>
                  </w:r>
                </w:p>
              </w:tc>
              <w:tc>
                <w:tcPr>
                  <w:tcW w:w="549"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474" w:type="pct"/>
                  <w:vMerge w:val="continue"/>
                  <w:tcBorders>
                    <w:tl2br w:val="nil"/>
                    <w:tr2bl w:val="nil"/>
                  </w:tcBorders>
                  <w:noWrap w:val="0"/>
                  <w:vAlign w:val="center"/>
                </w:tcPr>
                <w:p>
                  <w:pPr>
                    <w:pStyle w:val="34"/>
                    <w:bidi w:val="0"/>
                    <w:rPr>
                      <w:rFonts w:hint="default"/>
                      <w:color w:val="auto"/>
                      <w:highlight w:val="none"/>
                    </w:rPr>
                  </w:pPr>
                </w:p>
              </w:tc>
              <w:tc>
                <w:tcPr>
                  <w:tcW w:w="523"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eastAsia="zh-CN"/>
                    </w:rPr>
                    <w:t>（</w:t>
                  </w:r>
                  <w:r>
                    <w:rPr>
                      <w:rFonts w:hint="eastAsia"/>
                      <w:color w:val="auto"/>
                      <w:highlight w:val="none"/>
                      <w:lang w:val="en-US" w:eastAsia="zh-CN"/>
                    </w:rPr>
                    <w:t>七</w:t>
                  </w:r>
                  <w:r>
                    <w:rPr>
                      <w:rFonts w:hint="eastAsia"/>
                      <w:color w:val="auto"/>
                      <w:highlight w:val="none"/>
                      <w:lang w:eastAsia="zh-CN"/>
                    </w:rPr>
                    <w:t>）</w:t>
                  </w:r>
                  <w:r>
                    <w:rPr>
                      <w:rFonts w:hint="eastAsia"/>
                      <w:color w:val="auto"/>
                      <w:highlight w:val="none"/>
                      <w:lang w:val="en-US" w:eastAsia="zh-CN"/>
                    </w:rPr>
                    <w:t>建立健全区域环境风险防范和生态安全保障体系。</w:t>
                  </w:r>
                </w:p>
              </w:tc>
              <w:tc>
                <w:tcPr>
                  <w:tcW w:w="2042" w:type="pct"/>
                  <w:tcBorders>
                    <w:tl2br w:val="nil"/>
                    <w:tr2bl w:val="nil"/>
                  </w:tcBorders>
                  <w:noWrap w:val="0"/>
                  <w:vAlign w:val="center"/>
                </w:tcPr>
                <w:p>
                  <w:pPr>
                    <w:pStyle w:val="34"/>
                    <w:bidi w:val="0"/>
                    <w:rPr>
                      <w:rFonts w:hint="default"/>
                      <w:color w:val="auto"/>
                      <w:highlight w:val="none"/>
                    </w:rPr>
                  </w:pPr>
                  <w:r>
                    <w:rPr>
                      <w:rFonts w:hint="eastAsia"/>
                      <w:color w:val="auto"/>
                      <w:highlight w:val="none"/>
                      <w:lang w:val="en-US" w:eastAsia="zh-CN"/>
                    </w:rPr>
                    <w:t>加</w:t>
                  </w:r>
                  <w:r>
                    <w:rPr>
                      <w:rFonts w:hint="default"/>
                      <w:color w:val="auto"/>
                      <w:highlight w:val="none"/>
                    </w:rPr>
                    <w:t>强园区内易导致环境风险的有毒有害和易燃易爆物质的生产、使用、贮运等管理，统筹考虑污染防治、生态恢复与建设、环境风险防范、环境管理等事宜</w:t>
                  </w:r>
                  <w:r>
                    <w:rPr>
                      <w:rFonts w:hint="eastAsia"/>
                      <w:color w:val="auto"/>
                      <w:highlight w:val="none"/>
                      <w:lang w:eastAsia="zh-CN"/>
                    </w:rPr>
                    <w:t>；</w:t>
                  </w:r>
                  <w:r>
                    <w:rPr>
                      <w:rFonts w:hint="default"/>
                      <w:color w:val="auto"/>
                      <w:highlight w:val="none"/>
                    </w:rPr>
                    <w:t>强化园区危险化学品储运的环境风险管理，制定建立厂区、园区、区域三级防控措施，强化环境监测与预警能力建设、环境风险应急与防范措施，建立应急响应联动机制和风险防控体系并编制应急预案，防范环境风险，避免事故废水排入园区外水体，保障区域环境安全。</w:t>
                  </w:r>
                </w:p>
              </w:tc>
              <w:tc>
                <w:tcPr>
                  <w:tcW w:w="1410"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项目加强环境风险防控，企业已制定</w:t>
                  </w:r>
                  <w:r>
                    <w:rPr>
                      <w:rFonts w:hint="default"/>
                      <w:color w:val="auto"/>
                      <w:highlight w:val="none"/>
                      <w:lang w:val="en-US" w:eastAsia="zh-CN"/>
                    </w:rPr>
                    <w:t>突发环境事件应急预案</w:t>
                  </w:r>
                  <w:r>
                    <w:rPr>
                      <w:rFonts w:hint="eastAsia"/>
                      <w:color w:val="auto"/>
                      <w:highlight w:val="none"/>
                      <w:lang w:val="en-US" w:eastAsia="zh-CN"/>
                    </w:rPr>
                    <w:t>并完成备案，改建完成后及时修订应急预案。</w:t>
                  </w:r>
                </w:p>
              </w:tc>
              <w:tc>
                <w:tcPr>
                  <w:tcW w:w="549" w:type="pct"/>
                  <w:tcBorders>
                    <w:tl2br w:val="nil"/>
                    <w:tr2bl w:val="nil"/>
                  </w:tcBorders>
                  <w:noWrap w:val="0"/>
                  <w:vAlign w:val="center"/>
                </w:tcPr>
                <w:p>
                  <w:pPr>
                    <w:pStyle w:val="34"/>
                    <w:bidi w:val="0"/>
                    <w:rPr>
                      <w:rFonts w:hint="eastAsia"/>
                      <w:color w:val="auto"/>
                      <w:highlight w:val="none"/>
                      <w:lang w:val="en-US" w:eastAsia="zh-CN"/>
                    </w:rPr>
                  </w:pPr>
                  <w:r>
                    <w:rPr>
                      <w:rFonts w:hint="eastAsia"/>
                      <w:color w:val="auto"/>
                      <w:highlight w:val="none"/>
                      <w:lang w:val="en-US" w:eastAsia="zh-CN"/>
                    </w:rPr>
                    <w:t>符合</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color w:val="auto"/>
                <w:highlight w:val="none"/>
                <w:lang w:eastAsia="zh-CN"/>
              </w:rPr>
            </w:pPr>
            <w:r>
              <w:rPr>
                <w:rFonts w:hint="eastAsia"/>
                <w:color w:val="auto"/>
                <w:highlight w:val="none"/>
                <w:lang w:val="en-US" w:eastAsia="zh-CN"/>
              </w:rPr>
              <w:t>综上所述，本项目建设</w:t>
            </w:r>
            <w:r>
              <w:rPr>
                <w:rFonts w:hint="eastAsia"/>
                <w:color w:val="auto"/>
                <w:highlight w:val="none"/>
              </w:rPr>
              <w:t>符合</w:t>
            </w:r>
            <w:r>
              <w:rPr>
                <w:rFonts w:hint="eastAsia"/>
                <w:color w:val="auto"/>
                <w:highlight w:val="none"/>
                <w:lang w:val="en-US" w:eastAsia="zh-CN"/>
              </w:rPr>
              <w:t>“玉溪市生态环境局关于《云南易门产业园区总体规划（修编）（2021-2035年）环境影响报告书》审查意见的函（玉市环函〔2022〕32号）”的</w:t>
            </w:r>
            <w:r>
              <w:rPr>
                <w:rFonts w:hint="eastAsia"/>
                <w:color w:val="auto"/>
                <w:highlight w:val="none"/>
              </w:rPr>
              <w:t>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17" w:hRule="atLeast"/>
          <w:jc w:val="center"/>
        </w:trPr>
        <w:tc>
          <w:tcPr>
            <w:tcW w:w="147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eastAsia" w:ascii="Times New Roman" w:hAnsi="Times New Roman" w:eastAsia="宋体" w:cs="Times New Roman"/>
                <w:i w:val="0"/>
                <w:iCs w:val="0"/>
                <w:color w:val="auto"/>
                <w:kern w:val="0"/>
                <w:sz w:val="24"/>
                <w:szCs w:val="24"/>
                <w:highlight w:val="none"/>
                <w:u w:val="none"/>
                <w:lang w:val="en-US" w:eastAsia="zh-CN" w:bidi="ar"/>
              </w:rPr>
              <w:t>其他符合性分析</w:t>
            </w:r>
          </w:p>
        </w:tc>
        <w:tc>
          <w:tcPr>
            <w:tcW w:w="7208" w:type="dxa"/>
            <w:gridSpan w:val="3"/>
            <w:tcBorders>
              <w:tl2br w:val="nil"/>
              <w:tr2bl w:val="nil"/>
            </w:tcBorders>
            <w:shd w:val="clear" w:color="auto" w:fill="auto"/>
            <w:noWrap/>
            <w:vAlign w:val="top"/>
          </w:tcPr>
          <w:p>
            <w:pPr>
              <w:pStyle w:val="40"/>
              <w:bidi w:val="0"/>
              <w:rPr>
                <w:rFonts w:hint="default"/>
                <w:color w:val="auto"/>
                <w:highlight w:val="none"/>
                <w:lang w:val="en-US" w:eastAsia="zh-CN"/>
              </w:rPr>
            </w:pPr>
            <w:r>
              <w:rPr>
                <w:rFonts w:hint="eastAsia"/>
                <w:color w:val="auto"/>
                <w:highlight w:val="none"/>
                <w:lang w:val="en-US" w:eastAsia="zh-CN"/>
              </w:rPr>
              <w:t>1</w:t>
            </w:r>
            <w:r>
              <w:rPr>
                <w:rFonts w:hint="default"/>
                <w:color w:val="auto"/>
                <w:highlight w:val="none"/>
                <w:lang w:val="en-US" w:eastAsia="zh-CN"/>
              </w:rPr>
              <w:t>、产业政策符合性分析</w:t>
            </w:r>
          </w:p>
          <w:p>
            <w:pPr>
              <w:bidi w:val="0"/>
              <w:rPr>
                <w:rFonts w:hint="default"/>
                <w:color w:val="auto"/>
                <w:highlight w:val="none"/>
                <w:lang w:val="en-US" w:eastAsia="zh-CN"/>
              </w:rPr>
            </w:pPr>
            <w:r>
              <w:rPr>
                <w:rFonts w:hint="default"/>
                <w:color w:val="auto"/>
                <w:highlight w:val="none"/>
                <w:lang w:val="en-US" w:eastAsia="zh-CN"/>
              </w:rPr>
              <w:t>根据国家发展和改革委员会发布的《产业结构调整指导目录》</w:t>
            </w:r>
            <w:r>
              <w:rPr>
                <w:rFonts w:hint="eastAsia"/>
                <w:color w:val="auto"/>
                <w:highlight w:val="none"/>
                <w:lang w:val="en-US" w:eastAsia="zh-CN"/>
              </w:rPr>
              <w:t>（2024</w:t>
            </w:r>
            <w:r>
              <w:rPr>
                <w:rFonts w:hint="default"/>
                <w:color w:val="auto"/>
                <w:highlight w:val="none"/>
                <w:lang w:val="en-US" w:eastAsia="zh-CN"/>
              </w:rPr>
              <w:t>年本</w:t>
            </w:r>
            <w:r>
              <w:rPr>
                <w:rFonts w:hint="eastAsia"/>
                <w:color w:val="auto"/>
                <w:highlight w:val="none"/>
                <w:lang w:val="en-US" w:eastAsia="zh-CN"/>
              </w:rPr>
              <w:t>）</w:t>
            </w:r>
            <w:r>
              <w:rPr>
                <w:rFonts w:hint="default"/>
                <w:color w:val="auto"/>
                <w:highlight w:val="none"/>
                <w:lang w:val="en-US" w:eastAsia="zh-CN"/>
              </w:rPr>
              <w:t>，本项目</w:t>
            </w:r>
            <w:r>
              <w:rPr>
                <w:rFonts w:hint="eastAsia"/>
                <w:color w:val="auto"/>
                <w:highlight w:val="none"/>
                <w:lang w:val="en-US" w:eastAsia="zh-CN"/>
              </w:rPr>
              <w:t>不</w:t>
            </w:r>
            <w:r>
              <w:rPr>
                <w:rFonts w:hint="default"/>
                <w:color w:val="auto"/>
                <w:highlight w:val="none"/>
                <w:lang w:val="en-US" w:eastAsia="zh-CN"/>
              </w:rPr>
              <w:t>属于</w:t>
            </w:r>
            <w:r>
              <w:rPr>
                <w:rFonts w:hint="default" w:ascii="Times New Roman" w:hAnsi="Times New Roman" w:eastAsia="宋体" w:cs="Times New Roman"/>
                <w:color w:val="auto"/>
                <w:highlight w:val="none"/>
              </w:rPr>
              <w:t>其中</w:t>
            </w:r>
            <w:r>
              <w:rPr>
                <w:rFonts w:hint="eastAsia" w:cs="Times New Roman"/>
                <w:color w:val="auto"/>
                <w:highlight w:val="none"/>
                <w:lang w:val="en-US" w:eastAsia="zh-CN"/>
              </w:rPr>
              <w:t>的鼓励</w:t>
            </w:r>
            <w:r>
              <w:rPr>
                <w:rFonts w:hint="eastAsia" w:ascii="Times New Roman" w:hAnsi="Times New Roman" w:eastAsia="宋体" w:cs="Times New Roman"/>
                <w:color w:val="auto"/>
                <w:highlight w:val="none"/>
                <w:lang w:val="en-US" w:eastAsia="zh-CN"/>
              </w:rPr>
              <w:t>类</w:t>
            </w:r>
            <w:r>
              <w:rPr>
                <w:rFonts w:hint="eastAsia" w:cs="Times New Roman"/>
                <w:color w:val="auto"/>
                <w:highlight w:val="none"/>
                <w:lang w:val="en-US" w:eastAsia="zh-CN"/>
              </w:rPr>
              <w:t>、限制类及淘汰类</w:t>
            </w:r>
            <w:r>
              <w:rPr>
                <w:rFonts w:hint="eastAsia" w:ascii="Times New Roman" w:hAnsi="Times New Roman" w:eastAsia="宋体" w:cs="Times New Roman"/>
                <w:color w:val="auto"/>
                <w:highlight w:val="none"/>
                <w:lang w:val="en-US" w:eastAsia="zh-CN"/>
              </w:rPr>
              <w:t>建设项目</w:t>
            </w:r>
            <w:r>
              <w:rPr>
                <w:rFonts w:hint="eastAsia"/>
                <w:color w:val="auto"/>
                <w:highlight w:val="none"/>
                <w:lang w:val="en-US" w:eastAsia="zh-CN"/>
              </w:rPr>
              <w:t>，视为允许类项目；根据《西部地区鼓励类产业目录（2025年本）》，易门铜业有限公司属于其中“二、西部地区新增鼓励类产业-云南省-19、有色金属产品开发及精深加工，有色金属高效、节能、低污染、规模化回收与综合利用”类别，本次改建项目属于易门铜业有限公司铜冶炼配套公用工程；且本项目已于2025年11月19日取得了易门县发展和改革局下发的《</w:t>
            </w:r>
            <w:r>
              <w:rPr>
                <w:rFonts w:hint="eastAsia" w:cs="Times New Roman"/>
                <w:color w:val="auto"/>
                <w:highlight w:val="none"/>
                <w:lang w:val="en-US" w:eastAsia="zh-CN"/>
              </w:rPr>
              <w:t>云南省固定资产投资项目备案证</w:t>
            </w:r>
            <w:r>
              <w:rPr>
                <w:rFonts w:hint="eastAsia"/>
                <w:color w:val="auto"/>
                <w:highlight w:val="none"/>
                <w:lang w:val="en-US" w:eastAsia="zh-CN"/>
              </w:rPr>
              <w:t>》，项目代码为：2511-530425-04-02-147574</w:t>
            </w:r>
            <w:r>
              <w:rPr>
                <w:rFonts w:hint="eastAsia" w:cs="Times New Roman"/>
                <w:i w:val="0"/>
                <w:iCs w:val="0"/>
                <w:color w:val="auto"/>
                <w:sz w:val="24"/>
                <w:szCs w:val="24"/>
                <w:highlight w:val="none"/>
                <w:u w:val="none"/>
                <w:lang w:val="en-US" w:eastAsia="zh-CN"/>
              </w:rPr>
              <w:t>，允许项目建设。</w:t>
            </w:r>
            <w:r>
              <w:rPr>
                <w:rFonts w:hint="default"/>
                <w:color w:val="auto"/>
                <w:highlight w:val="none"/>
                <w:lang w:val="en-US" w:eastAsia="zh-CN"/>
              </w:rPr>
              <w:t>因此本项目符合国家现行的产业政策。</w:t>
            </w:r>
          </w:p>
          <w:p>
            <w:pPr>
              <w:pStyle w:val="40"/>
              <w:bidi w:val="0"/>
              <w:rPr>
                <w:rFonts w:hint="default"/>
                <w:color w:val="auto"/>
                <w:highlight w:val="none"/>
                <w:lang w:val="en-US" w:eastAsia="zh-CN"/>
              </w:rPr>
            </w:pPr>
            <w:r>
              <w:rPr>
                <w:rFonts w:hint="eastAsia"/>
                <w:color w:val="auto"/>
                <w:highlight w:val="none"/>
                <w:lang w:val="en-US" w:eastAsia="zh-CN"/>
              </w:rPr>
              <w:t>2、项目与《云南省国土空间规划（2021-2035年）》及《易门县国土空间总体规划（2021-2035年）》的符合性分析</w:t>
            </w:r>
          </w:p>
          <w:p>
            <w:pPr>
              <w:bidi w:val="0"/>
              <w:rPr>
                <w:rFonts w:hint="eastAsia"/>
                <w:color w:val="auto"/>
                <w:highlight w:val="none"/>
                <w:lang w:val="en-US" w:eastAsia="zh-CN"/>
              </w:rPr>
            </w:pPr>
            <w:r>
              <w:rPr>
                <w:rFonts w:hint="eastAsia" w:ascii="黑体" w:hAnsi="黑体" w:eastAsia="黑体" w:cs="黑体"/>
                <w:color w:val="auto"/>
                <w:highlight w:val="none"/>
                <w:lang w:val="en-US" w:eastAsia="zh-CN"/>
              </w:rPr>
              <w:t>（1）项目与《云南省国土空间规划》（2021-2035年）中“</w:t>
            </w:r>
            <w:r>
              <w:rPr>
                <w:rFonts w:hint="eastAsia" w:ascii="黑体" w:hAnsi="黑体" w:eastAsia="黑体" w:cs="黑体"/>
                <w:color w:val="auto"/>
                <w:highlight w:val="none"/>
              </w:rPr>
              <w:t>主体功能</w:t>
            </w:r>
            <w:r>
              <w:rPr>
                <w:rFonts w:hint="eastAsia" w:ascii="黑体" w:hAnsi="黑体" w:eastAsia="黑体" w:cs="黑体"/>
                <w:color w:val="auto"/>
                <w:highlight w:val="none"/>
                <w:lang w:val="en-US" w:eastAsia="zh-CN"/>
              </w:rPr>
              <w:t>格局”的符合性分析</w:t>
            </w:r>
          </w:p>
          <w:p>
            <w:pPr>
              <w:bidi w:val="0"/>
              <w:rPr>
                <w:rFonts w:hint="eastAsia" w:eastAsia="宋体"/>
                <w:color w:val="auto"/>
                <w:highlight w:val="none"/>
                <w:lang w:val="en-US" w:eastAsia="zh-CN"/>
              </w:rPr>
            </w:pPr>
            <w:r>
              <w:rPr>
                <w:rFonts w:hint="eastAsia"/>
                <w:color w:val="auto"/>
                <w:highlight w:val="none"/>
                <w:lang w:val="en-US" w:eastAsia="zh-CN"/>
              </w:rPr>
              <w:t>根据《云南省国土空间规划》（2021-2035年）“前言”：建立国土空间规划体系并监督实施，将主体功能区规划、土地利用规划、城乡规划等空间规划融合为统一的国土空间规划，实现“多规合一”，强化国土空间规划对各专项规划的指导约束作用，是党中央、国务院作出的重大战略部署。</w:t>
            </w:r>
          </w:p>
          <w:p>
            <w:pPr>
              <w:bidi w:val="0"/>
              <w:rPr>
                <w:rFonts w:hint="default" w:eastAsia="宋体"/>
                <w:color w:val="auto"/>
                <w:highlight w:val="none"/>
                <w:lang w:val="en-US" w:eastAsia="zh-CN"/>
              </w:rPr>
            </w:pPr>
            <w:r>
              <w:rPr>
                <w:rFonts w:hint="eastAsia"/>
                <w:color w:val="auto"/>
                <w:highlight w:val="none"/>
                <w:lang w:val="en-US" w:eastAsia="zh-CN"/>
              </w:rPr>
              <w:t>本项目与《云南省国土空间规划》（2021-2035年）中“</w:t>
            </w:r>
            <w:r>
              <w:rPr>
                <w:rFonts w:hint="default"/>
                <w:color w:val="auto"/>
                <w:highlight w:val="none"/>
              </w:rPr>
              <w:t>主体功能</w:t>
            </w:r>
            <w:r>
              <w:rPr>
                <w:rFonts w:hint="eastAsia"/>
                <w:color w:val="auto"/>
                <w:highlight w:val="none"/>
                <w:lang w:val="en-US" w:eastAsia="zh-CN"/>
              </w:rPr>
              <w:t>格局”的符合性分析详见下表：</w:t>
            </w:r>
          </w:p>
          <w:p>
            <w:pPr>
              <w:pStyle w:val="35"/>
              <w:bidi w:val="0"/>
              <w:rPr>
                <w:rFonts w:hint="default"/>
                <w:color w:val="auto"/>
                <w:highlight w:val="none"/>
                <w:lang w:val="en-US" w:eastAsia="zh-CN"/>
              </w:rPr>
            </w:pPr>
            <w:r>
              <w:rPr>
                <w:rFonts w:hint="eastAsia"/>
                <w:color w:val="auto"/>
                <w:highlight w:val="none"/>
                <w:lang w:val="en-US" w:eastAsia="zh-CN"/>
              </w:rPr>
              <w:t>表1-4  项目与《云南省国土空间规划》（2021-2035年）中“</w:t>
            </w:r>
            <w:r>
              <w:rPr>
                <w:rFonts w:hint="default"/>
                <w:color w:val="auto"/>
                <w:highlight w:val="none"/>
              </w:rPr>
              <w:t>主体功能</w:t>
            </w:r>
            <w:r>
              <w:rPr>
                <w:rFonts w:hint="eastAsia"/>
                <w:color w:val="auto"/>
                <w:highlight w:val="none"/>
                <w:lang w:val="en-US" w:eastAsia="zh-CN"/>
              </w:rPr>
              <w:t>格局”的符合性分析一览表</w:t>
            </w:r>
          </w:p>
          <w:tbl>
            <w:tblPr>
              <w:tblStyle w:val="23"/>
              <w:tblW w:w="695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8"/>
              <w:gridCol w:w="3872"/>
              <w:gridCol w:w="1714"/>
              <w:gridCol w:w="7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dxa"/>
                  <w:tcBorders>
                    <w:tl2br w:val="nil"/>
                    <w:tr2bl w:val="nil"/>
                  </w:tcBorders>
                  <w:vAlign w:val="center"/>
                </w:tcPr>
                <w:p>
                  <w:pPr>
                    <w:pStyle w:val="34"/>
                    <w:bidi w:val="0"/>
                    <w:rPr>
                      <w:color w:val="auto"/>
                      <w:highlight w:val="none"/>
                    </w:rPr>
                  </w:pPr>
                  <w:r>
                    <w:rPr>
                      <w:rFonts w:hint="eastAsia"/>
                      <w:color w:val="auto"/>
                      <w:highlight w:val="none"/>
                    </w:rPr>
                    <w:t>序号</w:t>
                  </w:r>
                </w:p>
              </w:tc>
              <w:tc>
                <w:tcPr>
                  <w:tcW w:w="3872" w:type="dxa"/>
                  <w:tcBorders>
                    <w:tl2br w:val="nil"/>
                    <w:tr2bl w:val="nil"/>
                  </w:tcBorders>
                  <w:vAlign w:val="center"/>
                </w:tcPr>
                <w:p>
                  <w:pPr>
                    <w:pStyle w:val="34"/>
                    <w:bidi w:val="0"/>
                    <w:rPr>
                      <w:rFonts w:hint="default" w:eastAsia="宋体"/>
                      <w:color w:val="auto"/>
                      <w:highlight w:val="none"/>
                      <w:lang w:val="en-US" w:eastAsia="zh-CN"/>
                    </w:rPr>
                  </w:pPr>
                  <w:r>
                    <w:rPr>
                      <w:rFonts w:hint="eastAsia"/>
                      <w:color w:val="auto"/>
                      <w:highlight w:val="none"/>
                      <w:lang w:eastAsia="zh-CN"/>
                    </w:rPr>
                    <w:t>“</w:t>
                  </w:r>
                  <w:r>
                    <w:rPr>
                      <w:rFonts w:hint="default"/>
                      <w:color w:val="auto"/>
                      <w:highlight w:val="none"/>
                    </w:rPr>
                    <w:t>主体功能</w:t>
                  </w:r>
                  <w:r>
                    <w:rPr>
                      <w:rFonts w:hint="eastAsia"/>
                      <w:color w:val="auto"/>
                      <w:highlight w:val="none"/>
                      <w:lang w:val="en-US" w:eastAsia="zh-CN"/>
                    </w:rPr>
                    <w:t>格局</w:t>
                  </w:r>
                  <w:r>
                    <w:rPr>
                      <w:rFonts w:hint="eastAsia"/>
                      <w:color w:val="auto"/>
                      <w:highlight w:val="none"/>
                      <w:lang w:eastAsia="zh-CN"/>
                    </w:rPr>
                    <w:t>”</w:t>
                  </w:r>
                  <w:r>
                    <w:rPr>
                      <w:rFonts w:hint="eastAsia"/>
                      <w:color w:val="auto"/>
                      <w:highlight w:val="none"/>
                      <w:lang w:val="en-US" w:eastAsia="zh-CN"/>
                    </w:rPr>
                    <w:t>内容</w:t>
                  </w:r>
                </w:p>
              </w:tc>
              <w:tc>
                <w:tcPr>
                  <w:tcW w:w="1714" w:type="dxa"/>
                  <w:tcBorders>
                    <w:tl2br w:val="nil"/>
                    <w:tr2bl w:val="nil"/>
                  </w:tcBorders>
                  <w:vAlign w:val="center"/>
                </w:tcPr>
                <w:p>
                  <w:pPr>
                    <w:pStyle w:val="34"/>
                    <w:bidi w:val="0"/>
                    <w:rPr>
                      <w:rFonts w:hint="eastAsia" w:eastAsia="宋体"/>
                      <w:color w:val="auto"/>
                      <w:highlight w:val="none"/>
                      <w:lang w:val="en-US" w:eastAsia="zh-CN"/>
                    </w:rPr>
                  </w:pPr>
                  <w:r>
                    <w:rPr>
                      <w:rFonts w:hint="eastAsia"/>
                      <w:color w:val="auto"/>
                      <w:highlight w:val="none"/>
                    </w:rPr>
                    <w:t>本项目</w:t>
                  </w:r>
                  <w:r>
                    <w:rPr>
                      <w:rFonts w:hint="eastAsia"/>
                      <w:color w:val="auto"/>
                      <w:highlight w:val="none"/>
                      <w:lang w:val="en-US" w:eastAsia="zh-CN"/>
                    </w:rPr>
                    <w:t>情况</w:t>
                  </w:r>
                </w:p>
              </w:tc>
              <w:tc>
                <w:tcPr>
                  <w:tcW w:w="758" w:type="dxa"/>
                  <w:tcBorders>
                    <w:tl2br w:val="nil"/>
                    <w:tr2bl w:val="nil"/>
                  </w:tcBorders>
                  <w:vAlign w:val="center"/>
                </w:tcPr>
                <w:p>
                  <w:pPr>
                    <w:pStyle w:val="34"/>
                    <w:bidi w:val="0"/>
                    <w:rPr>
                      <w:color w:val="auto"/>
                      <w:highlight w:val="none"/>
                    </w:rPr>
                  </w:pPr>
                  <w:r>
                    <w:rPr>
                      <w:rFonts w:hint="eastAsia"/>
                      <w:color w:val="auto"/>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dxa"/>
                  <w:tcBorders>
                    <w:tl2br w:val="nil"/>
                    <w:tr2bl w:val="nil"/>
                  </w:tcBorders>
                  <w:vAlign w:val="center"/>
                </w:tcPr>
                <w:p>
                  <w:pPr>
                    <w:pStyle w:val="34"/>
                    <w:bidi w:val="0"/>
                    <w:rPr>
                      <w:rFonts w:hint="eastAsia" w:eastAsia="宋体"/>
                      <w:color w:val="auto"/>
                      <w:highlight w:val="none"/>
                      <w:lang w:val="en-US" w:eastAsia="zh-CN"/>
                    </w:rPr>
                  </w:pPr>
                  <w:r>
                    <w:rPr>
                      <w:rFonts w:hint="eastAsia"/>
                      <w:color w:val="auto"/>
                      <w:highlight w:val="none"/>
                    </w:rPr>
                    <w:t>第二节　优化主体功能格局</w:t>
                  </w:r>
                </w:p>
              </w:tc>
              <w:tc>
                <w:tcPr>
                  <w:tcW w:w="3872" w:type="dxa"/>
                  <w:tcBorders>
                    <w:tl2br w:val="nil"/>
                    <w:tr2bl w:val="nil"/>
                  </w:tcBorders>
                  <w:vAlign w:val="center"/>
                </w:tcPr>
                <w:p>
                  <w:pPr>
                    <w:pStyle w:val="34"/>
                    <w:bidi w:val="0"/>
                    <w:jc w:val="left"/>
                    <w:rPr>
                      <w:rFonts w:hint="eastAsia"/>
                      <w:color w:val="auto"/>
                      <w:highlight w:val="none"/>
                    </w:rPr>
                  </w:pPr>
                  <w:r>
                    <w:rPr>
                      <w:rFonts w:hint="eastAsia"/>
                      <w:color w:val="auto"/>
                      <w:highlight w:val="none"/>
                    </w:rPr>
                    <w:t>构建以“五区三屏一群”为主体的国土空间总体格局。落实国家主体功能区战略，以“三区三线”划定成果为基础，优化形成区域互补的主体功能区格局。巩固东部高原、西部高原、乌蒙山、西南部、东南部五个农产品主产区，提高重要农产品保障能力。筑牢青藏高原东南缘、哀牢山—无量山、南部边境三大生态屏障，提升重要地区生态系统功能。将滇中城市群建设成为云南省高质量发展的核心支撑。</w:t>
                  </w:r>
                </w:p>
                <w:p>
                  <w:pPr>
                    <w:pStyle w:val="34"/>
                    <w:bidi w:val="0"/>
                    <w:jc w:val="left"/>
                    <w:rPr>
                      <w:rFonts w:hint="eastAsia"/>
                      <w:color w:val="auto"/>
                      <w:highlight w:val="none"/>
                    </w:rPr>
                  </w:pPr>
                  <w:r>
                    <w:rPr>
                      <w:rFonts w:hint="eastAsia"/>
                      <w:color w:val="auto"/>
                      <w:highlight w:val="none"/>
                    </w:rPr>
                    <w:t>落实主体功能区。落实国家战略部署，发挥地区比较优势，立足资源禀赋和经济社会发展实际，依据资源环境承载能力和国土空间开发适宜性评价、“三区三线”划定等成果，优化形成“3＋5”主体功能分区布局。“3”为以县（市、区）为单元划分农产品主产区、重点生态功能区和城市化地区。在3类主体功能区的基础上，叠加确定重点小城镇、自然景观保护功能区、边境地区、历史文化资源富集区、能源资源富集区等5个其他功能区。</w:t>
                  </w:r>
                </w:p>
                <w:p>
                  <w:pPr>
                    <w:pStyle w:val="34"/>
                    <w:bidi w:val="0"/>
                    <w:jc w:val="left"/>
                    <w:rPr>
                      <w:rFonts w:hint="eastAsia"/>
                      <w:color w:val="auto"/>
                      <w:highlight w:val="none"/>
                    </w:rPr>
                  </w:pPr>
                  <w:r>
                    <w:rPr>
                      <w:rFonts w:hint="eastAsia"/>
                      <w:color w:val="auto"/>
                      <w:highlight w:val="none"/>
                    </w:rPr>
                    <w:t>优化主体功能分区。以保障粮食安全为基础，提高重要农产品保障供给能力，依据现状耕地和永久基本农田集中分布情况、水土条件变化和高原特色现代农业发展要求，将38个县（市、区）划定为重点农产品主产区，主要集中分布在临沧市、普洱市、曲靖市、保山市等州（市）。以筑牢西南生态安全屏障为基础，落实青藏高原生态屏障区、长江重点生态区（含川滇生态屏障）等国家生态安全屏障体系建设要求，加强重要自然保护地、六大水系和九大高原湖泊保护，将46个县（市、区）划定为重点生态功能区，主要集中分布在迪庆州、怒江州、丽江市、文山州等州（市）。根据人口变化、新型城镇化和区域协调发展要求，统筹城市（镇）群、城镇带、都市圈、城镇圈空间资源配置，将45个县（市、区）划定为城市化地区，主要集中分布在昆明市、曲靖市、玉溪市、红河州等州（市）。</w:t>
                  </w:r>
                </w:p>
                <w:p>
                  <w:pPr>
                    <w:pStyle w:val="34"/>
                    <w:bidi w:val="0"/>
                    <w:jc w:val="left"/>
                    <w:rPr>
                      <w:rFonts w:hint="eastAsia"/>
                      <w:color w:val="auto"/>
                      <w:highlight w:val="none"/>
                    </w:rPr>
                  </w:pPr>
                  <w:r>
                    <w:rPr>
                      <w:rFonts w:hint="eastAsia"/>
                      <w:color w:val="auto"/>
                      <w:highlight w:val="none"/>
                    </w:rPr>
                    <w:t>细化叠加功能。统筹保障能源安全、边疆安全和文化安全，推进以县城为载体的城镇化建设，结合州（市）国土空间总体规划编制，因地制宜细化落实5个叠加功能区。加快小城镇发展，推进新型城镇化建设，发挥重点小城镇连接城市、服务乡村作用，促进区域协调发展和城乡融合发展，划定重点小城镇。保护云南省丰富多样的自然景观资源，维护区域自然景观完整性、原真性、可持续性，彰显自然景观的特色魅力，划定自然景观保护功能区。加快沿边城镇发展，保障边境安全、稳固地区治理、稳定持续发展，划定边境功能区。保障文化资源传承延续，维护文化环境承载协调稳定，促进文化资源可持续发展，实现永续利用，划定历史文化资源富集区。统筹能源和矿产资源保障，合理安排能源和矿产资源开发利用空间，划定能源资源富集区。</w:t>
                  </w:r>
                </w:p>
              </w:tc>
              <w:tc>
                <w:tcPr>
                  <w:tcW w:w="1714" w:type="dxa"/>
                  <w:tcBorders>
                    <w:tl2br w:val="nil"/>
                    <w:tr2bl w:val="nil"/>
                  </w:tcBorders>
                  <w:vAlign w:val="center"/>
                </w:tcPr>
                <w:p>
                  <w:pPr>
                    <w:pStyle w:val="34"/>
                    <w:bidi w:val="0"/>
                    <w:rPr>
                      <w:rFonts w:hint="eastAsia"/>
                      <w:color w:val="auto"/>
                      <w:highlight w:val="none"/>
                    </w:rPr>
                  </w:pPr>
                  <w:r>
                    <w:rPr>
                      <w:rFonts w:hint="eastAsia"/>
                      <w:color w:val="auto"/>
                      <w:highlight w:val="none"/>
                    </w:rPr>
                    <w:t>本项目</w:t>
                  </w:r>
                  <w:r>
                    <w:rPr>
                      <w:rFonts w:hint="eastAsia"/>
                      <w:color w:val="auto"/>
                      <w:highlight w:val="none"/>
                      <w:lang w:val="en-US" w:eastAsia="zh-CN"/>
                    </w:rPr>
                    <w:t>为制氧系统技术改造节能项目，属于易门铜业有限公司铜冶炼配套公用工程，项目</w:t>
                  </w:r>
                  <w:r>
                    <w:rPr>
                      <w:rFonts w:hint="eastAsia"/>
                      <w:color w:val="auto"/>
                      <w:highlight w:val="none"/>
                    </w:rPr>
                    <w:t>位于</w:t>
                  </w:r>
                  <w:r>
                    <w:rPr>
                      <w:rFonts w:hint="eastAsia"/>
                      <w:color w:val="auto"/>
                      <w:highlight w:val="none"/>
                      <w:lang w:val="en-US" w:eastAsia="zh-CN"/>
                    </w:rPr>
                    <w:t>云南易门产业园区大椿树片区</w:t>
                  </w:r>
                  <w:r>
                    <w:rPr>
                      <w:rFonts w:hint="eastAsia"/>
                      <w:color w:val="auto"/>
                      <w:highlight w:val="none"/>
                    </w:rPr>
                    <w:t>，</w:t>
                  </w:r>
                  <w:r>
                    <w:rPr>
                      <w:rFonts w:hint="eastAsia"/>
                      <w:color w:val="auto"/>
                      <w:highlight w:val="none"/>
                      <w:lang w:val="en-US" w:eastAsia="zh-CN"/>
                    </w:rPr>
                    <w:t>项目用地不涉及生态保护红线，根据</w:t>
                  </w:r>
                  <w:r>
                    <w:rPr>
                      <w:rFonts w:hint="eastAsia" w:cs="Times New Roman"/>
                      <w:color w:val="auto"/>
                      <w:highlight w:val="none"/>
                      <w:lang w:val="en-US" w:eastAsia="zh-CN"/>
                    </w:rPr>
                    <w:t>“三区三线”查询结果</w:t>
                  </w:r>
                  <w:r>
                    <w:rPr>
                      <w:rFonts w:hint="eastAsia"/>
                      <w:color w:val="auto"/>
                      <w:highlight w:val="none"/>
                      <w:lang w:val="en-US" w:eastAsia="zh-CN"/>
                    </w:rPr>
                    <w:t>，</w:t>
                  </w:r>
                  <w:r>
                    <w:rPr>
                      <w:rFonts w:hint="default" w:ascii="Times New Roman" w:hAnsi="Times New Roman" w:eastAsia="宋体" w:cs="Times New Roman"/>
                      <w:b w:val="0"/>
                      <w:bCs/>
                      <w:color w:val="auto"/>
                      <w:sz w:val="18"/>
                      <w:szCs w:val="18"/>
                      <w:highlight w:val="none"/>
                      <w:vertAlign w:val="baseline"/>
                      <w:lang w:val="en-US" w:eastAsia="zh-CN"/>
                    </w:rPr>
                    <w:t>项目占地不涉及永久基本农田。</w:t>
                  </w:r>
                  <w:r>
                    <w:rPr>
                      <w:rFonts w:hint="eastAsia"/>
                      <w:color w:val="auto"/>
                      <w:highlight w:val="none"/>
                    </w:rPr>
                    <w:t>对照</w:t>
                  </w:r>
                  <w:r>
                    <w:rPr>
                      <w:rFonts w:hint="eastAsia"/>
                      <w:color w:val="auto"/>
                      <w:highlight w:val="none"/>
                      <w:lang w:val="en-US" w:eastAsia="zh-CN"/>
                    </w:rPr>
                    <w:t>《云南省国土空间规划》（2021-2035年）中“国家级和省级主体功能区分布图”</w:t>
                  </w:r>
                  <w:r>
                    <w:rPr>
                      <w:rFonts w:hint="eastAsia"/>
                      <w:color w:val="auto"/>
                      <w:highlight w:val="none"/>
                    </w:rPr>
                    <w:t>，项目</w:t>
                  </w:r>
                  <w:r>
                    <w:rPr>
                      <w:rFonts w:hint="eastAsia"/>
                      <w:color w:val="auto"/>
                      <w:highlight w:val="none"/>
                      <w:lang w:val="en-US" w:eastAsia="zh-CN"/>
                    </w:rPr>
                    <w:t>位于国家级城市化地区</w:t>
                  </w:r>
                  <w:r>
                    <w:rPr>
                      <w:rFonts w:hint="eastAsia"/>
                      <w:color w:val="auto"/>
                      <w:highlight w:val="none"/>
                    </w:rPr>
                    <w:t>。项目</w:t>
                  </w:r>
                  <w:r>
                    <w:rPr>
                      <w:rFonts w:hint="eastAsia"/>
                      <w:color w:val="auto"/>
                      <w:highlight w:val="none"/>
                      <w:lang w:val="en-US" w:eastAsia="zh-CN"/>
                    </w:rPr>
                    <w:t>用地类型为工业用地，用地范围</w:t>
                  </w:r>
                  <w:r>
                    <w:rPr>
                      <w:rFonts w:hint="eastAsia"/>
                      <w:color w:val="auto"/>
                      <w:highlight w:val="none"/>
                    </w:rPr>
                    <w:t>不涉及自然保护区、世界遗产、风景名胜区、森林公园、城市饮用水源保护区、湿地公园</w:t>
                  </w:r>
                  <w:r>
                    <w:rPr>
                      <w:rFonts w:hint="eastAsia"/>
                      <w:color w:val="auto"/>
                      <w:highlight w:val="none"/>
                      <w:lang w:val="en-US" w:eastAsia="zh-CN"/>
                    </w:rPr>
                    <w:t>等保护区域</w:t>
                  </w:r>
                  <w:r>
                    <w:rPr>
                      <w:rFonts w:hint="eastAsia"/>
                      <w:color w:val="auto"/>
                      <w:highlight w:val="none"/>
                    </w:rPr>
                    <w:t>，因此项目的建设</w:t>
                  </w:r>
                  <w:r>
                    <w:rPr>
                      <w:rFonts w:hint="eastAsia"/>
                      <w:color w:val="auto"/>
                      <w:highlight w:val="none"/>
                      <w:lang w:val="en-US" w:eastAsia="zh-CN"/>
                    </w:rPr>
                    <w:t>符合《云南省国土空间规划》（2021-2035年）中的相关内容</w:t>
                  </w:r>
                  <w:r>
                    <w:rPr>
                      <w:rFonts w:hint="eastAsia"/>
                      <w:color w:val="auto"/>
                      <w:highlight w:val="none"/>
                    </w:rPr>
                    <w:t>。</w:t>
                  </w:r>
                </w:p>
              </w:tc>
              <w:tc>
                <w:tcPr>
                  <w:tcW w:w="758" w:type="dxa"/>
                  <w:tcBorders>
                    <w:tl2br w:val="nil"/>
                    <w:tr2bl w:val="nil"/>
                  </w:tcBorders>
                  <w:vAlign w:val="center"/>
                </w:tcPr>
                <w:p>
                  <w:pPr>
                    <w:pStyle w:val="34"/>
                    <w:bidi w:val="0"/>
                    <w:rPr>
                      <w:rFonts w:hint="eastAsia" w:eastAsia="宋体"/>
                      <w:color w:val="auto"/>
                      <w:highlight w:val="none"/>
                      <w:lang w:val="en-US" w:eastAsia="zh-CN"/>
                    </w:rPr>
                  </w:pPr>
                  <w:r>
                    <w:rPr>
                      <w:rFonts w:hint="eastAsia"/>
                      <w:color w:val="auto"/>
                      <w:highlight w:val="none"/>
                      <w:lang w:val="en-US" w:eastAsia="zh-CN"/>
                    </w:rPr>
                    <w:t>符合</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color w:val="auto"/>
                <w:highlight w:val="none"/>
                <w:lang w:val="en-US" w:eastAsia="zh-CN"/>
              </w:rPr>
            </w:pPr>
            <w:r>
              <w:rPr>
                <w:rFonts w:hint="eastAsia" w:ascii="黑体" w:hAnsi="黑体" w:eastAsia="黑体" w:cs="黑体"/>
                <w:color w:val="auto"/>
                <w:highlight w:val="none"/>
                <w:lang w:val="en-US" w:eastAsia="zh-CN"/>
              </w:rPr>
              <w:t>（2）项目与《易门县国土空间总体规划（2021-2035年）》的符合性分析</w:t>
            </w:r>
          </w:p>
          <w:p>
            <w:pPr>
              <w:bidi w:val="0"/>
              <w:rPr>
                <w:rFonts w:hint="eastAsia"/>
                <w:color w:val="auto"/>
                <w:highlight w:val="none"/>
                <w:lang w:val="en-US" w:eastAsia="zh-CN"/>
              </w:rPr>
            </w:pPr>
            <w:r>
              <w:rPr>
                <w:rFonts w:hint="eastAsia"/>
                <w:color w:val="auto"/>
                <w:highlight w:val="none"/>
                <w:lang w:val="en-US" w:eastAsia="zh-CN"/>
              </w:rPr>
              <w:t>根据《易门县国土空间总体规划（2021-2035年）》“前言” ，《规划》旨在建立健全易门县国土空间开发保护制度，全面提升国土空间治理体系和治理能力现代化水平，是实现全县高质量发展、高品质生活、高效能治理的空间保障；是加快形成绿色生产方式和生活方式，推进生态文明，保障国土安全，建设美丽、幸福易门的重要举措；是全县国土空间保护、开发、利用、修复的蓝图和总纲；是编制下位详细规划的依据；是编制相关专项规划的基础。</w:t>
            </w:r>
          </w:p>
          <w:p>
            <w:pPr>
              <w:bidi w:val="0"/>
              <w:rPr>
                <w:rFonts w:hint="default"/>
                <w:color w:val="auto"/>
                <w:highlight w:val="none"/>
                <w:lang w:val="en-US" w:eastAsia="zh-CN"/>
              </w:rPr>
            </w:pPr>
            <w:r>
              <w:rPr>
                <w:rFonts w:hint="eastAsia"/>
                <w:color w:val="auto"/>
                <w:highlight w:val="none"/>
                <w:lang w:val="en-US" w:eastAsia="zh-CN"/>
              </w:rPr>
              <w:t>《易门县国土空间总体规划（2021-2035年）》规划范围即易门县行政辖区范围，面积1526.55平方公里，本次规划期限为2021至2035年，近期至2025年，远景展望至2050年。本项目与其符合性分析见下表：</w:t>
            </w:r>
          </w:p>
          <w:p>
            <w:pPr>
              <w:pStyle w:val="35"/>
              <w:bidi w:val="0"/>
              <w:rPr>
                <w:rFonts w:hint="eastAsia"/>
                <w:color w:val="auto"/>
                <w:highlight w:val="none"/>
                <w:lang w:val="en-US" w:eastAsia="zh-CN"/>
              </w:rPr>
            </w:pPr>
            <w:r>
              <w:rPr>
                <w:rFonts w:hint="eastAsia"/>
                <w:color w:val="auto"/>
                <w:highlight w:val="none"/>
                <w:lang w:val="en-US" w:eastAsia="zh-CN"/>
              </w:rPr>
              <w:t>表1-5  项目与《易门县国土空间总体规划（2021-2035年）》的符合性分析一览表</w:t>
            </w:r>
          </w:p>
          <w:tbl>
            <w:tblPr>
              <w:tblStyle w:val="23"/>
              <w:tblW w:w="702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7"/>
              <w:gridCol w:w="3480"/>
              <w:gridCol w:w="2106"/>
              <w:gridCol w:w="7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tcBorders>
                    <w:tl2br w:val="nil"/>
                    <w:tr2bl w:val="nil"/>
                  </w:tcBorders>
                  <w:vAlign w:val="center"/>
                </w:tcPr>
                <w:p>
                  <w:pPr>
                    <w:pStyle w:val="34"/>
                    <w:bidi w:val="0"/>
                    <w:rPr>
                      <w:color w:val="auto"/>
                      <w:highlight w:val="none"/>
                    </w:rPr>
                  </w:pPr>
                  <w:r>
                    <w:rPr>
                      <w:rFonts w:hint="eastAsia"/>
                      <w:color w:val="auto"/>
                      <w:highlight w:val="none"/>
                    </w:rPr>
                    <w:t>序号</w:t>
                  </w:r>
                </w:p>
              </w:tc>
              <w:tc>
                <w:tcPr>
                  <w:tcW w:w="3480" w:type="dxa"/>
                  <w:tcBorders>
                    <w:tl2br w:val="nil"/>
                    <w:tr2bl w:val="nil"/>
                  </w:tcBorders>
                  <w:vAlign w:val="center"/>
                </w:tcPr>
                <w:p>
                  <w:pPr>
                    <w:pStyle w:val="34"/>
                    <w:bidi w:val="0"/>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规划</w:t>
                  </w:r>
                  <w:r>
                    <w:rPr>
                      <w:rFonts w:hint="eastAsia"/>
                      <w:color w:val="auto"/>
                      <w:highlight w:val="none"/>
                      <w:lang w:eastAsia="zh-CN"/>
                    </w:rPr>
                    <w:t>”</w:t>
                  </w:r>
                  <w:r>
                    <w:rPr>
                      <w:rFonts w:hint="eastAsia"/>
                      <w:color w:val="auto"/>
                      <w:highlight w:val="none"/>
                      <w:lang w:val="en-US" w:eastAsia="zh-CN"/>
                    </w:rPr>
                    <w:t>内容</w:t>
                  </w:r>
                </w:p>
              </w:tc>
              <w:tc>
                <w:tcPr>
                  <w:tcW w:w="2106" w:type="dxa"/>
                  <w:tcBorders>
                    <w:tl2br w:val="nil"/>
                    <w:tr2bl w:val="nil"/>
                  </w:tcBorders>
                  <w:vAlign w:val="center"/>
                </w:tcPr>
                <w:p>
                  <w:pPr>
                    <w:pStyle w:val="34"/>
                    <w:bidi w:val="0"/>
                    <w:rPr>
                      <w:rFonts w:hint="eastAsia" w:eastAsia="宋体"/>
                      <w:color w:val="auto"/>
                      <w:highlight w:val="none"/>
                      <w:lang w:val="en-US" w:eastAsia="zh-CN"/>
                    </w:rPr>
                  </w:pPr>
                  <w:r>
                    <w:rPr>
                      <w:rFonts w:hint="eastAsia"/>
                      <w:color w:val="auto"/>
                      <w:highlight w:val="none"/>
                    </w:rPr>
                    <w:t>本项目</w:t>
                  </w:r>
                  <w:r>
                    <w:rPr>
                      <w:rFonts w:hint="eastAsia"/>
                      <w:color w:val="auto"/>
                      <w:highlight w:val="none"/>
                      <w:lang w:val="en-US" w:eastAsia="zh-CN"/>
                    </w:rPr>
                    <w:t>情况</w:t>
                  </w:r>
                </w:p>
              </w:tc>
              <w:tc>
                <w:tcPr>
                  <w:tcW w:w="758" w:type="dxa"/>
                  <w:tcBorders>
                    <w:tl2br w:val="nil"/>
                    <w:tr2bl w:val="nil"/>
                  </w:tcBorders>
                  <w:vAlign w:val="center"/>
                </w:tcPr>
                <w:p>
                  <w:pPr>
                    <w:pStyle w:val="34"/>
                    <w:bidi w:val="0"/>
                    <w:rPr>
                      <w:color w:val="auto"/>
                      <w:highlight w:val="none"/>
                    </w:rPr>
                  </w:pPr>
                  <w:r>
                    <w:rPr>
                      <w:rFonts w:hint="eastAsia"/>
                      <w:color w:val="auto"/>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tcBorders>
                    <w:tl2br w:val="nil"/>
                    <w:tr2bl w:val="nil"/>
                  </w:tcBorders>
                  <w:vAlign w:val="center"/>
                </w:tcPr>
                <w:p>
                  <w:pPr>
                    <w:pStyle w:val="34"/>
                    <w:bidi w:val="0"/>
                    <w:rPr>
                      <w:rFonts w:hint="default" w:eastAsia="宋体"/>
                      <w:color w:val="auto"/>
                      <w:highlight w:val="none"/>
                      <w:lang w:val="en-US" w:eastAsia="zh-CN"/>
                    </w:rPr>
                  </w:pPr>
                  <w:r>
                    <w:rPr>
                      <w:rFonts w:hint="eastAsia" w:eastAsia="宋体"/>
                      <w:color w:val="auto"/>
                      <w:highlight w:val="none"/>
                      <w:lang w:val="en-US" w:eastAsia="zh-CN"/>
                    </w:rPr>
                    <w:t>1、总体发展定位</w:t>
                  </w:r>
                </w:p>
              </w:tc>
              <w:tc>
                <w:tcPr>
                  <w:tcW w:w="3480" w:type="dxa"/>
                  <w:tcBorders>
                    <w:tl2br w:val="nil"/>
                    <w:tr2bl w:val="nil"/>
                  </w:tcBorders>
                  <w:vAlign w:val="center"/>
                </w:tcPr>
                <w:p>
                  <w:pPr>
                    <w:pStyle w:val="34"/>
                    <w:bidi w:val="0"/>
                    <w:jc w:val="left"/>
                    <w:rPr>
                      <w:rFonts w:hint="eastAsia"/>
                      <w:color w:val="auto"/>
                      <w:highlight w:val="none"/>
                    </w:rPr>
                  </w:pPr>
                  <w:r>
                    <w:rPr>
                      <w:rFonts w:hint="eastAsia"/>
                      <w:color w:val="auto"/>
                      <w:highlight w:val="none"/>
                    </w:rPr>
                    <w:t>坚定不移贯彻创新、协调、绿色、开放、共享的新发展理念，落实习近平总书记考察云南重要讲话精神，主动融入以国内大循环为主体、国内国际双循环相互促进的新发展格局，推进县域治理能力现代化，推动国土空间高质量发展，全力打造昆玉同城化发展先行区、滇中菌乡山水公园城、西南循环经济科创城。</w:t>
                  </w:r>
                </w:p>
              </w:tc>
              <w:tc>
                <w:tcPr>
                  <w:tcW w:w="2106" w:type="dxa"/>
                  <w:tcBorders>
                    <w:tl2br w:val="nil"/>
                    <w:tr2bl w:val="nil"/>
                  </w:tcBorders>
                  <w:vAlign w:val="center"/>
                </w:tcPr>
                <w:p>
                  <w:pPr>
                    <w:pStyle w:val="34"/>
                    <w:bidi w:val="0"/>
                    <w:rPr>
                      <w:rFonts w:hint="eastAsia" w:eastAsia="宋体"/>
                      <w:color w:val="auto"/>
                      <w:highlight w:val="none"/>
                      <w:lang w:eastAsia="zh-CN"/>
                    </w:rPr>
                  </w:pPr>
                  <w:r>
                    <w:rPr>
                      <w:rFonts w:hint="eastAsia"/>
                      <w:color w:val="auto"/>
                      <w:highlight w:val="none"/>
                    </w:rPr>
                    <w:t>本项目位于云南易门产业园区大椿树片区，该片区已于规划编制阶段被纳入国土空间总体规划的城镇开发边界和工业用地红线范围</w:t>
                  </w:r>
                  <w:r>
                    <w:rPr>
                      <w:rFonts w:hint="eastAsia"/>
                      <w:color w:val="auto"/>
                      <w:highlight w:val="none"/>
                      <w:lang w:eastAsia="zh-CN"/>
                    </w:rPr>
                    <w:t>；</w:t>
                  </w:r>
                  <w:r>
                    <w:rPr>
                      <w:rFonts w:hint="eastAsia"/>
                      <w:color w:val="auto"/>
                      <w:highlight w:val="none"/>
                      <w:lang w:val="en-US" w:eastAsia="zh-CN"/>
                    </w:rPr>
                    <w:t>且本项目属于易门铜业有限公司铜冶炼配套公用工程</w:t>
                  </w:r>
                  <w:r>
                    <w:rPr>
                      <w:rFonts w:hint="eastAsia"/>
                      <w:color w:val="auto"/>
                      <w:highlight w:val="none"/>
                      <w:lang w:eastAsia="zh-CN"/>
                    </w:rPr>
                    <w:t>，服务于主导产业。</w:t>
                  </w:r>
                </w:p>
              </w:tc>
              <w:tc>
                <w:tcPr>
                  <w:tcW w:w="758" w:type="dxa"/>
                  <w:tcBorders>
                    <w:tl2br w:val="nil"/>
                    <w:tr2bl w:val="nil"/>
                  </w:tcBorders>
                  <w:vAlign w:val="center"/>
                </w:tcPr>
                <w:p>
                  <w:pPr>
                    <w:pStyle w:val="34"/>
                    <w:bidi w:val="0"/>
                    <w:rPr>
                      <w:rFonts w:hint="default" w:eastAsia="宋体"/>
                      <w:color w:val="auto"/>
                      <w:highlight w:val="none"/>
                      <w:lang w:val="en-US" w:eastAsia="zh-CN"/>
                    </w:rPr>
                  </w:pPr>
                  <w:r>
                    <w:rPr>
                      <w:rFonts w:hint="eastAsia" w:eastAsia="宋体"/>
                      <w:color w:val="auto"/>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tcBorders>
                    <w:tl2br w:val="nil"/>
                    <w:tr2bl w:val="nil"/>
                  </w:tcBorders>
                  <w:vAlign w:val="center"/>
                </w:tcPr>
                <w:p>
                  <w:pPr>
                    <w:pStyle w:val="34"/>
                    <w:bidi w:val="0"/>
                    <w:rPr>
                      <w:rFonts w:hint="default" w:eastAsia="宋体"/>
                      <w:color w:val="auto"/>
                      <w:highlight w:val="none"/>
                      <w:lang w:val="en-US" w:eastAsia="zh-CN"/>
                    </w:rPr>
                  </w:pPr>
                  <w:r>
                    <w:rPr>
                      <w:rFonts w:hint="eastAsia" w:eastAsia="宋体"/>
                      <w:color w:val="auto"/>
                      <w:highlight w:val="none"/>
                      <w:lang w:val="en-US" w:eastAsia="zh-CN"/>
                    </w:rPr>
                    <w:t>2、构筑山清水秀的生态空间</w:t>
                  </w:r>
                </w:p>
              </w:tc>
              <w:tc>
                <w:tcPr>
                  <w:tcW w:w="3480" w:type="dxa"/>
                  <w:tcBorders>
                    <w:tl2br w:val="nil"/>
                    <w:tr2bl w:val="nil"/>
                  </w:tcBorders>
                  <w:vAlign w:val="center"/>
                </w:tcPr>
                <w:p>
                  <w:pPr>
                    <w:pStyle w:val="34"/>
                    <w:bidi w:val="0"/>
                    <w:jc w:val="left"/>
                    <w:rPr>
                      <w:rFonts w:hint="eastAsia"/>
                      <w:color w:val="auto"/>
                      <w:highlight w:val="none"/>
                      <w:lang w:eastAsia="zh-CN"/>
                    </w:rPr>
                  </w:pPr>
                  <w:r>
                    <w:rPr>
                      <w:rFonts w:hint="eastAsia"/>
                      <w:color w:val="auto"/>
                      <w:highlight w:val="none"/>
                    </w:rPr>
                    <w:t>构建“两屏、一环、多廊、多点”的生态安全格局</w:t>
                  </w:r>
                  <w:r>
                    <w:rPr>
                      <w:rFonts w:hint="eastAsia"/>
                      <w:color w:val="auto"/>
                      <w:highlight w:val="none"/>
                      <w:lang w:eastAsia="zh-CN"/>
                    </w:rPr>
                    <w:t>：</w:t>
                  </w:r>
                </w:p>
                <w:p>
                  <w:pPr>
                    <w:pStyle w:val="34"/>
                    <w:bidi w:val="0"/>
                    <w:jc w:val="left"/>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）两屏：西部生态屏、东部生态屏西部生态屏：以林业培育、水土保持、水源涵养、石漠化治理、水利流失等为重点；东部生态屏以森林保护、维护生物多样性功能等为重点。</w:t>
                  </w:r>
                </w:p>
                <w:p>
                  <w:pPr>
                    <w:pStyle w:val="34"/>
                    <w:bidi w:val="0"/>
                    <w:jc w:val="left"/>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）一环：绿汁江、扒河生态带形成的“U”形生态保护环：</w:t>
                  </w:r>
                  <w:r>
                    <w:rPr>
                      <w:rFonts w:hint="eastAsia"/>
                      <w:color w:val="auto"/>
                      <w:highlight w:val="none"/>
                      <w:lang w:val="en-US" w:eastAsia="zh-CN"/>
                    </w:rPr>
                    <w:t>以流域综合治理、</w:t>
                  </w:r>
                  <w:r>
                    <w:rPr>
                      <w:rFonts w:hint="eastAsia"/>
                      <w:color w:val="auto"/>
                      <w:highlight w:val="none"/>
                      <w:lang w:eastAsia="zh-CN"/>
                    </w:rPr>
                    <w:t>农业面源污染治理等为重点。</w:t>
                  </w:r>
                </w:p>
                <w:p>
                  <w:pPr>
                    <w:pStyle w:val="34"/>
                    <w:bidi w:val="0"/>
                    <w:jc w:val="left"/>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）多廊：中部南北生态廊、南部东西生态廊：生态廊以水源保护、森林公园保护、水源涵养等为重点生态连接通廊重点是预留生态绿地，加强各生态功能之间的连续，形成生态安全网。</w:t>
                  </w:r>
                </w:p>
              </w:tc>
              <w:tc>
                <w:tcPr>
                  <w:tcW w:w="2106" w:type="dxa"/>
                  <w:tcBorders>
                    <w:tl2br w:val="nil"/>
                    <w:tr2bl w:val="nil"/>
                  </w:tcBorders>
                  <w:vAlign w:val="center"/>
                </w:tcPr>
                <w:p>
                  <w:pPr>
                    <w:pStyle w:val="34"/>
                    <w:bidi w:val="0"/>
                    <w:rPr>
                      <w:rFonts w:hint="default"/>
                      <w:color w:val="auto"/>
                      <w:highlight w:val="none"/>
                      <w:lang w:val="en-US"/>
                    </w:rPr>
                  </w:pPr>
                  <w:r>
                    <w:rPr>
                      <w:rFonts w:hint="eastAsia"/>
                      <w:color w:val="auto"/>
                      <w:highlight w:val="none"/>
                    </w:rPr>
                    <w:t>本项目</w:t>
                  </w:r>
                  <w:r>
                    <w:rPr>
                      <w:rFonts w:hint="eastAsia"/>
                      <w:color w:val="auto"/>
                      <w:highlight w:val="none"/>
                      <w:lang w:val="en-US" w:eastAsia="zh-CN"/>
                    </w:rPr>
                    <w:t>为制氧系统技术改造节能项目，属于易门铜业有限公司铜冶炼配套公用工程，本项目运营期无废气污染物产生；项目循环冷却系统排污水经厂区已建生产废水深度水处理站处理达标后回用于易门铜业有限公司冶炼渣缓冷场，不外排；生活污水经收集后进入厂区生活污水处理站进行处理，处理达标后回用于绿化浇洒，不外排；项目噪声通过合理布设产噪设备，厂房隔音、减振、加装消声器、距离衰减等措施后可做到厂界达标排放；项目固体废物均得到合理处置。</w:t>
                  </w:r>
                </w:p>
              </w:tc>
              <w:tc>
                <w:tcPr>
                  <w:tcW w:w="758" w:type="dxa"/>
                  <w:tcBorders>
                    <w:tl2br w:val="nil"/>
                    <w:tr2bl w:val="nil"/>
                  </w:tcBorders>
                  <w:vAlign w:val="center"/>
                </w:tcPr>
                <w:p>
                  <w:pPr>
                    <w:pStyle w:val="34"/>
                    <w:bidi w:val="0"/>
                    <w:rPr>
                      <w:rFonts w:hint="default" w:eastAsia="宋体"/>
                      <w:color w:val="auto"/>
                      <w:highlight w:val="none"/>
                      <w:lang w:val="en-US" w:eastAsia="zh-CN"/>
                    </w:rPr>
                  </w:pPr>
                  <w:r>
                    <w:rPr>
                      <w:rFonts w:hint="eastAsia" w:eastAsia="宋体"/>
                      <w:color w:val="auto"/>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dxa"/>
                  <w:tcBorders>
                    <w:tl2br w:val="nil"/>
                    <w:tr2bl w:val="nil"/>
                  </w:tcBorders>
                  <w:vAlign w:val="center"/>
                </w:tcPr>
                <w:p>
                  <w:pPr>
                    <w:pStyle w:val="34"/>
                    <w:bidi w:val="0"/>
                    <w:rPr>
                      <w:rFonts w:hint="default" w:eastAsia="宋体"/>
                      <w:color w:val="auto"/>
                      <w:highlight w:val="none"/>
                      <w:lang w:val="en-US" w:eastAsia="zh-CN"/>
                    </w:rPr>
                  </w:pPr>
                  <w:r>
                    <w:rPr>
                      <w:rFonts w:hint="eastAsia" w:eastAsia="宋体"/>
                      <w:color w:val="auto"/>
                      <w:highlight w:val="none"/>
                      <w:lang w:val="en-US" w:eastAsia="zh-CN"/>
                    </w:rPr>
                    <w:t>3、科学划定各类控制线</w:t>
                  </w:r>
                </w:p>
              </w:tc>
              <w:tc>
                <w:tcPr>
                  <w:tcW w:w="3480" w:type="dxa"/>
                  <w:tcBorders>
                    <w:tl2br w:val="nil"/>
                    <w:tr2bl w:val="nil"/>
                  </w:tcBorders>
                  <w:vAlign w:val="center"/>
                </w:tcPr>
                <w:p>
                  <w:pPr>
                    <w:pStyle w:val="34"/>
                    <w:bidi w:val="0"/>
                    <w:jc w:val="left"/>
                    <w:rPr>
                      <w:rFonts w:hint="eastAsia"/>
                      <w:color w:val="auto"/>
                      <w:highlight w:val="none"/>
                    </w:rPr>
                  </w:pPr>
                  <w:r>
                    <w:rPr>
                      <w:rFonts w:hint="eastAsia"/>
                      <w:color w:val="auto"/>
                      <w:highlight w:val="none"/>
                    </w:rPr>
                    <w:t xml:space="preserve"> 统筹划定永久基本农田、生态保护红线、城镇开发边界三条控制线，作为调整经济结构、规划产业发展、推进城镇化不可逾越的红线。</w:t>
                  </w:r>
                </w:p>
              </w:tc>
              <w:tc>
                <w:tcPr>
                  <w:tcW w:w="2106" w:type="dxa"/>
                  <w:tcBorders>
                    <w:tl2br w:val="nil"/>
                    <w:tr2bl w:val="nil"/>
                  </w:tcBorders>
                  <w:vAlign w:val="center"/>
                </w:tcPr>
                <w:p>
                  <w:pPr>
                    <w:pStyle w:val="34"/>
                    <w:bidi w:val="0"/>
                    <w:rPr>
                      <w:rFonts w:hint="eastAsia" w:eastAsia="宋体"/>
                      <w:color w:val="auto"/>
                      <w:highlight w:val="none"/>
                      <w:lang w:eastAsia="zh-CN"/>
                    </w:rPr>
                  </w:pPr>
                  <w:r>
                    <w:rPr>
                      <w:rFonts w:hint="eastAsia"/>
                      <w:color w:val="auto"/>
                      <w:highlight w:val="none"/>
                    </w:rPr>
                    <w:t>本项目</w:t>
                  </w:r>
                  <w:r>
                    <w:rPr>
                      <w:rFonts w:hint="eastAsia"/>
                      <w:color w:val="auto"/>
                      <w:highlight w:val="none"/>
                      <w:lang w:val="en-US" w:eastAsia="zh-CN"/>
                    </w:rPr>
                    <w:t>为制氧系统技术改造节能项目，属于易门铜业有限公司铜冶炼配套公用工程，项目</w:t>
                  </w:r>
                  <w:r>
                    <w:rPr>
                      <w:rFonts w:hint="eastAsia"/>
                      <w:color w:val="auto"/>
                      <w:highlight w:val="none"/>
                    </w:rPr>
                    <w:t>位于</w:t>
                  </w:r>
                  <w:r>
                    <w:rPr>
                      <w:rFonts w:hint="eastAsia"/>
                      <w:color w:val="auto"/>
                      <w:highlight w:val="none"/>
                      <w:lang w:val="en-US" w:eastAsia="zh-CN"/>
                    </w:rPr>
                    <w:t>云南易门产业园区大椿树片区易门铜业有限公司既有厂区范围内</w:t>
                  </w:r>
                  <w:r>
                    <w:rPr>
                      <w:rFonts w:hint="eastAsia"/>
                      <w:color w:val="auto"/>
                      <w:highlight w:val="none"/>
                    </w:rPr>
                    <w:t>，</w:t>
                  </w:r>
                  <w:r>
                    <w:rPr>
                      <w:rFonts w:hint="eastAsia"/>
                      <w:color w:val="auto"/>
                      <w:highlight w:val="none"/>
                      <w:lang w:val="en-US" w:eastAsia="zh-CN"/>
                    </w:rPr>
                    <w:t>本次改建不新增用地；</w:t>
                  </w:r>
                  <w:r>
                    <w:rPr>
                      <w:rFonts w:hint="default"/>
                      <w:color w:val="auto"/>
                      <w:highlight w:val="none"/>
                    </w:rPr>
                    <w:t>根据</w:t>
                  </w:r>
                  <w:r>
                    <w:rPr>
                      <w:rFonts w:hint="eastAsia"/>
                      <w:color w:val="auto"/>
                      <w:highlight w:val="none"/>
                      <w:lang w:val="en-US" w:eastAsia="zh-CN"/>
                    </w:rPr>
                    <w:t>易门县</w:t>
                  </w:r>
                  <w:r>
                    <w:rPr>
                      <w:rFonts w:hint="default"/>
                      <w:color w:val="auto"/>
                      <w:highlight w:val="none"/>
                    </w:rPr>
                    <w:t>自然资源局出具的“三区三线”情况说明，本项目占地范围不涉及永久基本农田和生态保护红线、不在城镇开发边界</w:t>
                  </w:r>
                  <w:r>
                    <w:rPr>
                      <w:rFonts w:hint="eastAsia"/>
                      <w:color w:val="auto"/>
                      <w:highlight w:val="none"/>
                      <w:lang w:val="en-US" w:eastAsia="zh-CN"/>
                    </w:rPr>
                    <w:t>范围</w:t>
                  </w:r>
                  <w:r>
                    <w:rPr>
                      <w:rFonts w:hint="default"/>
                      <w:color w:val="auto"/>
                      <w:highlight w:val="none"/>
                    </w:rPr>
                    <w:t>内，项目占地不涉及</w:t>
                  </w:r>
                  <w:r>
                    <w:rPr>
                      <w:rFonts w:hint="eastAsia"/>
                      <w:color w:val="auto"/>
                      <w:highlight w:val="none"/>
                      <w:lang w:val="en-US" w:eastAsia="zh-CN"/>
                    </w:rPr>
                    <w:t>易门县</w:t>
                  </w:r>
                  <w:r>
                    <w:rPr>
                      <w:rFonts w:hint="default"/>
                      <w:color w:val="auto"/>
                      <w:highlight w:val="none"/>
                    </w:rPr>
                    <w:t>“三区三线”划定范围。</w:t>
                  </w:r>
                </w:p>
              </w:tc>
              <w:tc>
                <w:tcPr>
                  <w:tcW w:w="758" w:type="dxa"/>
                  <w:tcBorders>
                    <w:tl2br w:val="nil"/>
                    <w:tr2bl w:val="nil"/>
                  </w:tcBorders>
                  <w:vAlign w:val="center"/>
                </w:tcPr>
                <w:p>
                  <w:pPr>
                    <w:pStyle w:val="34"/>
                    <w:bidi w:val="0"/>
                    <w:rPr>
                      <w:rFonts w:hint="eastAsia" w:eastAsia="宋体"/>
                      <w:color w:val="auto"/>
                      <w:highlight w:val="none"/>
                      <w:lang w:val="en-US" w:eastAsia="zh-CN"/>
                    </w:rPr>
                  </w:pPr>
                  <w:r>
                    <w:rPr>
                      <w:rFonts w:hint="eastAsia" w:eastAsia="宋体"/>
                      <w:color w:val="auto"/>
                      <w:highlight w:val="none"/>
                      <w:lang w:val="en-US" w:eastAsia="zh-CN"/>
                    </w:rPr>
                    <w:t>符合</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color w:val="auto"/>
                <w:highlight w:val="none"/>
                <w:lang w:val="en-US" w:eastAsia="zh-CN"/>
              </w:rPr>
            </w:pPr>
            <w:r>
              <w:rPr>
                <w:rFonts w:hint="eastAsia"/>
                <w:color w:val="auto"/>
                <w:highlight w:val="none"/>
                <w:lang w:val="en-US" w:eastAsia="zh-CN"/>
              </w:rPr>
              <w:t>综上分析，本项目建设符合《云南省国土空间规划》（2021-2035年）中“</w:t>
            </w:r>
            <w:r>
              <w:rPr>
                <w:rFonts w:hint="default"/>
                <w:color w:val="auto"/>
                <w:highlight w:val="none"/>
              </w:rPr>
              <w:t>主体功能</w:t>
            </w:r>
            <w:r>
              <w:rPr>
                <w:rFonts w:hint="eastAsia"/>
                <w:color w:val="auto"/>
                <w:highlight w:val="none"/>
                <w:lang w:val="en-US" w:eastAsia="zh-CN"/>
              </w:rPr>
              <w:t>格局”的相关内容；符合《易门县国土空间总体规划（2021-2035年）》的相关内容（项目与“国家级和省级主体功能区”的位置关系详见附图）。</w:t>
            </w:r>
          </w:p>
          <w:p>
            <w:pPr>
              <w:pStyle w:val="40"/>
              <w:bidi w:val="0"/>
              <w:rPr>
                <w:rFonts w:hint="default"/>
                <w:color w:val="auto"/>
                <w:highlight w:val="none"/>
                <w:lang w:val="en-US" w:eastAsia="zh-CN"/>
              </w:rPr>
            </w:pPr>
            <w:r>
              <w:rPr>
                <w:rFonts w:hint="eastAsia"/>
                <w:color w:val="auto"/>
                <w:highlight w:val="none"/>
                <w:lang w:val="en-US" w:eastAsia="zh-CN"/>
              </w:rPr>
              <w:t>3、</w:t>
            </w:r>
            <w:r>
              <w:rPr>
                <w:rFonts w:hint="default"/>
                <w:color w:val="auto"/>
                <w:highlight w:val="none"/>
              </w:rPr>
              <w:t>项目与</w:t>
            </w:r>
            <w:r>
              <w:rPr>
                <w:rFonts w:hint="eastAsia"/>
                <w:color w:val="auto"/>
                <w:highlight w:val="none"/>
                <w:lang w:eastAsia="zh-CN"/>
              </w:rPr>
              <w:t>《</w:t>
            </w:r>
            <w:r>
              <w:rPr>
                <w:rFonts w:hint="default"/>
                <w:color w:val="auto"/>
                <w:highlight w:val="none"/>
              </w:rPr>
              <w:t>云南省生态功能区划</w:t>
            </w:r>
            <w:r>
              <w:rPr>
                <w:rFonts w:hint="eastAsia"/>
                <w:color w:val="auto"/>
                <w:highlight w:val="none"/>
                <w:lang w:eastAsia="zh-CN"/>
              </w:rPr>
              <w:t>》</w:t>
            </w:r>
            <w:r>
              <w:rPr>
                <w:rFonts w:hint="eastAsia"/>
                <w:color w:val="auto"/>
                <w:highlight w:val="none"/>
                <w:lang w:val="en-US" w:eastAsia="zh-CN"/>
              </w:rPr>
              <w:t>的符合性分析</w:t>
            </w:r>
          </w:p>
          <w:p>
            <w:pPr>
              <w:bidi w:val="0"/>
              <w:rPr>
                <w:rFonts w:hint="eastAsia"/>
                <w:color w:val="auto"/>
                <w:highlight w:val="none"/>
                <w:lang w:val="en-US" w:eastAsia="zh-CN"/>
              </w:rPr>
            </w:pPr>
            <w:r>
              <w:rPr>
                <w:rFonts w:hint="default" w:ascii="Times New Roman" w:hAnsi="Times New Roman" w:cs="Times New Roman"/>
                <w:color w:val="auto"/>
                <w:highlight w:val="none"/>
                <w:lang w:val="en-US" w:eastAsia="zh-CN"/>
              </w:rPr>
              <w:t>根据《云南省生态功能区划》，本项目所在区域属于“Ⅲ高原亚热带北部常绿阔叶林生态区”，生态亚区属“Ⅲ1滇中高原谷盆半湿润常绿阔叶林、暖性针叶林生态亚区”，生态功能区属“Ⅲ1-5</w:t>
            </w:r>
            <w:r>
              <w:rPr>
                <w:rFonts w:hint="eastAsia" w:ascii="Times New Roman" w:hAnsi="Times New Roman" w:cs="Times New Roman"/>
                <w:color w:val="auto"/>
                <w:highlight w:val="none"/>
                <w:lang w:val="en-US" w:eastAsia="zh-CN"/>
              </w:rPr>
              <w:t>绿汁江河谷</w:t>
            </w:r>
            <w:r>
              <w:rPr>
                <w:rFonts w:hint="default" w:ascii="Times New Roman" w:hAnsi="Times New Roman" w:cs="Times New Roman"/>
                <w:color w:val="auto"/>
                <w:highlight w:val="none"/>
                <w:lang w:val="en-US" w:eastAsia="zh-CN"/>
              </w:rPr>
              <w:t>水土保持生态功能区”。区内主要生态特征：大部地区为中山河谷地貌。降雨量800-1000毫米,现存植被以云南松林为主，土壤以紫色土为主；主要生态环境问题：</w:t>
            </w:r>
            <w:r>
              <w:rPr>
                <w:rFonts w:hint="eastAsia" w:ascii="Times New Roman" w:hAnsi="Times New Roman" w:cs="Times New Roman"/>
                <w:color w:val="auto"/>
                <w:highlight w:val="none"/>
                <w:lang w:val="en-US" w:eastAsia="zh-CN"/>
              </w:rPr>
              <w:t>不合理的</w:t>
            </w:r>
            <w:r>
              <w:rPr>
                <w:rFonts w:hint="default" w:ascii="Times New Roman" w:hAnsi="Times New Roman" w:cs="Times New Roman"/>
                <w:color w:val="auto"/>
                <w:highlight w:val="none"/>
                <w:lang w:val="en-US" w:eastAsia="zh-CN"/>
              </w:rPr>
              <w:t>土地</w:t>
            </w:r>
            <w:r>
              <w:rPr>
                <w:rFonts w:hint="eastAsia" w:ascii="Times New Roman" w:hAnsi="Times New Roman" w:cs="Times New Roman"/>
                <w:color w:val="auto"/>
                <w:highlight w:val="none"/>
                <w:lang w:val="en-US" w:eastAsia="zh-CN"/>
              </w:rPr>
              <w:t>利用带来的水土流失严重</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kern w:val="0"/>
                <w:sz w:val="24"/>
                <w:szCs w:val="24"/>
                <w:highlight w:val="none"/>
                <w:lang w:val="en-US" w:eastAsia="zh-CN" w:bidi="ar"/>
              </w:rPr>
              <w:t>生态环境敏感性：</w:t>
            </w:r>
            <w:r>
              <w:rPr>
                <w:rFonts w:hint="eastAsia" w:ascii="Times New Roman" w:hAnsi="Times New Roman" w:cs="Times New Roman"/>
                <w:color w:val="auto"/>
                <w:kern w:val="0"/>
                <w:sz w:val="24"/>
                <w:szCs w:val="24"/>
                <w:highlight w:val="none"/>
                <w:lang w:val="en-US" w:eastAsia="zh-CN" w:bidi="ar"/>
              </w:rPr>
              <w:t>土壤侵蚀</w:t>
            </w:r>
            <w:r>
              <w:rPr>
                <w:rFonts w:hint="default" w:ascii="Times New Roman" w:hAnsi="Times New Roman" w:eastAsia="宋体" w:cs="Times New Roman"/>
                <w:color w:val="auto"/>
                <w:kern w:val="0"/>
                <w:sz w:val="24"/>
                <w:szCs w:val="24"/>
                <w:highlight w:val="none"/>
                <w:lang w:val="en-US" w:eastAsia="zh-CN" w:bidi="ar"/>
              </w:rPr>
              <w:t>高度敏感；工程治理与生物治理相结合，改造水土流失严重地区的生态环境，加大封山育林的强度，调整土地利用方式，发展多种经营。</w:t>
            </w:r>
          </w:p>
          <w:p>
            <w:pPr>
              <w:bidi w:val="0"/>
              <w:rPr>
                <w:rFonts w:hint="default" w:eastAsia="宋体"/>
                <w:color w:val="auto"/>
                <w:highlight w:val="none"/>
                <w:lang w:val="en-US" w:eastAsia="zh-CN"/>
              </w:rPr>
            </w:pPr>
            <w:r>
              <w:rPr>
                <w:rFonts w:hint="default" w:ascii="Times New Roman" w:hAnsi="Times New Roman" w:cs="Times New Roman"/>
                <w:color w:val="auto"/>
                <w:sz w:val="24"/>
                <w:szCs w:val="24"/>
                <w:highlight w:val="none"/>
              </w:rPr>
              <w:t>本项目</w:t>
            </w:r>
            <w:r>
              <w:rPr>
                <w:rFonts w:hint="eastAsia" w:cs="Times New Roman"/>
                <w:color w:val="auto"/>
                <w:sz w:val="24"/>
                <w:szCs w:val="24"/>
                <w:highlight w:val="none"/>
                <w:lang w:val="en-US" w:eastAsia="zh-CN"/>
              </w:rPr>
              <w:t>为制氧系统技术改造节能项目，项目</w:t>
            </w:r>
            <w:r>
              <w:rPr>
                <w:rFonts w:hint="default" w:ascii="Times New Roman" w:hAnsi="Times New Roman" w:cs="Times New Roman"/>
                <w:color w:val="auto"/>
                <w:sz w:val="24"/>
                <w:szCs w:val="24"/>
                <w:highlight w:val="none"/>
              </w:rPr>
              <w:t>位于</w:t>
            </w:r>
            <w:r>
              <w:rPr>
                <w:rFonts w:hint="eastAsia" w:cs="Times New Roman"/>
                <w:i w:val="0"/>
                <w:iCs w:val="0"/>
                <w:color w:val="auto"/>
                <w:sz w:val="24"/>
                <w:szCs w:val="24"/>
                <w:highlight w:val="none"/>
                <w:u w:val="none"/>
                <w:lang w:val="en-US" w:eastAsia="zh-CN"/>
              </w:rPr>
              <w:t>云南易门产业园区大椿树片区</w:t>
            </w:r>
            <w:r>
              <w:rPr>
                <w:rFonts w:hint="eastAsia"/>
                <w:color w:val="auto"/>
                <w:highlight w:val="none"/>
                <w:lang w:val="en-US" w:eastAsia="zh-CN"/>
              </w:rPr>
              <w:t>，用地类型为工业用地，不属于森林、草原、湿地、河流、湖泊、滩涂、荒地、荒漠等生态环境敏感区域，</w:t>
            </w:r>
            <w:r>
              <w:rPr>
                <w:rFonts w:hint="default" w:ascii="Times New Roman" w:hAnsi="Times New Roman" w:cs="Times New Roman"/>
                <w:color w:val="auto"/>
                <w:highlight w:val="none"/>
              </w:rPr>
              <w:t>项目</w:t>
            </w:r>
            <w:r>
              <w:rPr>
                <w:rFonts w:hint="eastAsia" w:cs="Times New Roman"/>
                <w:color w:val="auto"/>
                <w:highlight w:val="none"/>
                <w:lang w:val="en-US" w:eastAsia="zh-CN"/>
              </w:rPr>
              <w:t>在</w:t>
            </w:r>
            <w:r>
              <w:rPr>
                <w:rFonts w:hint="default" w:ascii="Times New Roman" w:hAnsi="Times New Roman" w:cs="Times New Roman"/>
                <w:color w:val="auto"/>
                <w:highlight w:val="none"/>
              </w:rPr>
              <w:t>严格落实本报告表提出的环境保护措施后，产生的污染物</w:t>
            </w:r>
            <w:r>
              <w:rPr>
                <w:rFonts w:hint="eastAsia" w:cs="Times New Roman"/>
                <w:color w:val="auto"/>
                <w:highlight w:val="none"/>
                <w:lang w:val="en-US" w:eastAsia="zh-CN"/>
              </w:rPr>
              <w:t>均可做到达标排放，</w:t>
            </w:r>
            <w:r>
              <w:rPr>
                <w:rFonts w:hint="default" w:ascii="Times New Roman" w:hAnsi="Times New Roman" w:cs="Times New Roman"/>
                <w:color w:val="auto"/>
                <w:highlight w:val="none"/>
              </w:rPr>
              <w:t>对周边环境影响较小</w:t>
            </w:r>
            <w:r>
              <w:rPr>
                <w:rFonts w:hint="eastAsia" w:cs="Times New Roman"/>
                <w:color w:val="auto"/>
                <w:highlight w:val="none"/>
                <w:lang w:eastAsia="zh-CN"/>
              </w:rPr>
              <w:t>，</w:t>
            </w:r>
            <w:r>
              <w:rPr>
                <w:rFonts w:hint="eastAsia" w:cs="Times New Roman"/>
                <w:color w:val="auto"/>
                <w:highlight w:val="none"/>
                <w:lang w:val="en-US" w:eastAsia="zh-CN"/>
              </w:rPr>
              <w:t>且项目建设不会造成</w:t>
            </w:r>
            <w:r>
              <w:rPr>
                <w:rFonts w:hint="default" w:ascii="Times New Roman" w:hAnsi="Times New Roman" w:cs="Times New Roman"/>
                <w:color w:val="auto"/>
                <w:highlight w:val="none"/>
                <w:lang w:val="en-US" w:eastAsia="zh-CN"/>
              </w:rPr>
              <w:t>土地</w:t>
            </w:r>
            <w:r>
              <w:rPr>
                <w:rFonts w:hint="eastAsia" w:ascii="Times New Roman" w:hAnsi="Times New Roman" w:cs="Times New Roman"/>
                <w:color w:val="auto"/>
                <w:highlight w:val="none"/>
                <w:lang w:val="en-US" w:eastAsia="zh-CN"/>
              </w:rPr>
              <w:t>利用带来的水土流失严重</w:t>
            </w:r>
            <w:r>
              <w:rPr>
                <w:rFonts w:hint="eastAsia" w:cs="Times New Roman"/>
                <w:color w:val="auto"/>
                <w:highlight w:val="none"/>
                <w:lang w:val="en-US" w:eastAsia="zh-CN"/>
              </w:rPr>
              <w:t>等问题</w:t>
            </w:r>
            <w:r>
              <w:rPr>
                <w:rFonts w:hint="eastAsia" w:cs="Times New Roman"/>
                <w:color w:val="auto"/>
                <w:highlight w:val="none"/>
                <w:lang w:eastAsia="zh-CN"/>
              </w:rPr>
              <w:t>。</w:t>
            </w:r>
            <w:r>
              <w:rPr>
                <w:rFonts w:hint="default" w:ascii="Times New Roman" w:hAnsi="Times New Roman" w:cs="Times New Roman"/>
                <w:color w:val="auto"/>
                <w:highlight w:val="none"/>
              </w:rPr>
              <w:t>因此，项目建设</w:t>
            </w:r>
            <w:r>
              <w:rPr>
                <w:rFonts w:hint="eastAsia" w:cs="Times New Roman"/>
                <w:color w:val="auto"/>
                <w:highlight w:val="none"/>
                <w:lang w:val="en-US" w:eastAsia="zh-CN"/>
              </w:rPr>
              <w:t>与《</w:t>
            </w:r>
            <w:r>
              <w:rPr>
                <w:rFonts w:hint="default" w:ascii="Times New Roman" w:hAnsi="Times New Roman" w:cs="Times New Roman"/>
                <w:color w:val="auto"/>
                <w:highlight w:val="none"/>
              </w:rPr>
              <w:t>云南省生态功能区划</w:t>
            </w:r>
            <w:r>
              <w:rPr>
                <w:rFonts w:hint="eastAsia" w:cs="Times New Roman"/>
                <w:color w:val="auto"/>
                <w:highlight w:val="none"/>
                <w:lang w:val="en-US" w:eastAsia="zh-CN"/>
              </w:rPr>
              <w:t>》</w:t>
            </w:r>
            <w:r>
              <w:rPr>
                <w:rFonts w:hint="default" w:ascii="Times New Roman" w:hAnsi="Times New Roman" w:cs="Times New Roman"/>
                <w:color w:val="auto"/>
                <w:highlight w:val="none"/>
              </w:rPr>
              <w:t>中确定的保护措施和发展方向</w:t>
            </w:r>
            <w:r>
              <w:rPr>
                <w:rFonts w:hint="eastAsia" w:cs="Times New Roman"/>
                <w:color w:val="auto"/>
                <w:highlight w:val="none"/>
                <w:lang w:val="en-US" w:eastAsia="zh-CN"/>
              </w:rPr>
              <w:t>不冲突</w:t>
            </w:r>
            <w:r>
              <w:rPr>
                <w:rFonts w:hint="default" w:ascii="Times New Roman" w:hAnsi="Times New Roman" w:cs="Times New Roman"/>
                <w:color w:val="auto"/>
                <w:highlight w:val="none"/>
              </w:rPr>
              <w:t>，总体上符合《云南省生态功能区划》的</w:t>
            </w:r>
            <w:r>
              <w:rPr>
                <w:rFonts w:hint="eastAsia" w:cs="Times New Roman"/>
                <w:color w:val="auto"/>
                <w:highlight w:val="none"/>
                <w:lang w:val="en-US" w:eastAsia="zh-CN"/>
              </w:rPr>
              <w:t>相关</w:t>
            </w:r>
            <w:r>
              <w:rPr>
                <w:rFonts w:hint="default" w:ascii="Times New Roman" w:hAnsi="Times New Roman" w:cs="Times New Roman"/>
                <w:color w:val="auto"/>
                <w:highlight w:val="none"/>
              </w:rPr>
              <w:t>要求</w:t>
            </w:r>
            <w:r>
              <w:rPr>
                <w:rFonts w:hint="eastAsia" w:cs="Times New Roman"/>
                <w:color w:val="auto"/>
                <w:highlight w:val="none"/>
                <w:lang w:eastAsia="zh-CN"/>
              </w:rPr>
              <w:t>（</w:t>
            </w:r>
            <w:r>
              <w:rPr>
                <w:rFonts w:hint="eastAsia" w:cs="Times New Roman"/>
                <w:color w:val="auto"/>
                <w:highlight w:val="none"/>
                <w:lang w:val="en-US" w:eastAsia="zh-CN"/>
              </w:rPr>
              <w:t>项目与“云南省生态功能区划”的位置关系详见附图</w:t>
            </w:r>
            <w:r>
              <w:rPr>
                <w:rFonts w:hint="eastAsia" w:cs="Times New Roman"/>
                <w:color w:val="auto"/>
                <w:highlight w:val="none"/>
                <w:lang w:eastAsia="zh-CN"/>
              </w:rPr>
              <w:t>）</w:t>
            </w:r>
            <w:r>
              <w:rPr>
                <w:rFonts w:hint="default" w:ascii="Times New Roman" w:hAnsi="Times New Roman" w:cs="Times New Roman"/>
                <w:color w:val="auto"/>
                <w:highlight w:val="none"/>
              </w:rPr>
              <w:t>。</w:t>
            </w:r>
          </w:p>
          <w:p>
            <w:pPr>
              <w:pStyle w:val="40"/>
              <w:bidi w:val="0"/>
              <w:rPr>
                <w:rFonts w:hint="default"/>
                <w:color w:val="auto"/>
                <w:highlight w:val="none"/>
                <w:lang w:val="en-US" w:eastAsia="zh-CN"/>
              </w:rPr>
            </w:pPr>
            <w:r>
              <w:rPr>
                <w:rFonts w:hint="eastAsia"/>
                <w:color w:val="auto"/>
                <w:highlight w:val="none"/>
                <w:lang w:val="en-US" w:eastAsia="zh-CN"/>
              </w:rPr>
              <w:t>4、与玉溪市“三线一单”的符合性分析</w:t>
            </w:r>
          </w:p>
          <w:p>
            <w:pPr>
              <w:bidi w:val="0"/>
              <w:ind w:left="0" w:leftChars="0" w:firstLine="0" w:firstLineChars="0"/>
              <w:rPr>
                <w:rFonts w:hint="eastAsia" w:ascii="黑体" w:hAnsi="黑体" w:eastAsia="黑体" w:cs="黑体"/>
                <w:b w:val="0"/>
                <w:bCs w:val="0"/>
                <w:color w:val="auto"/>
                <w:szCs w:val="24"/>
                <w:highlight w:val="none"/>
                <w:lang w:val="en-US" w:eastAsia="zh-CN"/>
              </w:rPr>
            </w:pPr>
            <w:r>
              <w:rPr>
                <w:rFonts w:hint="eastAsia" w:ascii="黑体" w:hAnsi="黑体" w:eastAsia="黑体" w:cs="黑体"/>
                <w:color w:val="auto"/>
                <w:highlight w:val="none"/>
                <w:lang w:val="en-US" w:eastAsia="zh-CN"/>
              </w:rPr>
              <w:t>（1）项目与</w:t>
            </w:r>
            <w:r>
              <w:rPr>
                <w:rFonts w:hint="eastAsia" w:ascii="黑体" w:hAnsi="黑体" w:eastAsia="黑体" w:cs="黑体"/>
                <w:color w:val="auto"/>
                <w:highlight w:val="none"/>
                <w:lang w:val="zh-CN" w:eastAsia="zh-CN"/>
              </w:rPr>
              <w:t>《玉溪市人民政府关于印发玉溪市“三线一单”生态环境分区管控实施意见的通知》（玉政发〔2021〕15号）</w:t>
            </w:r>
            <w:r>
              <w:rPr>
                <w:rFonts w:hint="eastAsia" w:ascii="黑体" w:hAnsi="黑体" w:eastAsia="黑体" w:cs="黑体"/>
                <w:color w:val="auto"/>
                <w:highlight w:val="none"/>
                <w:lang w:val="en-US" w:eastAsia="zh-CN"/>
              </w:rPr>
              <w:t>的符合性</w:t>
            </w:r>
          </w:p>
          <w:p>
            <w:pPr>
              <w:bidi w:val="0"/>
              <w:rPr>
                <w:color w:val="auto"/>
                <w:highlight w:val="none"/>
              </w:rPr>
            </w:pPr>
            <w:r>
              <w:rPr>
                <w:rFonts w:hint="default"/>
                <w:color w:val="auto"/>
                <w:highlight w:val="none"/>
                <w:lang w:val="en-US" w:eastAsia="zh-CN"/>
              </w:rPr>
              <w:t>为深入贯彻落实《中共中央、国务院关于全面加强生态环境保护坚决打好污染防治攻坚战的意见》</w:t>
            </w:r>
            <w:r>
              <w:rPr>
                <w:rFonts w:hint="eastAsia"/>
                <w:color w:val="auto"/>
                <w:highlight w:val="none"/>
                <w:lang w:val="en-US" w:eastAsia="zh-CN"/>
              </w:rPr>
              <w:t>（</w:t>
            </w:r>
            <w:r>
              <w:rPr>
                <w:rFonts w:hint="default"/>
                <w:color w:val="auto"/>
                <w:highlight w:val="none"/>
                <w:lang w:val="en-US" w:eastAsia="zh-CN"/>
              </w:rPr>
              <w:t>中发</w:t>
            </w:r>
            <w:r>
              <w:rPr>
                <w:rFonts w:hint="default" w:ascii="Times New Roman" w:hAnsi="Times New Roman" w:eastAsia="宋体" w:cs="Times New Roman"/>
                <w:color w:val="auto"/>
                <w:highlight w:val="none"/>
                <w:lang w:val="zh-CN" w:eastAsia="zh-CN"/>
              </w:rPr>
              <w:t>〔</w:t>
            </w:r>
            <w:r>
              <w:rPr>
                <w:rFonts w:hint="default" w:ascii="Times New Roman" w:hAnsi="Times New Roman" w:eastAsia="宋体" w:cs="Times New Roman"/>
                <w:color w:val="auto"/>
                <w:highlight w:val="none"/>
                <w:lang w:val="en-US" w:eastAsia="zh-CN"/>
              </w:rPr>
              <w:t>2018〕</w:t>
            </w:r>
            <w:r>
              <w:rPr>
                <w:rFonts w:hint="default"/>
                <w:color w:val="auto"/>
                <w:highlight w:val="none"/>
                <w:lang w:val="en-US" w:eastAsia="zh-CN"/>
              </w:rPr>
              <w:t>17号</w:t>
            </w:r>
            <w:r>
              <w:rPr>
                <w:rFonts w:hint="eastAsia"/>
                <w:color w:val="auto"/>
                <w:highlight w:val="none"/>
                <w:lang w:val="en-US" w:eastAsia="zh-CN"/>
              </w:rPr>
              <w:t>）</w:t>
            </w:r>
            <w:r>
              <w:rPr>
                <w:rFonts w:hint="default"/>
                <w:color w:val="auto"/>
                <w:highlight w:val="none"/>
                <w:lang w:val="en-US" w:eastAsia="zh-CN"/>
              </w:rPr>
              <w:t>、《云南省人民政府关于实施“三线一单”生态环境分区管控的意见》（云政发</w:t>
            </w:r>
            <w:r>
              <w:rPr>
                <w:rFonts w:hint="default" w:ascii="Times New Roman" w:hAnsi="Times New Roman" w:eastAsia="宋体" w:cs="Times New Roman"/>
                <w:color w:val="auto"/>
                <w:highlight w:val="none"/>
                <w:lang w:val="zh-CN" w:eastAsia="zh-CN"/>
              </w:rPr>
              <w:t>〔</w:t>
            </w:r>
            <w:r>
              <w:rPr>
                <w:rFonts w:hint="default"/>
                <w:color w:val="auto"/>
                <w:highlight w:val="none"/>
                <w:lang w:val="en-US" w:eastAsia="zh-CN"/>
              </w:rPr>
              <w:t>2020</w:t>
            </w:r>
            <w:r>
              <w:rPr>
                <w:rFonts w:hint="default" w:ascii="Times New Roman" w:hAnsi="Times New Roman" w:eastAsia="宋体" w:cs="Times New Roman"/>
                <w:color w:val="auto"/>
                <w:highlight w:val="none"/>
                <w:lang w:val="en-US" w:eastAsia="zh-CN"/>
              </w:rPr>
              <w:t>〕</w:t>
            </w:r>
            <w:r>
              <w:rPr>
                <w:rFonts w:hint="default"/>
                <w:color w:val="auto"/>
                <w:highlight w:val="none"/>
                <w:lang w:val="en-US" w:eastAsia="zh-CN"/>
              </w:rPr>
              <w:t>29号）文件精神</w:t>
            </w:r>
            <w:r>
              <w:rPr>
                <w:rFonts w:hint="default"/>
                <w:color w:val="auto"/>
                <w:highlight w:val="none"/>
                <w:lang w:val="zh-CN" w:eastAsia="zh-CN"/>
              </w:rPr>
              <w:t>玉溪市人民政府于2021年12月6日印发了《玉溪市人民政府关于印发玉溪市“三线一单”生态环境分区管控实施意见的通知》（玉政发〔2021〕15号）</w:t>
            </w:r>
            <w:r>
              <w:rPr>
                <w:rFonts w:hint="default"/>
                <w:color w:val="auto"/>
                <w:highlight w:val="none"/>
                <w:lang w:val="en-US" w:eastAsia="zh-CN"/>
              </w:rPr>
              <w:t>，全面实施生态保护红线、环境质量底线、资源利用上线和生态环境准入清单，实施生态环境分区管控，协同推进生态环境高水平保护和经济高质量发展，项目与</w:t>
            </w:r>
            <w:r>
              <w:rPr>
                <w:rFonts w:hint="default"/>
                <w:color w:val="auto"/>
                <w:highlight w:val="none"/>
                <w:lang w:val="zh-CN" w:eastAsia="zh-CN"/>
              </w:rPr>
              <w:t>玉政发〔2021〕15号</w:t>
            </w:r>
            <w:r>
              <w:rPr>
                <w:rFonts w:hint="default"/>
                <w:color w:val="auto"/>
                <w:highlight w:val="none"/>
                <w:lang w:val="en-US" w:eastAsia="zh-CN"/>
              </w:rPr>
              <w:t>的符合性判定见下表。</w:t>
            </w:r>
          </w:p>
          <w:p>
            <w:pPr>
              <w:pStyle w:val="35"/>
              <w:bidi w:val="0"/>
              <w:rPr>
                <w:rFonts w:hint="default"/>
                <w:color w:val="auto"/>
                <w:highlight w:val="none"/>
                <w:lang w:val="en-US" w:eastAsia="zh-CN"/>
              </w:rPr>
            </w:pPr>
            <w:r>
              <w:rPr>
                <w:rFonts w:hint="default"/>
                <w:color w:val="auto"/>
                <w:highlight w:val="none"/>
                <w:lang w:val="en-US" w:eastAsia="zh-CN"/>
              </w:rPr>
              <w:t>表1-</w:t>
            </w:r>
            <w:r>
              <w:rPr>
                <w:rFonts w:hint="eastAsia"/>
                <w:color w:val="auto"/>
                <w:highlight w:val="none"/>
                <w:lang w:val="en-US" w:eastAsia="zh-CN"/>
              </w:rPr>
              <w:t>6</w:t>
            </w:r>
            <w:r>
              <w:rPr>
                <w:rFonts w:hint="default"/>
                <w:color w:val="auto"/>
                <w:highlight w:val="none"/>
                <w:lang w:val="en-US" w:eastAsia="zh-CN"/>
              </w:rPr>
              <w:t xml:space="preserve"> </w:t>
            </w:r>
            <w:r>
              <w:rPr>
                <w:rFonts w:hint="eastAsia"/>
                <w:color w:val="auto"/>
                <w:highlight w:val="none"/>
                <w:lang w:val="en-US" w:eastAsia="zh-CN"/>
              </w:rPr>
              <w:t xml:space="preserve"> </w:t>
            </w:r>
            <w:r>
              <w:rPr>
                <w:rFonts w:hint="default"/>
                <w:color w:val="auto"/>
                <w:highlight w:val="none"/>
                <w:lang w:val="en-US" w:eastAsia="zh-CN"/>
              </w:rPr>
              <w:t>项目与“</w:t>
            </w:r>
            <w:r>
              <w:rPr>
                <w:rFonts w:hint="default"/>
                <w:color w:val="auto"/>
                <w:highlight w:val="none"/>
                <w:lang w:val="zh-CN" w:eastAsia="zh-CN"/>
              </w:rPr>
              <w:t>玉政发〔2021〕15号</w:t>
            </w:r>
            <w:r>
              <w:rPr>
                <w:rFonts w:hint="default"/>
                <w:color w:val="auto"/>
                <w:highlight w:val="none"/>
                <w:lang w:val="en-US" w:eastAsia="zh-CN"/>
              </w:rPr>
              <w:t>”的符合性分析</w:t>
            </w:r>
            <w:r>
              <w:rPr>
                <w:rFonts w:hint="eastAsia"/>
                <w:color w:val="auto"/>
                <w:highlight w:val="none"/>
                <w:lang w:val="en-US" w:eastAsia="zh-CN"/>
              </w:rPr>
              <w:t>一览表</w:t>
            </w:r>
          </w:p>
          <w:tbl>
            <w:tblPr>
              <w:tblStyle w:val="24"/>
              <w:tblW w:w="76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674"/>
              <w:gridCol w:w="3341"/>
              <w:gridCol w:w="2326"/>
              <w:gridCol w:w="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Borders>
                    <w:left w:val="nil"/>
                  </w:tcBorders>
                  <w:noWrap w:val="0"/>
                  <w:vAlign w:val="center"/>
                </w:tcPr>
                <w:p>
                  <w:pPr>
                    <w:pStyle w:val="34"/>
                    <w:bidi w:val="0"/>
                    <w:rPr>
                      <w:rFonts w:hint="default"/>
                      <w:color w:val="auto"/>
                      <w:highlight w:val="none"/>
                      <w:lang w:val="en-US" w:eastAsia="zh-CN"/>
                    </w:rPr>
                  </w:pPr>
                  <w:r>
                    <w:rPr>
                      <w:rFonts w:hint="default"/>
                      <w:color w:val="auto"/>
                      <w:highlight w:val="none"/>
                      <w:lang w:val="en-US" w:eastAsia="zh-CN"/>
                    </w:rPr>
                    <w:t>类别</w:t>
                  </w:r>
                </w:p>
              </w:tc>
              <w:tc>
                <w:tcPr>
                  <w:tcW w:w="2627" w:type="pct"/>
                  <w:gridSpan w:val="2"/>
                  <w:noWrap w:val="0"/>
                  <w:vAlign w:val="center"/>
                </w:tcPr>
                <w:p>
                  <w:pPr>
                    <w:pStyle w:val="34"/>
                    <w:bidi w:val="0"/>
                    <w:rPr>
                      <w:rFonts w:hint="default"/>
                      <w:color w:val="auto"/>
                      <w:highlight w:val="none"/>
                      <w:lang w:val="en-US" w:eastAsia="zh-CN"/>
                    </w:rPr>
                  </w:pPr>
                  <w:r>
                    <w:rPr>
                      <w:rFonts w:hint="default"/>
                      <w:color w:val="auto"/>
                      <w:highlight w:val="none"/>
                      <w:lang w:val="en-US" w:eastAsia="zh-CN"/>
                    </w:rPr>
                    <w:t>文件</w:t>
                  </w:r>
                </w:p>
              </w:tc>
              <w:tc>
                <w:tcPr>
                  <w:tcW w:w="1522" w:type="pct"/>
                  <w:noWrap w:val="0"/>
                  <w:vAlign w:val="center"/>
                </w:tcPr>
                <w:p>
                  <w:pPr>
                    <w:pStyle w:val="34"/>
                    <w:bidi w:val="0"/>
                    <w:rPr>
                      <w:rFonts w:hint="default"/>
                      <w:color w:val="auto"/>
                      <w:highlight w:val="none"/>
                      <w:lang w:val="en-US" w:eastAsia="zh-CN"/>
                    </w:rPr>
                  </w:pPr>
                  <w:r>
                    <w:rPr>
                      <w:rFonts w:hint="default"/>
                      <w:color w:val="auto"/>
                      <w:highlight w:val="none"/>
                      <w:lang w:val="en-US" w:eastAsia="zh-CN"/>
                    </w:rPr>
                    <w:t>项目情况</w:t>
                  </w:r>
                </w:p>
              </w:tc>
              <w:tc>
                <w:tcPr>
                  <w:tcW w:w="416" w:type="pct"/>
                  <w:tcBorders>
                    <w:right w:val="nil"/>
                  </w:tcBorders>
                  <w:noWrap w:val="0"/>
                  <w:vAlign w:val="center"/>
                </w:tcPr>
                <w:p>
                  <w:pPr>
                    <w:pStyle w:val="34"/>
                    <w:bidi w:val="0"/>
                    <w:rPr>
                      <w:rFonts w:hint="default"/>
                      <w:color w:val="auto"/>
                      <w:highlight w:val="none"/>
                      <w:lang w:val="en-US" w:eastAsia="zh-CN"/>
                    </w:rPr>
                  </w:pPr>
                  <w:r>
                    <w:rPr>
                      <w:rFonts w:hint="default"/>
                      <w:color w:val="auto"/>
                      <w:highlight w:val="no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Borders>
                    <w:left w:val="nil"/>
                  </w:tcBorders>
                  <w:noWrap w:val="0"/>
                  <w:vAlign w:val="center"/>
                </w:tcPr>
                <w:p>
                  <w:pPr>
                    <w:pStyle w:val="34"/>
                    <w:bidi w:val="0"/>
                    <w:rPr>
                      <w:rFonts w:hint="default"/>
                      <w:color w:val="auto"/>
                      <w:highlight w:val="none"/>
                      <w:lang w:val="en-US" w:eastAsia="zh-CN"/>
                    </w:rPr>
                  </w:pPr>
                  <w:r>
                    <w:rPr>
                      <w:rFonts w:hint="default"/>
                      <w:color w:val="auto"/>
                      <w:highlight w:val="none"/>
                      <w:lang w:val="en-US" w:eastAsia="zh-CN"/>
                    </w:rPr>
                    <w:t>生态保护红线和一般生态空间</w:t>
                  </w:r>
                </w:p>
              </w:tc>
              <w:tc>
                <w:tcPr>
                  <w:tcW w:w="2627" w:type="pct"/>
                  <w:gridSpan w:val="2"/>
                  <w:noWrap w:val="0"/>
                  <w:vAlign w:val="center"/>
                </w:tcPr>
                <w:p>
                  <w:pPr>
                    <w:pStyle w:val="34"/>
                    <w:bidi w:val="0"/>
                    <w:rPr>
                      <w:rFonts w:hint="default"/>
                      <w:color w:val="auto"/>
                      <w:highlight w:val="none"/>
                      <w:lang w:val="en-US" w:eastAsia="zh-CN"/>
                    </w:rPr>
                  </w:pPr>
                  <w:r>
                    <w:rPr>
                      <w:rFonts w:hint="default"/>
                      <w:color w:val="auto"/>
                      <w:highlight w:val="none"/>
                      <w:lang w:val="en-US" w:eastAsia="zh-CN"/>
                    </w:rPr>
                    <w:t>执行《云南省人民政府关于发布云南省生态保护红线的通知》（云政发〔2018〕32号），生态保护红线评估调整成果获批后按照批准效果执行，将未划入生态保护红线的自然保护地、饮用水源保护区、重要湿地、基本草原、生态公益林、天然林等生态功能重要、生态环境敏感区域划为一般生态空间。</w:t>
                  </w:r>
                </w:p>
              </w:tc>
              <w:tc>
                <w:tcPr>
                  <w:tcW w:w="1522" w:type="pct"/>
                  <w:noWrap w:val="0"/>
                  <w:vAlign w:val="center"/>
                </w:tcPr>
                <w:p>
                  <w:pPr>
                    <w:pStyle w:val="34"/>
                    <w:bidi w:val="0"/>
                    <w:rPr>
                      <w:rFonts w:hint="eastAsia"/>
                      <w:color w:val="auto"/>
                      <w:highlight w:val="none"/>
                      <w:lang w:val="en-US" w:eastAsia="zh-CN"/>
                    </w:rPr>
                  </w:pPr>
                  <w:r>
                    <w:rPr>
                      <w:rFonts w:hint="eastAsia"/>
                      <w:color w:val="auto"/>
                      <w:highlight w:val="none"/>
                      <w:lang w:val="en-US" w:eastAsia="zh-CN"/>
                    </w:rPr>
                    <w:t>项目</w:t>
                  </w:r>
                  <w:r>
                    <w:rPr>
                      <w:rFonts w:hint="eastAsia"/>
                      <w:color w:val="auto"/>
                      <w:highlight w:val="none"/>
                    </w:rPr>
                    <w:t>位于</w:t>
                  </w:r>
                  <w:r>
                    <w:rPr>
                      <w:rFonts w:hint="eastAsia"/>
                      <w:color w:val="auto"/>
                      <w:highlight w:val="none"/>
                      <w:lang w:val="en-US" w:eastAsia="zh-CN"/>
                    </w:rPr>
                    <w:t>云南易门产业园区大椿树片区，根据易门县自然资源局出具的“三区三线”查询意见，项目用地不在生态保护红线范围内</w:t>
                  </w:r>
                </w:p>
              </w:tc>
              <w:tc>
                <w:tcPr>
                  <w:tcW w:w="416" w:type="pct"/>
                  <w:tcBorders>
                    <w:right w:val="nil"/>
                  </w:tcBorders>
                  <w:noWrap w:val="0"/>
                  <w:vAlign w:val="center"/>
                </w:tcPr>
                <w:p>
                  <w:pPr>
                    <w:pStyle w:val="34"/>
                    <w:bidi w:val="0"/>
                    <w:rPr>
                      <w:rFonts w:hint="default"/>
                      <w:color w:val="auto"/>
                      <w:highlight w:val="none"/>
                      <w:lang w:val="en-US" w:eastAsia="zh-CN"/>
                    </w:rPr>
                  </w:pPr>
                  <w:r>
                    <w:rPr>
                      <w:rFonts w:hint="default"/>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Merge w:val="restart"/>
                  <w:tcBorders>
                    <w:left w:val="nil"/>
                  </w:tcBorders>
                  <w:noWrap w:val="0"/>
                  <w:vAlign w:val="center"/>
                </w:tcPr>
                <w:p>
                  <w:pPr>
                    <w:pStyle w:val="34"/>
                    <w:bidi w:val="0"/>
                    <w:rPr>
                      <w:rFonts w:hint="default"/>
                      <w:color w:val="auto"/>
                      <w:highlight w:val="none"/>
                      <w:lang w:val="en-US" w:eastAsia="zh-CN"/>
                    </w:rPr>
                  </w:pPr>
                  <w:r>
                    <w:rPr>
                      <w:rFonts w:hint="default"/>
                      <w:color w:val="auto"/>
                      <w:highlight w:val="none"/>
                      <w:lang w:val="en-US" w:eastAsia="zh-CN"/>
                    </w:rPr>
                    <w:t>环境质量底线</w:t>
                  </w:r>
                </w:p>
              </w:tc>
              <w:tc>
                <w:tcPr>
                  <w:tcW w:w="441" w:type="pct"/>
                  <w:noWrap w:val="0"/>
                  <w:vAlign w:val="center"/>
                </w:tcPr>
                <w:p>
                  <w:pPr>
                    <w:pStyle w:val="34"/>
                    <w:bidi w:val="0"/>
                    <w:rPr>
                      <w:rFonts w:hint="default"/>
                      <w:color w:val="auto"/>
                      <w:highlight w:val="none"/>
                      <w:lang w:val="en-US" w:eastAsia="zh-CN"/>
                    </w:rPr>
                  </w:pPr>
                  <w:r>
                    <w:rPr>
                      <w:rFonts w:hint="default"/>
                      <w:color w:val="auto"/>
                      <w:highlight w:val="none"/>
                      <w:lang w:val="en-US" w:eastAsia="zh-CN"/>
                    </w:rPr>
                    <w:t>水环境质量底线</w:t>
                  </w:r>
                </w:p>
              </w:tc>
              <w:tc>
                <w:tcPr>
                  <w:tcW w:w="2186" w:type="pct"/>
                  <w:noWrap w:val="0"/>
                  <w:vAlign w:val="center"/>
                </w:tcPr>
                <w:p>
                  <w:pPr>
                    <w:pStyle w:val="34"/>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到2025年，全市水环境质量持续改善，纳入国家和省级考核的地表水监测断面水质优良率稳步提升。抚仙湖水质稳定保持Ⅰ类水质标准，星云湖、杞麓湖水质指标均达到V类水质标准。中心城区及县城集中式饮用水水源地水质达标率为100%。到2035年，全市水环境质量总体改善，水生生态系统功能恢复。地表水水体水质优良率全面提升，彻底消除劣V类水体。抚仙湖水质稳定保持Ⅰ类水质标准，星云湖和杞麓湖水质持续稳定向好。</w:t>
                  </w:r>
                </w:p>
              </w:tc>
              <w:tc>
                <w:tcPr>
                  <w:tcW w:w="1522" w:type="pct"/>
                  <w:noWrap w:val="0"/>
                  <w:vAlign w:val="center"/>
                </w:tcPr>
                <w:p>
                  <w:pPr>
                    <w:pStyle w:val="34"/>
                    <w:bidi w:val="0"/>
                    <w:jc w:val="both"/>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项目周边距离最近的地表水体为项目区东南侧2960m处的双龙河，双龙河自北向东南汇入扒河，最终汇入绿汁江</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现状水质为Ⅲ类。由于目前未对双龙河进行水环境功能区划分，根据支流保护类别不得低于干流的原则，双龙河水质参照执行《地表水环境质量标准》（GB3838-2002）Ⅲ类标准。根据《2024年玉溪</w:t>
                  </w:r>
                  <w:r>
                    <w:rPr>
                      <w:rFonts w:hint="default" w:ascii="Times New Roman" w:hAnsi="Times New Roman" w:eastAsia="宋体" w:cs="Times New Roman"/>
                      <w:color w:val="auto"/>
                      <w:highlight w:val="none"/>
                      <w:lang w:val="en-US" w:eastAsia="zh-CN"/>
                    </w:rPr>
                    <w:t>市生态环境状况公报》，大谷厂水管所监测断面（地表径流汇入口上游）水质类别为Ⅰ类</w:t>
                  </w:r>
                  <w:r>
                    <w:rPr>
                      <w:rFonts w:hint="eastAsia" w:ascii="Times New Roman" w:hAnsi="Times New Roman" w:eastAsia="宋体" w:cs="Times New Roman"/>
                      <w:color w:val="auto"/>
                      <w:highlight w:val="none"/>
                      <w:lang w:val="en-US" w:eastAsia="zh-CN"/>
                    </w:rPr>
                    <w:t>，绿汁江江边（炉房）</w:t>
                  </w:r>
                  <w:r>
                    <w:rPr>
                      <w:rFonts w:hint="default" w:ascii="Times New Roman" w:hAnsi="Times New Roman" w:eastAsia="宋体" w:cs="Times New Roman"/>
                      <w:color w:val="auto"/>
                      <w:highlight w:val="none"/>
                      <w:lang w:val="en-US" w:eastAsia="zh-CN"/>
                    </w:rPr>
                    <w:t>监测断面（地表径流汇入口</w:t>
                  </w:r>
                  <w:r>
                    <w:rPr>
                      <w:rFonts w:hint="eastAsia" w:eastAsia="宋体" w:cs="Times New Roman"/>
                      <w:color w:val="auto"/>
                      <w:highlight w:val="none"/>
                      <w:lang w:val="en-US" w:eastAsia="zh-CN"/>
                    </w:rPr>
                    <w:t>下</w:t>
                  </w:r>
                  <w:r>
                    <w:rPr>
                      <w:rFonts w:hint="default" w:ascii="Times New Roman" w:hAnsi="Times New Roman" w:eastAsia="宋体" w:cs="Times New Roman"/>
                      <w:color w:val="auto"/>
                      <w:highlight w:val="none"/>
                      <w:lang w:val="en-US" w:eastAsia="zh-CN"/>
                    </w:rPr>
                    <w:t>游）水质类别为</w:t>
                  </w:r>
                  <w:r>
                    <w:rPr>
                      <w:rFonts w:hint="default" w:ascii="Times New Roman" w:hAnsi="Times New Roman" w:eastAsia="微软雅黑" w:cs="Times New Roman"/>
                      <w:color w:val="auto"/>
                      <w:highlight w:val="none"/>
                      <w:lang w:val="en-US" w:eastAsia="zh-CN"/>
                    </w:rPr>
                    <w:t>Ⅱ</w:t>
                  </w:r>
                  <w:r>
                    <w:rPr>
                      <w:rFonts w:hint="default" w:ascii="Times New Roman" w:hAnsi="Times New Roman" w:eastAsia="宋体" w:cs="Times New Roman"/>
                      <w:color w:val="auto"/>
                      <w:highlight w:val="none"/>
                      <w:lang w:val="en-US" w:eastAsia="zh-CN"/>
                    </w:rPr>
                    <w:t>类，</w:t>
                  </w:r>
                  <w:r>
                    <w:rPr>
                      <w:rFonts w:hint="eastAsia" w:ascii="Times New Roman" w:hAnsi="Times New Roman" w:eastAsia="宋体" w:cs="Times New Roman"/>
                      <w:color w:val="auto"/>
                      <w:highlight w:val="none"/>
                      <w:lang w:val="en-US" w:eastAsia="zh-CN"/>
                    </w:rPr>
                    <w:t>因此，双龙河</w:t>
                  </w:r>
                  <w:r>
                    <w:rPr>
                      <w:rFonts w:hint="default" w:ascii="Times New Roman" w:hAnsi="Times New Roman" w:cs="Times New Roman"/>
                      <w:color w:val="auto"/>
                      <w:highlight w:val="none"/>
                      <w:lang w:val="en-US" w:eastAsia="zh-CN"/>
                    </w:rPr>
                    <w:t>水质能</w:t>
                  </w:r>
                  <w:r>
                    <w:rPr>
                      <w:rFonts w:hint="eastAsia" w:ascii="Times New Roman" w:hAnsi="Times New Roman" w:cs="Times New Roman"/>
                      <w:color w:val="auto"/>
                      <w:highlight w:val="none"/>
                      <w:lang w:val="en-US" w:eastAsia="zh-CN"/>
                    </w:rPr>
                    <w:t>够</w:t>
                  </w:r>
                  <w:r>
                    <w:rPr>
                      <w:rFonts w:hint="default" w:ascii="Times New Roman" w:hAnsi="Times New Roman" w:cs="Times New Roman"/>
                      <w:color w:val="auto"/>
                      <w:highlight w:val="none"/>
                      <w:lang w:val="en-US" w:eastAsia="zh-CN"/>
                    </w:rPr>
                    <w:t>达到《地表水环境质量标准》（GB3838-2002）Ⅲ类</w:t>
                  </w:r>
                  <w:r>
                    <w:rPr>
                      <w:rFonts w:hint="eastAsia" w:ascii="Times New Roman" w:hAnsi="Times New Roman" w:cs="Times New Roman"/>
                      <w:color w:val="auto"/>
                      <w:highlight w:val="none"/>
                      <w:lang w:val="en-US" w:eastAsia="zh-CN"/>
                    </w:rPr>
                    <w:t>水质</w:t>
                  </w:r>
                  <w:r>
                    <w:rPr>
                      <w:rFonts w:hint="default" w:ascii="Times New Roman" w:hAnsi="Times New Roman" w:cs="Times New Roman"/>
                      <w:color w:val="auto"/>
                      <w:highlight w:val="none"/>
                      <w:lang w:val="en-US" w:eastAsia="zh-CN"/>
                    </w:rPr>
                    <w:t>标准要求，且项目</w:t>
                  </w:r>
                  <w:r>
                    <w:rPr>
                      <w:rFonts w:hint="eastAsia" w:ascii="Times New Roman" w:hAnsi="Times New Roman" w:cs="Times New Roman"/>
                      <w:color w:val="auto"/>
                      <w:highlight w:val="none"/>
                      <w:lang w:val="en-US" w:eastAsia="zh-CN"/>
                    </w:rPr>
                    <w:t>运营期</w:t>
                  </w:r>
                  <w:r>
                    <w:rPr>
                      <w:rFonts w:hint="default" w:ascii="Times New Roman" w:hAnsi="Times New Roman" w:cs="Times New Roman"/>
                      <w:color w:val="auto"/>
                      <w:highlight w:val="none"/>
                      <w:lang w:val="en-US" w:eastAsia="zh-CN"/>
                    </w:rPr>
                    <w:t>产生的废水经处理后全部回用，不外排，不会改变区域地表水环境功能</w:t>
                  </w:r>
                  <w:r>
                    <w:rPr>
                      <w:rFonts w:hint="eastAsia" w:ascii="Times New Roman" w:hAnsi="Times New Roman" w:cs="Times New Roman"/>
                      <w:color w:val="auto"/>
                      <w:highlight w:val="none"/>
                      <w:lang w:val="en-US" w:eastAsia="zh-CN"/>
                    </w:rPr>
                    <w:t>。</w:t>
                  </w:r>
                </w:p>
              </w:tc>
              <w:tc>
                <w:tcPr>
                  <w:tcW w:w="416" w:type="pct"/>
                  <w:tcBorders>
                    <w:right w:val="nil"/>
                  </w:tcBorders>
                  <w:noWrap w:val="0"/>
                  <w:vAlign w:val="center"/>
                </w:tcPr>
                <w:p>
                  <w:pPr>
                    <w:pStyle w:val="34"/>
                    <w:bidi w:val="0"/>
                    <w:rPr>
                      <w:rFonts w:hint="default"/>
                      <w:color w:val="auto"/>
                      <w:highlight w:val="none"/>
                      <w:lang w:val="en-US" w:eastAsia="zh-CN"/>
                    </w:rPr>
                  </w:pPr>
                  <w:r>
                    <w:rPr>
                      <w:rFonts w:hint="default"/>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Merge w:val="continue"/>
                  <w:tcBorders>
                    <w:left w:val="nil"/>
                  </w:tcBorders>
                  <w:noWrap w:val="0"/>
                  <w:vAlign w:val="center"/>
                </w:tcPr>
                <w:p>
                  <w:pPr>
                    <w:pStyle w:val="34"/>
                    <w:bidi w:val="0"/>
                    <w:rPr>
                      <w:rFonts w:hint="default"/>
                      <w:color w:val="auto"/>
                      <w:highlight w:val="none"/>
                      <w:lang w:eastAsia="zh-CN"/>
                    </w:rPr>
                  </w:pPr>
                </w:p>
              </w:tc>
              <w:tc>
                <w:tcPr>
                  <w:tcW w:w="441" w:type="pct"/>
                  <w:noWrap w:val="0"/>
                  <w:vAlign w:val="center"/>
                </w:tcPr>
                <w:p>
                  <w:pPr>
                    <w:pStyle w:val="34"/>
                    <w:bidi w:val="0"/>
                    <w:rPr>
                      <w:rFonts w:hint="default"/>
                      <w:color w:val="auto"/>
                      <w:highlight w:val="none"/>
                      <w:lang w:val="en-US" w:eastAsia="zh-CN"/>
                    </w:rPr>
                  </w:pPr>
                  <w:r>
                    <w:rPr>
                      <w:rFonts w:hint="default"/>
                      <w:color w:val="auto"/>
                      <w:highlight w:val="none"/>
                      <w:lang w:val="en-US" w:eastAsia="zh-CN"/>
                    </w:rPr>
                    <w:t>大气环境质量底线</w:t>
                  </w:r>
                </w:p>
              </w:tc>
              <w:tc>
                <w:tcPr>
                  <w:tcW w:w="2186" w:type="pct"/>
                  <w:noWrap w:val="0"/>
                  <w:vAlign w:val="center"/>
                </w:tcPr>
                <w:p>
                  <w:pPr>
                    <w:pStyle w:val="34"/>
                    <w:bidi w:val="0"/>
                    <w:rPr>
                      <w:rFonts w:hint="default"/>
                      <w:color w:val="auto"/>
                      <w:highlight w:val="none"/>
                      <w:lang w:eastAsia="zh-CN"/>
                    </w:rPr>
                  </w:pPr>
                  <w:r>
                    <w:rPr>
                      <w:rFonts w:hint="default"/>
                      <w:color w:val="auto"/>
                      <w:highlight w:val="none"/>
                      <w:lang w:eastAsia="zh-CN"/>
                    </w:rPr>
                    <w:t>到2025年，全市环境空气质量稳中向好，中心城区城市空气质量优良天数比率保持稳定，主要污染物排放量达到国家和省级污染物总量控制要求，单位GDP二氧化碳排放控制在省下达指标内。到2035年，全市环境空气质量持续保持优良，实现稳中向好，主要污染物排放总量和二氧化碳排放量持续减少。</w:t>
                  </w:r>
                </w:p>
              </w:tc>
              <w:tc>
                <w:tcPr>
                  <w:tcW w:w="1522" w:type="pct"/>
                  <w:noWrap w:val="0"/>
                  <w:vAlign w:val="center"/>
                </w:tcPr>
                <w:p>
                  <w:pPr>
                    <w:pStyle w:val="34"/>
                    <w:bidi w:val="0"/>
                    <w:rPr>
                      <w:rFonts w:hint="default"/>
                      <w:color w:val="auto"/>
                      <w:highlight w:val="none"/>
                      <w:lang w:val="en-US" w:eastAsia="zh-CN"/>
                    </w:rPr>
                  </w:pPr>
                  <w:r>
                    <w:rPr>
                      <w:rFonts w:hint="default"/>
                      <w:color w:val="auto"/>
                      <w:highlight w:val="none"/>
                      <w:lang w:val="en-US" w:eastAsia="zh-CN"/>
                    </w:rPr>
                    <w:t>项目</w:t>
                  </w:r>
                  <w:r>
                    <w:rPr>
                      <w:rFonts w:hint="eastAsia"/>
                      <w:color w:val="auto"/>
                      <w:highlight w:val="none"/>
                      <w:lang w:val="en-US" w:eastAsia="zh-CN"/>
                    </w:rPr>
                    <w:t>所在</w:t>
                  </w:r>
                  <w:r>
                    <w:rPr>
                      <w:rFonts w:hint="default"/>
                      <w:color w:val="auto"/>
                      <w:highlight w:val="none"/>
                      <w:lang w:val="en-US" w:eastAsia="zh-CN"/>
                    </w:rPr>
                    <w:t>区域为环境空气</w:t>
                  </w:r>
                  <w:r>
                    <w:rPr>
                      <w:rFonts w:hint="eastAsia"/>
                      <w:color w:val="auto"/>
                      <w:highlight w:val="none"/>
                      <w:lang w:val="en-US" w:eastAsia="zh-CN"/>
                    </w:rPr>
                    <w:t>质量</w:t>
                  </w:r>
                  <w:r>
                    <w:rPr>
                      <w:rFonts w:hint="default"/>
                      <w:color w:val="auto"/>
                      <w:highlight w:val="none"/>
                      <w:lang w:val="en-US" w:eastAsia="zh-CN"/>
                    </w:rPr>
                    <w:t>达标区，项目</w:t>
                  </w:r>
                  <w:r>
                    <w:rPr>
                      <w:rFonts w:hint="eastAsia"/>
                      <w:color w:val="auto"/>
                      <w:highlight w:val="none"/>
                      <w:lang w:val="en-US" w:eastAsia="zh-CN"/>
                    </w:rPr>
                    <w:t>运营过程中无废气污染物产生，对</w:t>
                  </w:r>
                  <w:r>
                    <w:rPr>
                      <w:rFonts w:hint="default"/>
                      <w:color w:val="auto"/>
                      <w:highlight w:val="none"/>
                      <w:lang w:val="en-US" w:eastAsia="zh-CN"/>
                    </w:rPr>
                    <w:t>周围环境空气</w:t>
                  </w:r>
                  <w:r>
                    <w:rPr>
                      <w:rFonts w:hint="eastAsia"/>
                      <w:color w:val="auto"/>
                      <w:highlight w:val="none"/>
                      <w:lang w:val="en-US" w:eastAsia="zh-CN"/>
                    </w:rPr>
                    <w:t>基本无影响</w:t>
                  </w:r>
                  <w:r>
                    <w:rPr>
                      <w:rFonts w:hint="default"/>
                      <w:color w:val="auto"/>
                      <w:highlight w:val="none"/>
                      <w:lang w:val="en-US" w:eastAsia="zh-CN"/>
                    </w:rPr>
                    <w:t>，不会突破当地</w:t>
                  </w:r>
                  <w:r>
                    <w:rPr>
                      <w:rFonts w:hint="eastAsia"/>
                      <w:color w:val="auto"/>
                      <w:highlight w:val="none"/>
                      <w:lang w:val="en-US" w:eastAsia="zh-CN"/>
                    </w:rPr>
                    <w:t>大气</w:t>
                  </w:r>
                  <w:r>
                    <w:rPr>
                      <w:rFonts w:hint="default"/>
                      <w:color w:val="auto"/>
                      <w:highlight w:val="none"/>
                      <w:lang w:val="en-US" w:eastAsia="zh-CN"/>
                    </w:rPr>
                    <w:t>环境质量底线</w:t>
                  </w:r>
                  <w:r>
                    <w:rPr>
                      <w:rFonts w:hint="eastAsia"/>
                      <w:color w:val="auto"/>
                      <w:highlight w:val="none"/>
                      <w:lang w:val="en-US" w:eastAsia="zh-CN"/>
                    </w:rPr>
                    <w:t>。</w:t>
                  </w:r>
                </w:p>
              </w:tc>
              <w:tc>
                <w:tcPr>
                  <w:tcW w:w="416" w:type="pct"/>
                  <w:tcBorders>
                    <w:right w:val="nil"/>
                  </w:tcBorders>
                  <w:noWrap w:val="0"/>
                  <w:vAlign w:val="center"/>
                </w:tcPr>
                <w:p>
                  <w:pPr>
                    <w:pStyle w:val="34"/>
                    <w:bidi w:val="0"/>
                    <w:rPr>
                      <w:rFonts w:hint="default"/>
                      <w:color w:val="auto"/>
                      <w:highlight w:val="none"/>
                      <w:lang w:val="en-US" w:eastAsia="zh-CN"/>
                    </w:rPr>
                  </w:pPr>
                  <w:r>
                    <w:rPr>
                      <w:rFonts w:hint="default"/>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Merge w:val="continue"/>
                  <w:tcBorders>
                    <w:left w:val="nil"/>
                  </w:tcBorders>
                  <w:noWrap w:val="0"/>
                  <w:vAlign w:val="center"/>
                </w:tcPr>
                <w:p>
                  <w:pPr>
                    <w:pStyle w:val="34"/>
                    <w:bidi w:val="0"/>
                    <w:rPr>
                      <w:rFonts w:hint="default"/>
                      <w:color w:val="auto"/>
                      <w:highlight w:val="none"/>
                      <w:lang w:eastAsia="zh-CN"/>
                    </w:rPr>
                  </w:pPr>
                </w:p>
              </w:tc>
              <w:tc>
                <w:tcPr>
                  <w:tcW w:w="441" w:type="pct"/>
                  <w:noWrap w:val="0"/>
                  <w:vAlign w:val="center"/>
                </w:tcPr>
                <w:p>
                  <w:pPr>
                    <w:pStyle w:val="34"/>
                    <w:bidi w:val="0"/>
                    <w:rPr>
                      <w:rFonts w:hint="default"/>
                      <w:color w:val="auto"/>
                      <w:highlight w:val="none"/>
                      <w:lang w:val="en-US" w:eastAsia="zh-CN"/>
                    </w:rPr>
                  </w:pPr>
                  <w:r>
                    <w:rPr>
                      <w:rFonts w:hint="default"/>
                      <w:color w:val="auto"/>
                      <w:highlight w:val="none"/>
                      <w:lang w:val="en-US" w:eastAsia="zh-CN"/>
                    </w:rPr>
                    <w:t>土壤环境风险防控底线</w:t>
                  </w:r>
                </w:p>
              </w:tc>
              <w:tc>
                <w:tcPr>
                  <w:tcW w:w="2186" w:type="pct"/>
                  <w:noWrap w:val="0"/>
                  <w:vAlign w:val="center"/>
                </w:tcPr>
                <w:p>
                  <w:pPr>
                    <w:pStyle w:val="34"/>
                    <w:bidi w:val="0"/>
                    <w:rPr>
                      <w:rFonts w:hint="default"/>
                      <w:color w:val="auto"/>
                      <w:highlight w:val="none"/>
                      <w:lang w:eastAsia="zh-CN"/>
                    </w:rPr>
                  </w:pPr>
                  <w:r>
                    <w:rPr>
                      <w:rFonts w:hint="default"/>
                      <w:color w:val="auto"/>
                      <w:highlight w:val="none"/>
                      <w:lang w:eastAsia="zh-CN"/>
                    </w:rPr>
                    <w:t>到2025年，全市土壤环境风险防范体系进一步完善，受污染耕地安全利用率和污染地块安全利用率达到省下达的目标要求。到2035年，全市土壤环境质量稳中向好，农用地和建设用地土壤环境安全得到有效保障，受污染耕地安全利用率和污染地块安全利用率进一步提高，土壤环境风险得到全面管控。</w:t>
                  </w:r>
                </w:p>
              </w:tc>
              <w:tc>
                <w:tcPr>
                  <w:tcW w:w="1522" w:type="pct"/>
                  <w:noWrap w:val="0"/>
                  <w:vAlign w:val="center"/>
                </w:tcPr>
                <w:p>
                  <w:pPr>
                    <w:pStyle w:val="34"/>
                    <w:bidi w:val="0"/>
                    <w:rPr>
                      <w:rFonts w:hint="default"/>
                      <w:color w:val="auto"/>
                      <w:highlight w:val="none"/>
                      <w:lang w:val="en-US" w:eastAsia="zh-CN"/>
                    </w:rPr>
                  </w:pPr>
                  <w:r>
                    <w:rPr>
                      <w:rFonts w:hint="default"/>
                      <w:color w:val="auto"/>
                      <w:highlight w:val="none"/>
                      <w:lang w:val="en-US" w:eastAsia="zh-CN"/>
                    </w:rPr>
                    <w:t>项目</w:t>
                  </w:r>
                  <w:r>
                    <w:rPr>
                      <w:rFonts w:hint="eastAsia"/>
                      <w:color w:val="auto"/>
                      <w:highlight w:val="none"/>
                      <w:lang w:val="en-US" w:eastAsia="zh-CN"/>
                    </w:rPr>
                    <w:t>针对</w:t>
                  </w:r>
                  <w:r>
                    <w:rPr>
                      <w:rFonts w:hint="default"/>
                      <w:color w:val="auto"/>
                      <w:highlight w:val="none"/>
                      <w:lang w:val="en-US" w:eastAsia="zh-CN"/>
                    </w:rPr>
                    <w:t>土壤</w:t>
                  </w:r>
                  <w:r>
                    <w:rPr>
                      <w:rFonts w:hint="eastAsia"/>
                      <w:color w:val="auto"/>
                      <w:highlight w:val="none"/>
                      <w:lang w:val="en-US" w:eastAsia="zh-CN"/>
                    </w:rPr>
                    <w:t>环境</w:t>
                  </w:r>
                  <w:r>
                    <w:rPr>
                      <w:rFonts w:hint="default"/>
                      <w:color w:val="auto"/>
                      <w:highlight w:val="none"/>
                      <w:lang w:val="en-US" w:eastAsia="zh-CN"/>
                    </w:rPr>
                    <w:t>污染采取了</w:t>
                  </w:r>
                  <w:r>
                    <w:rPr>
                      <w:rFonts w:hint="eastAsia"/>
                      <w:color w:val="auto"/>
                      <w:highlight w:val="none"/>
                      <w:lang w:val="en-US" w:eastAsia="zh-CN"/>
                    </w:rPr>
                    <w:t>合理可行的污染</w:t>
                  </w:r>
                  <w:r>
                    <w:rPr>
                      <w:rFonts w:hint="default"/>
                      <w:color w:val="auto"/>
                      <w:highlight w:val="none"/>
                      <w:lang w:val="en-US" w:eastAsia="zh-CN"/>
                    </w:rPr>
                    <w:t>防控措施，</w:t>
                  </w:r>
                  <w:r>
                    <w:rPr>
                      <w:rFonts w:hint="eastAsia"/>
                      <w:color w:val="auto"/>
                      <w:highlight w:val="none"/>
                      <w:lang w:val="en-US" w:eastAsia="zh-CN"/>
                    </w:rPr>
                    <w:t>项目建设</w:t>
                  </w:r>
                  <w:r>
                    <w:rPr>
                      <w:rFonts w:hint="default"/>
                      <w:color w:val="auto"/>
                      <w:highlight w:val="none"/>
                      <w:lang w:val="en-US" w:eastAsia="zh-CN"/>
                    </w:rPr>
                    <w:t>对土壤环境质量影响较小。</w:t>
                  </w:r>
                </w:p>
              </w:tc>
              <w:tc>
                <w:tcPr>
                  <w:tcW w:w="416" w:type="pct"/>
                  <w:tcBorders>
                    <w:right w:val="nil"/>
                  </w:tcBorders>
                  <w:noWrap w:val="0"/>
                  <w:vAlign w:val="center"/>
                </w:tcPr>
                <w:p>
                  <w:pPr>
                    <w:pStyle w:val="34"/>
                    <w:bidi w:val="0"/>
                    <w:rPr>
                      <w:rFonts w:hint="default"/>
                      <w:color w:val="auto"/>
                      <w:highlight w:val="none"/>
                      <w:lang w:val="en-US" w:eastAsia="zh-CN"/>
                    </w:rPr>
                  </w:pPr>
                  <w:r>
                    <w:rPr>
                      <w:rFonts w:hint="default"/>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tcBorders>
                    <w:left w:val="nil"/>
                  </w:tcBorders>
                  <w:noWrap w:val="0"/>
                  <w:vAlign w:val="center"/>
                </w:tcPr>
                <w:p>
                  <w:pPr>
                    <w:pStyle w:val="34"/>
                    <w:bidi w:val="0"/>
                    <w:rPr>
                      <w:rFonts w:hint="default"/>
                      <w:color w:val="auto"/>
                      <w:highlight w:val="none"/>
                      <w:lang w:val="en-US" w:eastAsia="zh-CN"/>
                    </w:rPr>
                  </w:pPr>
                  <w:r>
                    <w:rPr>
                      <w:rFonts w:hint="default"/>
                      <w:color w:val="auto"/>
                      <w:highlight w:val="none"/>
                      <w:lang w:val="en-US" w:eastAsia="zh-CN"/>
                    </w:rPr>
                    <w:t>资源利用上线</w:t>
                  </w:r>
                </w:p>
              </w:tc>
              <w:tc>
                <w:tcPr>
                  <w:tcW w:w="2627" w:type="pct"/>
                  <w:gridSpan w:val="2"/>
                  <w:noWrap w:val="0"/>
                  <w:vAlign w:val="center"/>
                </w:tcPr>
                <w:p>
                  <w:pPr>
                    <w:pStyle w:val="34"/>
                    <w:bidi w:val="0"/>
                    <w:rPr>
                      <w:rFonts w:hint="default"/>
                      <w:color w:val="auto"/>
                      <w:highlight w:val="none"/>
                      <w:lang w:val="en-US" w:eastAsia="zh-CN"/>
                    </w:rPr>
                  </w:pPr>
                  <w:r>
                    <w:rPr>
                      <w:rFonts w:hint="default"/>
                      <w:color w:val="auto"/>
                      <w:highlight w:val="none"/>
                      <w:lang w:val="en-US" w:eastAsia="zh-CN"/>
                    </w:rPr>
                    <w:t>强化资源能源节约集约利用，持续提升资源能源利用效率，水资源、土地资源、能源消耗等达到或优于省下达的总量和强度控制目标。</w:t>
                  </w:r>
                </w:p>
              </w:tc>
              <w:tc>
                <w:tcPr>
                  <w:tcW w:w="1522" w:type="pct"/>
                  <w:noWrap w:val="0"/>
                  <w:vAlign w:val="center"/>
                </w:tcPr>
                <w:p>
                  <w:pPr>
                    <w:pStyle w:val="34"/>
                    <w:bidi w:val="0"/>
                    <w:rPr>
                      <w:rFonts w:hint="default"/>
                      <w:color w:val="auto"/>
                      <w:highlight w:val="none"/>
                      <w:lang w:val="en-US" w:eastAsia="zh-CN"/>
                    </w:rPr>
                  </w:pPr>
                  <w:r>
                    <w:rPr>
                      <w:rFonts w:hint="default"/>
                      <w:color w:val="auto"/>
                      <w:highlight w:val="none"/>
                      <w:lang w:val="en-US" w:eastAsia="zh-CN"/>
                    </w:rPr>
                    <w:t>项目</w:t>
                  </w:r>
                  <w:r>
                    <w:rPr>
                      <w:rFonts w:hint="eastAsia"/>
                      <w:color w:val="auto"/>
                      <w:highlight w:val="none"/>
                      <w:lang w:val="en-US" w:eastAsia="zh-CN"/>
                    </w:rPr>
                    <w:t>运营过程中产生的</w:t>
                  </w:r>
                  <w:r>
                    <w:rPr>
                      <w:rFonts w:hint="default"/>
                      <w:color w:val="auto"/>
                      <w:highlight w:val="none"/>
                      <w:lang w:val="en-US" w:eastAsia="zh-CN"/>
                    </w:rPr>
                    <w:t>废水</w:t>
                  </w:r>
                  <w:r>
                    <w:rPr>
                      <w:rFonts w:hint="eastAsia"/>
                      <w:color w:val="auto"/>
                      <w:highlight w:val="none"/>
                      <w:lang w:val="en-US" w:eastAsia="zh-CN"/>
                    </w:rPr>
                    <w:t>经处理达标后回用，不外排。</w:t>
                  </w:r>
                </w:p>
              </w:tc>
              <w:tc>
                <w:tcPr>
                  <w:tcW w:w="416" w:type="pct"/>
                  <w:tcBorders>
                    <w:right w:val="nil"/>
                  </w:tcBorders>
                  <w:noWrap w:val="0"/>
                  <w:vAlign w:val="center"/>
                </w:tcPr>
                <w:p>
                  <w:pPr>
                    <w:pStyle w:val="34"/>
                    <w:bidi w:val="0"/>
                    <w:rPr>
                      <w:rFonts w:hint="default"/>
                      <w:color w:val="auto"/>
                      <w:highlight w:val="none"/>
                      <w:lang w:val="en-US" w:eastAsia="zh-CN"/>
                    </w:rPr>
                  </w:pPr>
                  <w:r>
                    <w:rPr>
                      <w:rFonts w:hint="default"/>
                      <w:color w:val="auto"/>
                      <w:highlight w:val="none"/>
                      <w:lang w:val="en-US" w:eastAsia="zh-CN"/>
                    </w:rPr>
                    <w:t>符合</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color w:val="auto"/>
                <w:highlight w:val="none"/>
                <w:lang w:val="en-US" w:eastAsia="zh-CN"/>
              </w:rPr>
            </w:pPr>
            <w:r>
              <w:rPr>
                <w:rFonts w:hint="default"/>
                <w:color w:val="auto"/>
                <w:highlight w:val="none"/>
              </w:rPr>
              <w:t>综上分析，项目建设符合《玉溪市人民政府关于印发玉溪市“三线一单”生态环境分区管控实施意见的通知》（玉政发〔2021〕15号）</w:t>
            </w:r>
            <w:r>
              <w:rPr>
                <w:rFonts w:hint="eastAsia"/>
                <w:color w:val="auto"/>
                <w:highlight w:val="none"/>
                <w:lang w:val="en-US" w:eastAsia="zh-CN"/>
              </w:rPr>
              <w:t>的</w:t>
            </w:r>
            <w:r>
              <w:rPr>
                <w:rFonts w:hint="default"/>
                <w:color w:val="auto"/>
                <w:highlight w:val="none"/>
              </w:rPr>
              <w:t>相关要求</w:t>
            </w:r>
            <w:r>
              <w:rPr>
                <w:rFonts w:hint="default"/>
                <w:color w:val="auto"/>
                <w:highlight w:val="none"/>
                <w:lang w:val="en-US" w:eastAsia="zh-CN"/>
              </w:rPr>
              <w:t>。</w:t>
            </w:r>
          </w:p>
          <w:p>
            <w:pPr>
              <w:bidi w:val="0"/>
              <w:ind w:left="0" w:leftChars="0" w:firstLine="0" w:firstLineChars="0"/>
              <w:rPr>
                <w:rFonts w:hint="default"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（2）与关于印发玉溪市生态环境分区管控动态更新调整方案（2023年）的通知（玉市环〔2024〕40号）的符合性</w:t>
            </w:r>
          </w:p>
          <w:p>
            <w:pPr>
              <w:bidi w:val="0"/>
              <w:rPr>
                <w:color w:val="auto"/>
                <w:highlight w:val="none"/>
              </w:rPr>
            </w:pPr>
            <w:r>
              <w:rPr>
                <w:rFonts w:hint="eastAsia" w:ascii="Times New Roman" w:hAnsi="Times New Roman"/>
                <w:color w:val="auto"/>
                <w:sz w:val="24"/>
                <w:highlight w:val="none"/>
                <w:lang w:val="en-US" w:eastAsia="zh-CN"/>
              </w:rPr>
              <w:t>对照《玉溪市生态环境局关于印发玉溪市生态环境分区管控动态更新调整方案（2023年）的通知》（玉市环〔2024〕40号），玉溪市设立管控单元83个，其中优先保护单元27个，重点管控单元47个，一般管控单元9个。</w:t>
            </w:r>
            <w:r>
              <w:rPr>
                <w:rFonts w:hint="default"/>
                <w:color w:val="auto"/>
                <w:highlight w:val="none"/>
              </w:rPr>
              <w:t>项目用地不涉及</w:t>
            </w:r>
            <w:r>
              <w:rPr>
                <w:rFonts w:hint="eastAsia"/>
                <w:color w:val="auto"/>
                <w:highlight w:val="none"/>
                <w:lang w:val="en-US" w:eastAsia="zh-CN"/>
              </w:rPr>
              <w:t>澄江市</w:t>
            </w:r>
            <w:r>
              <w:rPr>
                <w:rFonts w:hint="default"/>
                <w:color w:val="auto"/>
                <w:highlight w:val="none"/>
              </w:rPr>
              <w:t>饮用水水源地保护区、自然保护区、国家森林公园等环境敏感区。</w:t>
            </w:r>
            <w:r>
              <w:rPr>
                <w:color w:val="auto"/>
                <w:szCs w:val="21"/>
                <w:highlight w:val="none"/>
              </w:rPr>
              <w:t>经</w:t>
            </w:r>
            <w:r>
              <w:rPr>
                <w:rFonts w:hint="eastAsia"/>
                <w:color w:val="auto"/>
                <w:szCs w:val="21"/>
                <w:highlight w:val="none"/>
              </w:rPr>
              <w:t>“</w:t>
            </w:r>
            <w:r>
              <w:rPr>
                <w:color w:val="auto"/>
                <w:szCs w:val="21"/>
                <w:highlight w:val="none"/>
              </w:rPr>
              <w:t>云南省生态环境分区管控公共服务查询平台</w:t>
            </w:r>
            <w:r>
              <w:rPr>
                <w:rFonts w:hint="eastAsia"/>
                <w:color w:val="auto"/>
                <w:szCs w:val="21"/>
                <w:highlight w:val="none"/>
              </w:rPr>
              <w:t>”</w:t>
            </w:r>
            <w:r>
              <w:rPr>
                <w:color w:val="auto"/>
                <w:szCs w:val="21"/>
                <w:highlight w:val="none"/>
              </w:rPr>
              <w:t>查询，项目区涉及的生态环境分区管控单元</w:t>
            </w:r>
            <w:r>
              <w:rPr>
                <w:rFonts w:hint="eastAsia"/>
                <w:color w:val="auto"/>
                <w:szCs w:val="21"/>
                <w:highlight w:val="none"/>
                <w:lang w:val="en-US" w:eastAsia="zh-CN"/>
              </w:rPr>
              <w:t>详见下表</w:t>
            </w:r>
            <w:r>
              <w:rPr>
                <w:color w:val="auto"/>
                <w:szCs w:val="21"/>
                <w:highlight w:val="none"/>
              </w:rPr>
              <w:t>。</w:t>
            </w:r>
          </w:p>
          <w:p>
            <w:pPr>
              <w:pStyle w:val="35"/>
              <w:bidi w:val="0"/>
              <w:rPr>
                <w:rFonts w:hint="default"/>
                <w:color w:val="auto"/>
                <w:highlight w:val="none"/>
                <w:lang w:val="en-US" w:eastAsia="zh-CN"/>
              </w:rPr>
            </w:pPr>
            <w:r>
              <w:rPr>
                <w:rFonts w:hint="eastAsia"/>
                <w:color w:val="auto"/>
                <w:highlight w:val="none"/>
                <w:lang w:val="en-US" w:eastAsia="zh-CN"/>
              </w:rPr>
              <w:t>表1-7  项目边界涉及管控单元与编码一览表</w:t>
            </w:r>
          </w:p>
          <w:tbl>
            <w:tblPr>
              <w:tblStyle w:val="23"/>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0"/>
              <w:gridCol w:w="1988"/>
              <w:gridCol w:w="2765"/>
              <w:gridCol w:w="16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9" w:type="pct"/>
                  <w:tcBorders>
                    <w:tl2br w:val="nil"/>
                    <w:tr2bl w:val="nil"/>
                  </w:tcBorders>
                </w:tcPr>
                <w:p>
                  <w:pPr>
                    <w:pStyle w:val="34"/>
                    <w:bidi w:val="0"/>
                    <w:rPr>
                      <w:color w:val="auto"/>
                      <w:highlight w:val="none"/>
                    </w:rPr>
                  </w:pPr>
                  <w:r>
                    <w:rPr>
                      <w:color w:val="auto"/>
                      <w:highlight w:val="none"/>
                    </w:rPr>
                    <w:t>序号</w:t>
                  </w:r>
                </w:p>
              </w:tc>
              <w:tc>
                <w:tcPr>
                  <w:tcW w:w="1422" w:type="pct"/>
                  <w:tcBorders>
                    <w:tl2br w:val="nil"/>
                    <w:tr2bl w:val="nil"/>
                  </w:tcBorders>
                </w:tcPr>
                <w:p>
                  <w:pPr>
                    <w:pStyle w:val="34"/>
                    <w:bidi w:val="0"/>
                    <w:rPr>
                      <w:color w:val="auto"/>
                      <w:highlight w:val="none"/>
                    </w:rPr>
                  </w:pPr>
                  <w:r>
                    <w:rPr>
                      <w:color w:val="auto"/>
                      <w:highlight w:val="none"/>
                    </w:rPr>
                    <w:t>环境管控单元编码</w:t>
                  </w:r>
                </w:p>
              </w:tc>
              <w:tc>
                <w:tcPr>
                  <w:tcW w:w="1977" w:type="pct"/>
                  <w:tcBorders>
                    <w:tl2br w:val="nil"/>
                    <w:tr2bl w:val="nil"/>
                  </w:tcBorders>
                </w:tcPr>
                <w:p>
                  <w:pPr>
                    <w:pStyle w:val="34"/>
                    <w:bidi w:val="0"/>
                    <w:rPr>
                      <w:color w:val="auto"/>
                      <w:highlight w:val="none"/>
                    </w:rPr>
                  </w:pPr>
                  <w:r>
                    <w:rPr>
                      <w:color w:val="auto"/>
                      <w:highlight w:val="none"/>
                    </w:rPr>
                    <w:t>环境管控单元名称</w:t>
                  </w:r>
                </w:p>
              </w:tc>
              <w:tc>
                <w:tcPr>
                  <w:tcW w:w="1170" w:type="pct"/>
                  <w:tcBorders>
                    <w:tl2br w:val="nil"/>
                    <w:tr2bl w:val="nil"/>
                  </w:tcBorders>
                </w:tcPr>
                <w:p>
                  <w:pPr>
                    <w:pStyle w:val="34"/>
                    <w:bidi w:val="0"/>
                    <w:rPr>
                      <w:color w:val="auto"/>
                      <w:highlight w:val="none"/>
                    </w:rPr>
                  </w:pPr>
                  <w:r>
                    <w:rPr>
                      <w:color w:val="auto"/>
                      <w:highlight w:val="none"/>
                    </w:rPr>
                    <w:t>管控单元类型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9" w:type="pct"/>
                  <w:tcBorders>
                    <w:tl2br w:val="nil"/>
                    <w:tr2bl w:val="nil"/>
                  </w:tcBorders>
                </w:tcPr>
                <w:p>
                  <w:pPr>
                    <w:pStyle w:val="34"/>
                    <w:bidi w:val="0"/>
                    <w:rPr>
                      <w:color w:val="auto"/>
                      <w:highlight w:val="none"/>
                    </w:rPr>
                  </w:pPr>
                  <w:r>
                    <w:rPr>
                      <w:color w:val="auto"/>
                      <w:highlight w:val="none"/>
                    </w:rPr>
                    <w:t>1</w:t>
                  </w:r>
                </w:p>
              </w:tc>
              <w:tc>
                <w:tcPr>
                  <w:tcW w:w="2176" w:type="dxa"/>
                  <w:tcBorders>
                    <w:tl2br w:val="nil"/>
                    <w:tr2bl w:val="nil"/>
                  </w:tcBorders>
                  <w:vAlign w:val="top"/>
                </w:tcPr>
                <w:p>
                  <w:pPr>
                    <w:pStyle w:val="34"/>
                    <w:bidi w:val="0"/>
                    <w:rPr>
                      <w:rFonts w:eastAsia="宋体"/>
                      <w:color w:val="auto"/>
                      <w:highlight w:val="none"/>
                    </w:rPr>
                  </w:pPr>
                  <w:r>
                    <w:rPr>
                      <w:rFonts w:eastAsia="宋体"/>
                      <w:color w:val="auto"/>
                      <w:highlight w:val="none"/>
                    </w:rPr>
                    <w:t>ZH53042520001</w:t>
                  </w:r>
                </w:p>
              </w:tc>
              <w:tc>
                <w:tcPr>
                  <w:tcW w:w="3025" w:type="dxa"/>
                  <w:tcBorders>
                    <w:tl2br w:val="nil"/>
                    <w:tr2bl w:val="nil"/>
                  </w:tcBorders>
                  <w:vAlign w:val="top"/>
                </w:tcPr>
                <w:p>
                  <w:pPr>
                    <w:pStyle w:val="34"/>
                    <w:bidi w:val="0"/>
                    <w:rPr>
                      <w:rFonts w:eastAsia="宋体"/>
                      <w:color w:val="auto"/>
                      <w:highlight w:val="none"/>
                    </w:rPr>
                  </w:pPr>
                  <w:r>
                    <w:rPr>
                      <w:rFonts w:eastAsia="宋体"/>
                      <w:color w:val="auto"/>
                      <w:highlight w:val="none"/>
                    </w:rPr>
                    <w:t>易门县产业园区重点管控单元</w:t>
                  </w:r>
                </w:p>
              </w:tc>
              <w:tc>
                <w:tcPr>
                  <w:tcW w:w="1790" w:type="dxa"/>
                  <w:tcBorders>
                    <w:tl2br w:val="nil"/>
                    <w:tr2bl w:val="nil"/>
                  </w:tcBorders>
                  <w:vAlign w:val="top"/>
                </w:tcPr>
                <w:p>
                  <w:pPr>
                    <w:pStyle w:val="34"/>
                    <w:bidi w:val="0"/>
                    <w:rPr>
                      <w:rFonts w:eastAsia="宋体"/>
                      <w:color w:val="auto"/>
                      <w:highlight w:val="none"/>
                    </w:rPr>
                  </w:pPr>
                  <w:r>
                    <w:rPr>
                      <w:rFonts w:eastAsia="宋体"/>
                      <w:color w:val="auto"/>
                      <w:highlight w:val="none"/>
                    </w:rPr>
                    <w:t>重点管控单元</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color w:val="auto"/>
                <w:highlight w:val="none"/>
                <w:lang w:val="en-US" w:eastAsia="zh-CN"/>
              </w:rPr>
            </w:pPr>
            <w:r>
              <w:rPr>
                <w:rFonts w:hint="eastAsia"/>
                <w:color w:val="auto"/>
                <w:highlight w:val="none"/>
                <w:lang w:val="en-US" w:eastAsia="zh-CN"/>
              </w:rPr>
              <w:t>项目区涉及的管控单元图示如下：</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ind w:left="0" w:leftChars="0" w:firstLine="0" w:firstLineChars="0"/>
              <w:textAlignment w:val="auto"/>
              <w:rPr>
                <w:rFonts w:hint="eastAsia"/>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lang w:val="en-US" w:eastAsia="zh-CN"/>
              </w:rPr>
            </w:pPr>
            <w:r>
              <w:rPr>
                <w:rFonts w:hint="eastAsia" w:eastAsia="宋体"/>
                <w:color w:val="auto"/>
                <w:highlight w:val="none"/>
                <w:lang w:eastAsia="zh-CN"/>
              </w:rPr>
              <w:drawing>
                <wp:inline distT="0" distB="0" distL="114300" distR="114300">
                  <wp:extent cx="4438015" cy="4745355"/>
                  <wp:effectExtent l="0" t="0" r="635" b="17145"/>
                  <wp:docPr id="5" name="图片 5" descr="管控单元截图2026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管控单元截图20260409"/>
                          <pic:cNvPicPr>
                            <a:picLocks noChangeAspect="1"/>
                          </pic:cNvPicPr>
                        </pic:nvPicPr>
                        <pic:blipFill>
                          <a:blip r:embed="rId13"/>
                          <a:stretch>
                            <a:fillRect/>
                          </a:stretch>
                        </pic:blipFill>
                        <pic:spPr>
                          <a:xfrm>
                            <a:off x="0" y="0"/>
                            <a:ext cx="4438015" cy="4745355"/>
                          </a:xfrm>
                          <a:prstGeom prst="rect">
                            <a:avLst/>
                          </a:prstGeom>
                        </pic:spPr>
                      </pic:pic>
                    </a:graphicData>
                  </a:graphic>
                </wp:inline>
              </w:drawing>
            </w:r>
          </w:p>
          <w:p>
            <w:pPr>
              <w:pStyle w:val="35"/>
              <w:bidi w:val="0"/>
              <w:rPr>
                <w:rFonts w:hint="default"/>
                <w:color w:val="auto"/>
                <w:highlight w:val="none"/>
                <w:lang w:val="en-US" w:eastAsia="zh-CN"/>
              </w:rPr>
            </w:pPr>
            <w:r>
              <w:rPr>
                <w:rFonts w:hint="eastAsia"/>
                <w:color w:val="auto"/>
                <w:highlight w:val="none"/>
                <w:lang w:val="en-US" w:eastAsia="zh-CN"/>
              </w:rPr>
              <w:t>图1-1  项目区生态环境分区管控单元分布图</w:t>
            </w:r>
          </w:p>
          <w:p>
            <w:pPr>
              <w:bidi w:val="0"/>
              <w:rPr>
                <w:rFonts w:hint="eastAsia"/>
                <w:color w:val="auto"/>
                <w:highlight w:val="none"/>
                <w:lang w:val="en-US" w:eastAsia="zh-CN"/>
              </w:rPr>
            </w:pPr>
            <w:r>
              <w:rPr>
                <w:rFonts w:hint="eastAsia" w:ascii="Times New Roman" w:hAnsi="Times New Roman" w:cs="Times New Roman"/>
                <w:color w:val="auto"/>
                <w:highlight w:val="none"/>
                <w:lang w:val="en-US" w:eastAsia="zh-CN"/>
              </w:rPr>
              <w:t>根据查询结果，</w:t>
            </w:r>
            <w:r>
              <w:rPr>
                <w:rFonts w:hint="default" w:ascii="Times New Roman" w:hAnsi="Times New Roman" w:cs="Times New Roman"/>
                <w:color w:val="auto"/>
                <w:highlight w:val="none"/>
              </w:rPr>
              <w:t>本项目与</w:t>
            </w:r>
            <w:r>
              <w:rPr>
                <w:rFonts w:hint="eastAsia" w:cs="Times New Roman"/>
                <w:color w:val="auto"/>
                <w:highlight w:val="none"/>
                <w:lang w:val="en-US" w:eastAsia="zh-CN"/>
              </w:rPr>
              <w:t>玉溪市</w:t>
            </w:r>
            <w:r>
              <w:rPr>
                <w:rFonts w:hint="eastAsia"/>
                <w:color w:val="auto"/>
                <w:highlight w:val="none"/>
                <w:lang w:val="en-US" w:eastAsia="zh-CN"/>
              </w:rPr>
              <w:t>生态环境分区管控动态更新成果</w:t>
            </w:r>
            <w:r>
              <w:rPr>
                <w:rFonts w:hint="eastAsia" w:cs="Times New Roman"/>
                <w:color w:val="auto"/>
                <w:highlight w:val="none"/>
                <w:lang w:val="en-US" w:eastAsia="zh-CN"/>
              </w:rPr>
              <w:t>的</w:t>
            </w:r>
            <w:r>
              <w:rPr>
                <w:rFonts w:hint="default" w:ascii="Times New Roman" w:hAnsi="Times New Roman" w:cs="Times New Roman"/>
                <w:color w:val="auto"/>
                <w:highlight w:val="none"/>
              </w:rPr>
              <w:t>相符性分析如下：</w:t>
            </w:r>
          </w:p>
          <w:p>
            <w:pPr>
              <w:pStyle w:val="35"/>
              <w:bidi w:val="0"/>
              <w:rPr>
                <w:rFonts w:hint="eastAsia"/>
                <w:color w:val="auto"/>
                <w:highlight w:val="none"/>
                <w:lang w:val="en-US" w:eastAsia="zh-CN"/>
              </w:rPr>
            </w:pPr>
            <w:r>
              <w:rPr>
                <w:rFonts w:hint="default"/>
                <w:color w:val="auto"/>
                <w:highlight w:val="none"/>
                <w:lang w:val="en-US" w:eastAsia="zh-CN"/>
              </w:rPr>
              <w:t>表1-</w:t>
            </w:r>
            <w:r>
              <w:rPr>
                <w:rFonts w:hint="eastAsia"/>
                <w:color w:val="auto"/>
                <w:highlight w:val="none"/>
                <w:lang w:val="en-US" w:eastAsia="zh-CN"/>
              </w:rPr>
              <w:t xml:space="preserve">8 </w:t>
            </w:r>
            <w:r>
              <w:rPr>
                <w:rFonts w:hint="default"/>
                <w:color w:val="auto"/>
                <w:highlight w:val="none"/>
                <w:lang w:val="en-US" w:eastAsia="zh-CN"/>
              </w:rPr>
              <w:t xml:space="preserve"> 项目与</w:t>
            </w:r>
            <w:r>
              <w:rPr>
                <w:rFonts w:hint="eastAsia"/>
                <w:color w:val="auto"/>
                <w:highlight w:val="none"/>
                <w:lang w:val="en-US" w:eastAsia="zh-CN"/>
              </w:rPr>
              <w:t>“玉溪市生态环境分区管控总体要求”</w:t>
            </w:r>
            <w:r>
              <w:rPr>
                <w:rFonts w:hint="default"/>
                <w:color w:val="auto"/>
                <w:highlight w:val="none"/>
                <w:lang w:val="en-US" w:eastAsia="zh-CN"/>
              </w:rPr>
              <w:t>符合性分析</w:t>
            </w:r>
            <w:r>
              <w:rPr>
                <w:rFonts w:hint="eastAsia"/>
                <w:color w:val="auto"/>
                <w:highlight w:val="none"/>
                <w:lang w:val="en-US" w:eastAsia="zh-CN"/>
              </w:rPr>
              <w:t>一览表</w:t>
            </w:r>
          </w:p>
          <w:tbl>
            <w:tblPr>
              <w:tblStyle w:val="24"/>
              <w:tblW w:w="704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3"/>
              <w:gridCol w:w="574"/>
              <w:gridCol w:w="3134"/>
              <w:gridCol w:w="2110"/>
              <w:gridCol w:w="6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tcBorders>
                    <w:tl2br w:val="nil"/>
                    <w:tr2bl w:val="nil"/>
                  </w:tcBorders>
                  <w:vAlign w:val="center"/>
                </w:tcPr>
                <w:p>
                  <w:pPr>
                    <w:pStyle w:val="34"/>
                    <w:bidi w:val="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管控单元</w:t>
                  </w:r>
                </w:p>
              </w:tc>
              <w:tc>
                <w:tcPr>
                  <w:tcW w:w="2633" w:type="pct"/>
                  <w:gridSpan w:val="2"/>
                  <w:tcBorders>
                    <w:tl2br w:val="nil"/>
                    <w:tr2bl w:val="nil"/>
                  </w:tcBorders>
                  <w:vAlign w:val="center"/>
                </w:tcPr>
                <w:p>
                  <w:pPr>
                    <w:pStyle w:val="34"/>
                    <w:numPr>
                      <w:ilvl w:val="0"/>
                      <w:numId w:val="0"/>
                    </w:numPr>
                    <w:bidi w:val="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更新管控要求</w:t>
                  </w:r>
                </w:p>
              </w:tc>
              <w:tc>
                <w:tcPr>
                  <w:tcW w:w="1498" w:type="pct"/>
                  <w:tcBorders>
                    <w:tl2br w:val="nil"/>
                    <w:tr2bl w:val="nil"/>
                  </w:tcBorders>
                  <w:vAlign w:val="center"/>
                </w:tcPr>
                <w:p>
                  <w:pPr>
                    <w:pStyle w:val="34"/>
                    <w:bidi w:val="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本项目情况</w:t>
                  </w:r>
                </w:p>
              </w:tc>
              <w:tc>
                <w:tcPr>
                  <w:tcW w:w="432" w:type="pct"/>
                  <w:tcBorders>
                    <w:tl2br w:val="nil"/>
                    <w:tr2bl w:val="nil"/>
                  </w:tcBorders>
                  <w:vAlign w:val="center"/>
                </w:tcPr>
                <w:p>
                  <w:pPr>
                    <w:pStyle w:val="34"/>
                    <w:bidi w:val="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vMerge w:val="restart"/>
                  <w:tcBorders>
                    <w:tl2br w:val="nil"/>
                    <w:tr2bl w:val="nil"/>
                  </w:tcBorders>
                  <w:vAlign w:val="center"/>
                </w:tcPr>
                <w:p>
                  <w:pPr>
                    <w:pStyle w:val="34"/>
                    <w:bidi w:val="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生态环境管控总体要求</w:t>
                  </w:r>
                </w:p>
              </w:tc>
              <w:tc>
                <w:tcPr>
                  <w:tcW w:w="407" w:type="pct"/>
                  <w:tcBorders>
                    <w:tl2br w:val="nil"/>
                    <w:tr2bl w:val="nil"/>
                  </w:tcBorders>
                  <w:vAlign w:val="center"/>
                </w:tcPr>
                <w:p>
                  <w:pPr>
                    <w:pStyle w:val="34"/>
                    <w:bidi w:val="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空间布局约束</w:t>
                  </w:r>
                </w:p>
              </w:tc>
              <w:tc>
                <w:tcPr>
                  <w:tcW w:w="2225" w:type="pct"/>
                  <w:tcBorders>
                    <w:tl2br w:val="nil"/>
                    <w:tr2bl w:val="nil"/>
                  </w:tcBorders>
                  <w:vAlign w:val="center"/>
                </w:tcPr>
                <w:p>
                  <w:pPr>
                    <w:pStyle w:val="34"/>
                    <w:bidi w:val="0"/>
                    <w:jc w:val="left"/>
                    <w:rPr>
                      <w:rFonts w:hint="default"/>
                      <w:color w:val="auto"/>
                      <w:highlight w:val="none"/>
                      <w:lang w:val="en-US" w:eastAsia="zh-CN"/>
                    </w:rPr>
                  </w:pPr>
                  <w:r>
                    <w:rPr>
                      <w:color w:val="auto"/>
                      <w:highlight w:val="none"/>
                    </w:rPr>
                    <w:t>1.严格落实国家产业政策、国家产业结构调整指导目录。坚决遏制高耗能、高排放、低水平项目盲目发展，项目审批严格落实国家和云南省相关政策要求。严格落实钢铁、水泥、平板玻璃、电解铝等行业产能置换相关政策，严管严控新增电解铝和工业硅产能。</w:t>
                  </w:r>
                  <w:r>
                    <w:rPr>
                      <w:color w:val="auto"/>
                      <w:highlight w:val="none"/>
                    </w:rPr>
                    <w:br w:type="textWrapping"/>
                  </w:r>
                  <w:r>
                    <w:rPr>
                      <w:color w:val="auto"/>
                      <w:highlight w:val="none"/>
                    </w:rPr>
                    <w:t>2.加强河湖水域岸线空间管控，严格落实九大高原湖泊（抚仙湖、星云湖、杞麓湖）</w:t>
                  </w:r>
                  <w:r>
                    <w:rPr>
                      <w:rFonts w:hint="eastAsia" w:ascii="宋体" w:hAnsi="宋体" w:eastAsia="宋体" w:cs="宋体"/>
                      <w:color w:val="auto"/>
                      <w:highlight w:val="none"/>
                    </w:rPr>
                    <w:t>“两线三区”相</w:t>
                  </w:r>
                  <w:r>
                    <w:rPr>
                      <w:color w:val="auto"/>
                      <w:highlight w:val="none"/>
                    </w:rPr>
                    <w:t>关管控要求。加快推动重点区域、重点流域落后和过剩产能退出。依法加快城市建成区重污染企业搬迁改造或关闭退出。</w:t>
                  </w:r>
                  <w:r>
                    <w:rPr>
                      <w:color w:val="auto"/>
                      <w:highlight w:val="none"/>
                    </w:rPr>
                    <w:br w:type="textWrapping"/>
                  </w:r>
                  <w:r>
                    <w:rPr>
                      <w:color w:val="auto"/>
                      <w:highlight w:val="none"/>
                    </w:rPr>
                    <w:t>3.禁止在合规园区外新建、扩建钢铁、石化、化工、焦化、建材、有色、制浆造纸行业中的高污染项目。禁止新建、扩建不符合国家石化、现代煤化工等产业布局规划的项目。禁止列入《云南省城镇人口密集区危险化学品生产企业搬迁改造名单》的搬迁改造企业在原址新建、扩建危险化学品生产项目。新建、改建、</w:t>
                  </w:r>
                  <w:r>
                    <w:rPr>
                      <w:rFonts w:hint="eastAsia" w:ascii="宋体" w:hAnsi="宋体" w:eastAsia="宋体" w:cs="宋体"/>
                      <w:color w:val="auto"/>
                      <w:highlight w:val="none"/>
                    </w:rPr>
                    <w:t>扩建“两高”</w:t>
                  </w:r>
                  <w:r>
                    <w:rPr>
                      <w:color w:val="auto"/>
                      <w:highlight w:val="none"/>
                    </w:rPr>
                    <w:t>项目须符合生态环境保护法律法规和相关法定规划，满足重点污染物排放总量控制、碳排放达峰目标、生态环境准入清单、相关规划环评和相应行业建设项目环境准入条件、环评文件审批原则要求。</w:t>
                  </w:r>
                  <w:r>
                    <w:rPr>
                      <w:color w:val="auto"/>
                      <w:highlight w:val="none"/>
                    </w:rPr>
                    <w:br w:type="textWrapping"/>
                  </w:r>
                  <w:r>
                    <w:rPr>
                      <w:color w:val="auto"/>
                      <w:highlight w:val="none"/>
                    </w:rPr>
                    <w:t>4.禁止在九大高原湖泊（抚仙湖、星云湖、杞麓湖）流域内新建、改建、扩建污染环境、高耗水、高耗能、破坏生态平衡和自然景观的项目。</w:t>
                  </w:r>
                  <w:r>
                    <w:rPr>
                      <w:color w:val="auto"/>
                      <w:highlight w:val="none"/>
                    </w:rPr>
                    <w:br w:type="textWrapping"/>
                  </w:r>
                  <w:r>
                    <w:rPr>
                      <w:color w:val="auto"/>
                      <w:highlight w:val="none"/>
                    </w:rPr>
                    <w:t>5.落实云南省碳达峰碳中和相关要求，处理好发展和减排、整体和局部、长远目标和短期目标、政府和市场的关系，坚定不移走生态优先、绿色低碳的高质量发展道路。</w:t>
                  </w:r>
                </w:p>
              </w:tc>
              <w:tc>
                <w:tcPr>
                  <w:tcW w:w="1498" w:type="pct"/>
                  <w:tcBorders>
                    <w:tl2br w:val="nil"/>
                    <w:tr2bl w:val="nil"/>
                  </w:tcBorders>
                  <w:vAlign w:val="center"/>
                </w:tcPr>
                <w:p>
                  <w:pPr>
                    <w:pStyle w:val="34"/>
                    <w:keepNext w:val="0"/>
                    <w:keepLines w:val="0"/>
                    <w:pageBreakBefore w:val="0"/>
                    <w:widowControl w:val="0"/>
                    <w:kinsoku/>
                    <w:wordWrap w:val="0"/>
                    <w:overflowPunct w:val="0"/>
                    <w:topLinePunct w:val="0"/>
                    <w:autoSpaceDE/>
                    <w:autoSpaceDN/>
                    <w:bidi w:val="0"/>
                    <w:adjustRightInd/>
                    <w:snapToGrid/>
                    <w:jc w:val="both"/>
                    <w:textAlignment w:val="auto"/>
                    <w:rPr>
                      <w:rFonts w:hint="eastAsia"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1、本项目为</w:t>
                  </w:r>
                  <w:r>
                    <w:rPr>
                      <w:rFonts w:hint="eastAsia"/>
                      <w:color w:val="auto"/>
                      <w:highlight w:val="none"/>
                      <w:lang w:val="en-US" w:eastAsia="zh-CN"/>
                    </w:rPr>
                    <w:t>制氧系统技术改造节能项目，属于易门铜业有限公司铜冶炼配套公用工程，</w:t>
                  </w:r>
                  <w:r>
                    <w:rPr>
                      <w:rFonts w:hint="default" w:ascii="Times New Roman" w:hAnsi="Times New Roman" w:cs="Times New Roman"/>
                      <w:color w:val="auto"/>
                      <w:sz w:val="18"/>
                      <w:szCs w:val="18"/>
                      <w:highlight w:val="none"/>
                      <w:lang w:val="en-US" w:eastAsia="zh-CN"/>
                    </w:rPr>
                    <w:t>不属于国家发展和改革委员会颁布的《产业结构调整指导目录（2024年本）》中的</w:t>
                  </w:r>
                  <w:r>
                    <w:rPr>
                      <w:rFonts w:hint="default"/>
                      <w:color w:val="auto"/>
                      <w:highlight w:val="none"/>
                    </w:rPr>
                    <w:t>鼓励类、限制类、淘汰类</w:t>
                  </w:r>
                  <w:r>
                    <w:rPr>
                      <w:rFonts w:hint="default" w:ascii="Times New Roman" w:hAnsi="Times New Roman" w:cs="Times New Roman"/>
                      <w:color w:val="auto"/>
                      <w:sz w:val="18"/>
                      <w:szCs w:val="18"/>
                      <w:highlight w:val="none"/>
                      <w:lang w:val="en-US" w:eastAsia="zh-CN"/>
                    </w:rPr>
                    <w:t>项目，</w:t>
                  </w:r>
                  <w:r>
                    <w:rPr>
                      <w:rFonts w:hint="eastAsia" w:cs="Times New Roman"/>
                      <w:color w:val="auto"/>
                      <w:sz w:val="18"/>
                      <w:szCs w:val="18"/>
                      <w:highlight w:val="none"/>
                      <w:lang w:val="en-US" w:eastAsia="zh-CN"/>
                    </w:rPr>
                    <w:t>视</w:t>
                  </w:r>
                  <w:r>
                    <w:rPr>
                      <w:rFonts w:hint="default" w:ascii="Times New Roman" w:hAnsi="Times New Roman" w:cs="Times New Roman"/>
                      <w:color w:val="auto"/>
                      <w:sz w:val="18"/>
                      <w:szCs w:val="18"/>
                      <w:highlight w:val="none"/>
                      <w:lang w:val="en-US" w:eastAsia="zh-CN"/>
                    </w:rPr>
                    <w:t>为</w:t>
                  </w:r>
                  <w:r>
                    <w:rPr>
                      <w:rFonts w:hint="eastAsia" w:cs="Times New Roman"/>
                      <w:color w:val="auto"/>
                      <w:sz w:val="18"/>
                      <w:szCs w:val="18"/>
                      <w:highlight w:val="none"/>
                      <w:lang w:val="en-US" w:eastAsia="zh-CN"/>
                    </w:rPr>
                    <w:t>允许</w:t>
                  </w:r>
                  <w:r>
                    <w:rPr>
                      <w:rFonts w:hint="default" w:ascii="Times New Roman" w:hAnsi="Times New Roman" w:cs="Times New Roman"/>
                      <w:color w:val="auto"/>
                      <w:sz w:val="18"/>
                      <w:szCs w:val="18"/>
                      <w:highlight w:val="none"/>
                      <w:lang w:val="en-US" w:eastAsia="zh-CN"/>
                    </w:rPr>
                    <w:t>类项目，符合国家现行的产业政策</w:t>
                  </w:r>
                  <w:r>
                    <w:rPr>
                      <w:rFonts w:hint="eastAsia" w:cs="Times New Roman"/>
                      <w:color w:val="auto"/>
                      <w:sz w:val="18"/>
                      <w:szCs w:val="18"/>
                      <w:highlight w:val="none"/>
                      <w:lang w:val="en-US" w:eastAsia="zh-CN"/>
                    </w:rPr>
                    <w:t>，且本项目已于</w:t>
                  </w:r>
                  <w:r>
                    <w:rPr>
                      <w:rFonts w:hint="eastAsia" w:ascii="Times New Roman" w:hAnsi="Times New Roman" w:cs="Times New Roman"/>
                      <w:color w:val="auto"/>
                      <w:spacing w:val="0"/>
                      <w:w w:val="95"/>
                      <w:kern w:val="0"/>
                      <w:sz w:val="18"/>
                      <w:szCs w:val="18"/>
                      <w:highlight w:val="none"/>
                      <w:fitText w:val="342" w:id="1351433448"/>
                      <w:lang w:val="en-US" w:eastAsia="zh-CN"/>
                    </w:rPr>
                    <w:t>2025</w:t>
                  </w:r>
                  <w:r>
                    <w:rPr>
                      <w:rFonts w:hint="eastAsia" w:cs="Times New Roman"/>
                      <w:color w:val="auto"/>
                      <w:sz w:val="18"/>
                      <w:szCs w:val="18"/>
                      <w:highlight w:val="none"/>
                      <w:lang w:val="en-US" w:eastAsia="zh-CN"/>
                    </w:rPr>
                    <w:t>年11月19日取得了易门县发展和改革局下发的《云南省固定资产投资项目备案证》，项目代码为：2511-530425-04-02-147574，允许项目建设</w:t>
                  </w:r>
                  <w:r>
                    <w:rPr>
                      <w:rFonts w:hint="default" w:ascii="Times New Roman" w:hAnsi="Times New Roman" w:cs="Times New Roman"/>
                      <w:color w:val="auto"/>
                      <w:sz w:val="18"/>
                      <w:szCs w:val="18"/>
                      <w:highlight w:val="none"/>
                      <w:lang w:val="en-US" w:eastAsia="zh-CN"/>
                    </w:rPr>
                    <w:t>；项目不属于</w:t>
                  </w:r>
                  <w:r>
                    <w:rPr>
                      <w:rFonts w:hint="eastAsia" w:cs="Times New Roman"/>
                      <w:color w:val="auto"/>
                      <w:sz w:val="18"/>
                      <w:szCs w:val="18"/>
                      <w:highlight w:val="none"/>
                      <w:lang w:val="en-US" w:eastAsia="zh-CN"/>
                    </w:rPr>
                    <w:t>高耗能、高排放项目</w:t>
                  </w:r>
                  <w:r>
                    <w:rPr>
                      <w:rFonts w:hint="default" w:ascii="Times New Roman" w:hAnsi="Times New Roman" w:cs="Times New Roman"/>
                      <w:color w:val="auto"/>
                      <w:sz w:val="18"/>
                      <w:szCs w:val="18"/>
                      <w:highlight w:val="none"/>
                      <w:lang w:val="en-US" w:eastAsia="zh-CN"/>
                    </w:rPr>
                    <w:t>；</w:t>
                  </w:r>
                  <w:r>
                    <w:rPr>
                      <w:rFonts w:hint="eastAsia" w:cs="Times New Roman"/>
                      <w:color w:val="auto"/>
                      <w:sz w:val="18"/>
                      <w:szCs w:val="18"/>
                      <w:highlight w:val="none"/>
                      <w:lang w:val="en-US" w:eastAsia="zh-CN"/>
                    </w:rPr>
                    <w:t>不属于</w:t>
                  </w:r>
                  <w:r>
                    <w:rPr>
                      <w:color w:val="auto"/>
                      <w:highlight w:val="none"/>
                    </w:rPr>
                    <w:t>钢铁、水泥、平板玻璃、电解铝等行业</w:t>
                  </w:r>
                  <w:r>
                    <w:rPr>
                      <w:rFonts w:hint="eastAsia"/>
                      <w:color w:val="auto"/>
                      <w:highlight w:val="none"/>
                      <w:lang w:eastAsia="zh-CN"/>
                    </w:rPr>
                    <w:t>；</w:t>
                  </w:r>
                </w:p>
                <w:p>
                  <w:pPr>
                    <w:pStyle w:val="34"/>
                    <w:bidi w:val="0"/>
                    <w:jc w:val="both"/>
                    <w:rPr>
                      <w:rFonts w:hint="eastAsia"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w:t>
                  </w:r>
                  <w:r>
                    <w:rPr>
                      <w:rFonts w:hint="eastAsia" w:cs="Times New Roman"/>
                      <w:color w:val="auto"/>
                      <w:sz w:val="18"/>
                      <w:szCs w:val="18"/>
                      <w:highlight w:val="none"/>
                      <w:lang w:val="en-US" w:eastAsia="zh-CN"/>
                    </w:rPr>
                    <w:t>本</w:t>
                  </w:r>
                  <w:r>
                    <w:rPr>
                      <w:rFonts w:hint="eastAsia" w:ascii="宋体" w:hAnsi="宋体" w:eastAsia="宋体" w:cs="宋体"/>
                      <w:color w:val="auto"/>
                      <w:highlight w:val="none"/>
                      <w:lang w:val="en-US" w:eastAsia="zh-CN"/>
                    </w:rPr>
                    <w:t>项目</w:t>
                  </w:r>
                  <w:r>
                    <w:rPr>
                      <w:rFonts w:hint="eastAsia" w:ascii="宋体" w:hAnsi="宋体" w:eastAsia="宋体" w:cs="宋体"/>
                      <w:color w:val="auto"/>
                      <w:highlight w:val="none"/>
                    </w:rPr>
                    <w:t>位于</w:t>
                  </w:r>
                  <w:r>
                    <w:rPr>
                      <w:rFonts w:hint="eastAsia"/>
                      <w:color w:val="auto"/>
                      <w:highlight w:val="none"/>
                      <w:lang w:val="en-US" w:eastAsia="zh-CN"/>
                    </w:rPr>
                    <w:t>云南易门产业园区大椿树片区，</w:t>
                  </w:r>
                  <w:r>
                    <w:rPr>
                      <w:rFonts w:hint="eastAsia" w:ascii="宋体" w:hAnsi="宋体" w:cs="宋体"/>
                      <w:color w:val="auto"/>
                      <w:highlight w:val="none"/>
                      <w:lang w:val="en-US" w:eastAsia="zh-CN"/>
                    </w:rPr>
                    <w:t>不涉及</w:t>
                  </w:r>
                  <w:r>
                    <w:rPr>
                      <w:color w:val="auto"/>
                      <w:highlight w:val="none"/>
                    </w:rPr>
                    <w:t>九大高原湖泊（抚仙湖、星云湖、杞麓湖）</w:t>
                  </w:r>
                  <w:r>
                    <w:rPr>
                      <w:rFonts w:hint="eastAsia" w:ascii="宋体" w:hAnsi="宋体" w:eastAsia="宋体" w:cs="宋体"/>
                      <w:color w:val="auto"/>
                      <w:highlight w:val="none"/>
                    </w:rPr>
                    <w:t>“两线三区”</w:t>
                  </w:r>
                  <w:r>
                    <w:rPr>
                      <w:rFonts w:hint="eastAsia" w:ascii="宋体" w:hAnsi="宋体" w:eastAsia="宋体" w:cs="宋体"/>
                      <w:color w:val="auto"/>
                      <w:highlight w:val="none"/>
                      <w:lang w:val="en-US" w:eastAsia="zh-CN"/>
                    </w:rPr>
                    <w:t>范围</w:t>
                  </w:r>
                  <w:r>
                    <w:rPr>
                      <w:rFonts w:hint="default" w:ascii="Times New Roman" w:hAnsi="Times New Roman" w:cs="Times New Roman"/>
                      <w:color w:val="auto"/>
                      <w:sz w:val="18"/>
                      <w:szCs w:val="18"/>
                      <w:highlight w:val="none"/>
                      <w:lang w:val="en-US" w:eastAsia="zh-CN"/>
                    </w:rPr>
                    <w:t>；</w:t>
                  </w:r>
                  <w:r>
                    <w:rPr>
                      <w:rFonts w:hint="eastAsia" w:cs="Times New Roman"/>
                      <w:color w:val="auto"/>
                      <w:sz w:val="18"/>
                      <w:szCs w:val="18"/>
                      <w:highlight w:val="none"/>
                      <w:lang w:val="en-US" w:eastAsia="zh-CN"/>
                    </w:rPr>
                    <w:t>不属于</w:t>
                  </w:r>
                  <w:r>
                    <w:rPr>
                      <w:color w:val="auto"/>
                      <w:highlight w:val="none"/>
                    </w:rPr>
                    <w:t>落后和过剩产能</w:t>
                  </w:r>
                  <w:r>
                    <w:rPr>
                      <w:rFonts w:hint="eastAsia"/>
                      <w:color w:val="auto"/>
                      <w:highlight w:val="none"/>
                      <w:lang w:val="en-US" w:eastAsia="zh-CN"/>
                    </w:rPr>
                    <w:t>项目；</w:t>
                  </w:r>
                </w:p>
                <w:p>
                  <w:pPr>
                    <w:pStyle w:val="34"/>
                    <w:bidi w:val="0"/>
                    <w:jc w:val="both"/>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3、本项目为</w:t>
                  </w:r>
                  <w:r>
                    <w:rPr>
                      <w:rFonts w:hint="eastAsia"/>
                      <w:color w:val="auto"/>
                      <w:highlight w:val="none"/>
                      <w:lang w:val="en-US" w:eastAsia="zh-CN"/>
                    </w:rPr>
                    <w:t>制氧系统技术改造节能项目，属于易门铜业有限公司铜冶炼配套公用工程，</w:t>
                  </w:r>
                  <w:r>
                    <w:rPr>
                      <w:rFonts w:hint="default" w:ascii="Times New Roman" w:hAnsi="Times New Roman" w:cs="Times New Roman"/>
                      <w:color w:val="auto"/>
                      <w:sz w:val="18"/>
                      <w:szCs w:val="18"/>
                      <w:highlight w:val="none"/>
                      <w:lang w:val="en-US" w:eastAsia="zh-CN"/>
                    </w:rPr>
                    <w:t>不属于</w:t>
                  </w:r>
                  <w:r>
                    <w:rPr>
                      <w:color w:val="auto"/>
                      <w:highlight w:val="none"/>
                    </w:rPr>
                    <w:t>钢铁、石化、化工、焦化、建材、有色、制浆造纸行业</w:t>
                  </w:r>
                  <w:r>
                    <w:rPr>
                      <w:rFonts w:hint="default" w:ascii="Times New Roman" w:hAnsi="Times New Roman" w:cs="Times New Roman"/>
                      <w:color w:val="auto"/>
                      <w:sz w:val="18"/>
                      <w:szCs w:val="18"/>
                      <w:highlight w:val="none"/>
                      <w:lang w:val="en-US" w:eastAsia="zh-CN"/>
                    </w:rPr>
                    <w:t>；</w:t>
                  </w:r>
                  <w:r>
                    <w:rPr>
                      <w:rFonts w:hint="eastAsia" w:cs="Times New Roman"/>
                      <w:color w:val="auto"/>
                      <w:sz w:val="18"/>
                      <w:szCs w:val="18"/>
                      <w:highlight w:val="none"/>
                      <w:lang w:val="en-US" w:eastAsia="zh-CN"/>
                    </w:rPr>
                    <w:t>不属于“两高”项目；</w:t>
                  </w:r>
                </w:p>
                <w:p>
                  <w:pPr>
                    <w:pStyle w:val="34"/>
                    <w:bidi w:val="0"/>
                    <w:jc w:val="both"/>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w:t>
                  </w:r>
                  <w:r>
                    <w:rPr>
                      <w:rFonts w:hint="eastAsia" w:cs="Times New Roman"/>
                      <w:color w:val="auto"/>
                      <w:sz w:val="18"/>
                      <w:szCs w:val="18"/>
                      <w:highlight w:val="none"/>
                      <w:lang w:val="en-US" w:eastAsia="zh-CN"/>
                    </w:rPr>
                    <w:t>本</w:t>
                  </w:r>
                  <w:r>
                    <w:rPr>
                      <w:rFonts w:hint="eastAsia" w:ascii="宋体" w:hAnsi="宋体" w:eastAsia="宋体" w:cs="宋体"/>
                      <w:color w:val="auto"/>
                      <w:highlight w:val="none"/>
                      <w:lang w:val="en-US" w:eastAsia="zh-CN"/>
                    </w:rPr>
                    <w:t>项目</w:t>
                  </w:r>
                  <w:r>
                    <w:rPr>
                      <w:rFonts w:hint="eastAsia" w:ascii="宋体" w:hAnsi="宋体" w:eastAsia="宋体" w:cs="宋体"/>
                      <w:color w:val="auto"/>
                      <w:highlight w:val="none"/>
                    </w:rPr>
                    <w:t>位于</w:t>
                  </w:r>
                  <w:r>
                    <w:rPr>
                      <w:rFonts w:hint="eastAsia"/>
                      <w:color w:val="auto"/>
                      <w:highlight w:val="none"/>
                      <w:lang w:val="en-US" w:eastAsia="zh-CN"/>
                    </w:rPr>
                    <w:t>云南易门产业园区大椿树片区，</w:t>
                  </w:r>
                  <w:r>
                    <w:rPr>
                      <w:rFonts w:hint="eastAsia" w:ascii="宋体" w:hAnsi="宋体" w:cs="宋体"/>
                      <w:color w:val="auto"/>
                      <w:highlight w:val="none"/>
                      <w:lang w:val="en-US" w:eastAsia="zh-CN"/>
                    </w:rPr>
                    <w:t>不涉及</w:t>
                  </w:r>
                  <w:r>
                    <w:rPr>
                      <w:color w:val="auto"/>
                      <w:highlight w:val="none"/>
                    </w:rPr>
                    <w:t>九大高原湖泊（抚仙湖、星云湖、杞麓湖）</w:t>
                  </w:r>
                  <w:r>
                    <w:rPr>
                      <w:rFonts w:hint="eastAsia" w:ascii="宋体" w:hAnsi="宋体" w:cs="宋体"/>
                      <w:color w:val="auto"/>
                      <w:highlight w:val="none"/>
                      <w:lang w:val="en-US" w:eastAsia="zh-CN"/>
                    </w:rPr>
                    <w:t>流域</w:t>
                  </w:r>
                  <w:r>
                    <w:rPr>
                      <w:rFonts w:hint="default" w:ascii="Times New Roman" w:hAnsi="Times New Roman" w:cs="Times New Roman"/>
                      <w:color w:val="auto"/>
                      <w:sz w:val="18"/>
                      <w:szCs w:val="18"/>
                      <w:highlight w:val="none"/>
                      <w:lang w:val="en-US" w:eastAsia="zh-CN"/>
                    </w:rPr>
                    <w:t>；</w:t>
                  </w:r>
                </w:p>
                <w:p>
                  <w:pPr>
                    <w:pStyle w:val="34"/>
                    <w:bidi w:val="0"/>
                    <w:jc w:val="both"/>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5</w:t>
                  </w:r>
                  <w:r>
                    <w:rPr>
                      <w:rFonts w:hint="default" w:ascii="Times New Roman" w:hAnsi="Times New Roman" w:cs="Times New Roman"/>
                      <w:color w:val="auto"/>
                      <w:sz w:val="18"/>
                      <w:szCs w:val="18"/>
                      <w:highlight w:val="none"/>
                      <w:lang w:val="en-US" w:eastAsia="zh-CN"/>
                    </w:rPr>
                    <w:t>、本项目为</w:t>
                  </w:r>
                  <w:r>
                    <w:rPr>
                      <w:rFonts w:hint="eastAsia"/>
                      <w:color w:val="auto"/>
                      <w:highlight w:val="none"/>
                      <w:lang w:val="en-US" w:eastAsia="zh-CN"/>
                    </w:rPr>
                    <w:t>制氧系统技术改造节能项目，属于易门铜业有限公司铜冶炼配套公用工程，</w:t>
                  </w:r>
                  <w:r>
                    <w:rPr>
                      <w:rFonts w:hint="default" w:ascii="Times New Roman" w:hAnsi="Times New Roman" w:cs="Times New Roman"/>
                      <w:color w:val="auto"/>
                      <w:sz w:val="18"/>
                      <w:szCs w:val="18"/>
                      <w:highlight w:val="none"/>
                      <w:lang w:val="en-US" w:eastAsia="zh-CN"/>
                    </w:rPr>
                    <w:t>项目将严格落实云南省碳达峰碳中和相关要求。</w:t>
                  </w:r>
                </w:p>
              </w:tc>
              <w:tc>
                <w:tcPr>
                  <w:tcW w:w="432" w:type="pct"/>
                  <w:tcBorders>
                    <w:tl2br w:val="nil"/>
                    <w:tr2bl w:val="nil"/>
                  </w:tcBorders>
                  <w:vAlign w:val="center"/>
                </w:tcPr>
                <w:p>
                  <w:pPr>
                    <w:pStyle w:val="34"/>
                    <w:bidi w:val="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vMerge w:val="continue"/>
                  <w:tcBorders>
                    <w:tl2br w:val="nil"/>
                    <w:tr2bl w:val="nil"/>
                  </w:tcBorders>
                  <w:vAlign w:val="center"/>
                </w:tcPr>
                <w:p>
                  <w:pPr>
                    <w:pStyle w:val="34"/>
                    <w:bidi w:val="0"/>
                    <w:jc w:val="center"/>
                    <w:rPr>
                      <w:rFonts w:hint="default" w:ascii="Times New Roman" w:hAnsi="Times New Roman" w:cs="Times New Roman"/>
                      <w:color w:val="auto"/>
                      <w:sz w:val="18"/>
                      <w:szCs w:val="18"/>
                      <w:highlight w:val="none"/>
                      <w:lang w:val="en-US" w:eastAsia="zh-CN"/>
                    </w:rPr>
                  </w:pPr>
                </w:p>
              </w:tc>
              <w:tc>
                <w:tcPr>
                  <w:tcW w:w="407" w:type="pct"/>
                  <w:tcBorders>
                    <w:tl2br w:val="nil"/>
                    <w:tr2bl w:val="nil"/>
                  </w:tcBorders>
                  <w:vAlign w:val="center"/>
                </w:tcPr>
                <w:p>
                  <w:pPr>
                    <w:pStyle w:val="34"/>
                    <w:bidi w:val="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污染物排放管控</w:t>
                  </w:r>
                </w:p>
              </w:tc>
              <w:tc>
                <w:tcPr>
                  <w:tcW w:w="2225" w:type="pct"/>
                  <w:tcBorders>
                    <w:tl2br w:val="nil"/>
                    <w:tr2bl w:val="nil"/>
                  </w:tcBorders>
                  <w:vAlign w:val="center"/>
                </w:tcPr>
                <w:p>
                  <w:pPr>
                    <w:pStyle w:val="34"/>
                    <w:bidi w:val="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1</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严格落实强制性清洁生产审核要求，引导重点行业实施清洁生产改造，到2025年底，重点行业企业基本达到国内清洁生产先进水平。</w:t>
                  </w:r>
                  <w:r>
                    <w:rPr>
                      <w:rFonts w:hint="default" w:ascii="Times New Roman" w:hAnsi="Times New Roman" w:eastAsia="宋体" w:cs="Times New Roman"/>
                      <w:color w:val="auto"/>
                      <w:highlight w:val="none"/>
                    </w:rPr>
                    <w:br w:type="textWrapping"/>
                  </w:r>
                  <w:r>
                    <w:rPr>
                      <w:rFonts w:hint="default" w:ascii="Times New Roman" w:hAnsi="Times New Roman" w:eastAsia="宋体" w:cs="Times New Roman"/>
                      <w:color w:val="auto"/>
                      <w:highlight w:val="none"/>
                    </w:rPr>
                    <w:t>2.</w:t>
                  </w:r>
                  <w:r>
                    <w:rPr>
                      <w:rFonts w:hint="eastAsia" w:ascii="宋体" w:hAnsi="宋体" w:eastAsia="宋体" w:cs="宋体"/>
                      <w:color w:val="auto"/>
                      <w:highlight w:val="none"/>
                    </w:rPr>
                    <w:t>加大“三湖”（抚仙湖、星云湖、杞麓湖）及“两江”（南盘江干流、红河水系玉溪段）流域的保护和治理，推进流域环湖截污治污，加强湖泊内源污染风险防范，开展污水处理提质增效、农业面源污染治理、入河排污口整治、开发区污染治理、“三磷”和重金属行业排查等专项行动，建立水环境质量管理长效机制，持续巩固治理成效。持续打好城市黑臭水体治理攻坚战，有效控制入河污染物排放，强化溯源整治，推进城镇污水管网全覆盖。</w:t>
                  </w:r>
                  <w:r>
                    <w:rPr>
                      <w:rFonts w:hint="eastAsia" w:ascii="宋体" w:hAnsi="宋体" w:eastAsia="宋体" w:cs="宋体"/>
                      <w:color w:val="auto"/>
                      <w:highlight w:val="none"/>
                    </w:rPr>
                    <w:br w:type="textWrapping"/>
                  </w:r>
                  <w:r>
                    <w:rPr>
                      <w:rFonts w:hint="default" w:ascii="Times New Roman" w:hAnsi="Times New Roman" w:eastAsia="宋体" w:cs="Times New Roman"/>
                      <w:color w:val="auto"/>
                      <w:highlight w:val="none"/>
                    </w:rPr>
                    <w:t>3.严格保护城乡饮用水水源地，整治饮用水水源保护区内的污染源，确保饮水安全。</w:t>
                  </w:r>
                  <w:r>
                    <w:rPr>
                      <w:rFonts w:hint="default" w:ascii="Times New Roman" w:hAnsi="Times New Roman" w:eastAsia="宋体" w:cs="Times New Roman"/>
                      <w:color w:val="auto"/>
                      <w:highlight w:val="none"/>
                    </w:rPr>
                    <w:br w:type="textWrapping"/>
                  </w:r>
                  <w:r>
                    <w:rPr>
                      <w:rFonts w:hint="default" w:ascii="Times New Roman" w:hAnsi="Times New Roman" w:eastAsia="宋体" w:cs="Times New Roman"/>
                      <w:color w:val="auto"/>
                      <w:highlight w:val="none"/>
                    </w:rPr>
                    <w:t>4.开展细颗粒物和臭氧协同控制、挥发性有机物和氮氧化物协同减排。石化、化工、包装印刷、工业涂装等VOC</w:t>
                  </w:r>
                  <w:r>
                    <w:rPr>
                      <w:rFonts w:hint="eastAsia" w:ascii="Times New Roman" w:hAnsi="Times New Roman" w:eastAsia="宋体" w:cs="Times New Roman"/>
                      <w:color w:val="auto"/>
                      <w:highlight w:val="none"/>
                      <w:vertAlign w:val="baseline"/>
                      <w:lang w:val="en-US" w:eastAsia="zh-CN"/>
                    </w:rPr>
                    <w:t>s</w:t>
                  </w:r>
                  <w:r>
                    <w:rPr>
                      <w:rFonts w:hint="default" w:ascii="Times New Roman" w:hAnsi="Times New Roman" w:eastAsia="宋体" w:cs="Times New Roman"/>
                      <w:color w:val="auto"/>
                      <w:highlight w:val="none"/>
                    </w:rPr>
                    <w:t>排放重点源，纳入重点排污单位名录，推进挥发性有机物综合治理，实施原辅材料和产品源头替代工程，排污口安装自动监控设施。推进运输结构调整，开展清洁柴油车（机）、清洁油品、车用尿素等专项行动，开展建筑施工工地扬尘专项治理；加大餐饮油烟污染、恶臭异味治理力度，强化秸秆综合利用和禁烧管控。推动有色金属、钢铁、磷化工、建材等重点行业节能降碳升级改造，淘汰落后工艺技术和生产装置，实施煤电、水泥、焦化企业超低排放改造，到2025年，钢铁行业全面完成超低排放改造。</w:t>
                  </w:r>
                  <w:r>
                    <w:rPr>
                      <w:rFonts w:hint="default" w:ascii="Times New Roman" w:hAnsi="Times New Roman" w:eastAsia="宋体" w:cs="Times New Roman"/>
                      <w:color w:val="auto"/>
                      <w:highlight w:val="none"/>
                    </w:rPr>
                    <w:br w:type="textWrapping"/>
                  </w:r>
                  <w:r>
                    <w:rPr>
                      <w:rFonts w:hint="default" w:ascii="Times New Roman" w:hAnsi="Times New Roman" w:eastAsia="宋体" w:cs="Times New Roman"/>
                      <w:color w:val="auto"/>
                      <w:highlight w:val="none"/>
                    </w:rPr>
                    <w:t>5.加大环境污染物减排力度，到2025年，实现氮氧化物减排1224吨，挥发性有机物减排1393吨，化学需氧量减排2461吨，氨氮减排230吨。</w:t>
                  </w:r>
                  <w:r>
                    <w:rPr>
                      <w:rFonts w:hint="default" w:ascii="Times New Roman" w:hAnsi="Times New Roman" w:eastAsia="宋体" w:cs="Times New Roman"/>
                      <w:color w:val="auto"/>
                      <w:highlight w:val="none"/>
                    </w:rPr>
                    <w:br w:type="textWrapping"/>
                  </w:r>
                  <w:r>
                    <w:rPr>
                      <w:rFonts w:hint="default" w:ascii="Times New Roman" w:hAnsi="Times New Roman" w:eastAsia="宋体" w:cs="Times New Roman"/>
                      <w:color w:val="auto"/>
                      <w:highlight w:val="none"/>
                    </w:rPr>
                    <w:t>6.严格管控农用地，不得在特定农产品禁止生产区域种植食用农产品；安全利用农用地，制定受污染耕地安全利用方案，降低农产品超标风险。合理规划污染地块土地用途，从严管控农药、化工、有色金属等行业企业重度污染地块开发利用，对列入建设用地土壤污染风险管控和修复名录的地块不得作为住宅、公共管理与公共服务用地，不得办理土地征收、收回、收购、土地供应以及改变土地用途等手续，应当依法开展土壤污染状况调查、治理与修复，并符合相应规划用地土壤环境质量要求后，方可进入用地程序。</w:t>
                  </w:r>
                  <w:r>
                    <w:rPr>
                      <w:rFonts w:hint="default" w:ascii="Times New Roman" w:hAnsi="Times New Roman" w:eastAsia="宋体" w:cs="Times New Roman"/>
                      <w:color w:val="auto"/>
                      <w:highlight w:val="none"/>
                    </w:rPr>
                    <w:br w:type="textWrapping"/>
                  </w:r>
                  <w:r>
                    <w:rPr>
                      <w:rFonts w:hint="default" w:ascii="Times New Roman" w:hAnsi="Times New Roman" w:eastAsia="宋体" w:cs="Times New Roman"/>
                      <w:color w:val="auto"/>
                      <w:highlight w:val="none"/>
                    </w:rPr>
                    <w:t>7.</w:t>
                  </w:r>
                  <w:r>
                    <w:rPr>
                      <w:rFonts w:hint="eastAsia" w:ascii="宋体" w:hAnsi="宋体" w:eastAsia="宋体" w:cs="宋体"/>
                      <w:color w:val="auto"/>
                      <w:highlight w:val="none"/>
                    </w:rPr>
                    <w:t>加快“无废城市”建设，产生工业固体废物的单位应当建立健全工业固体废物产生、收集、贮存、运输、利用、处置全过程的污染环境防治责任制度，按照国家有关规定建立工业固体废物管理台账，加强重金属污染物排放管理，落实区域“减量替代”和“等量替代”要</w:t>
                  </w:r>
                  <w:r>
                    <w:rPr>
                      <w:rFonts w:hint="default" w:ascii="Times New Roman" w:hAnsi="Times New Roman" w:eastAsia="宋体" w:cs="Times New Roman"/>
                      <w:color w:val="auto"/>
                      <w:highlight w:val="none"/>
                    </w:rPr>
                    <w:t>求，重金属污染物排放量2025年比2020年削减4%。</w:t>
                  </w:r>
                  <w:r>
                    <w:rPr>
                      <w:rFonts w:hint="default" w:ascii="Times New Roman" w:hAnsi="Times New Roman" w:eastAsia="宋体" w:cs="Times New Roman"/>
                      <w:color w:val="auto"/>
                      <w:highlight w:val="none"/>
                    </w:rPr>
                    <w:br w:type="textWrapping"/>
                  </w:r>
                  <w:r>
                    <w:rPr>
                      <w:rFonts w:hint="default" w:ascii="Times New Roman" w:hAnsi="Times New Roman" w:eastAsia="宋体" w:cs="Times New Roman"/>
                      <w:color w:val="auto"/>
                      <w:highlight w:val="none"/>
                    </w:rPr>
                    <w:t>8.到2025年，中心城区细颗粒物（PM</w:t>
                  </w:r>
                  <w:r>
                    <w:rPr>
                      <w:rFonts w:hint="default" w:ascii="Times New Roman" w:hAnsi="Times New Roman" w:eastAsia="宋体" w:cs="Times New Roman"/>
                      <w:color w:val="auto"/>
                      <w:highlight w:val="none"/>
                      <w:vertAlign w:val="subscript"/>
                    </w:rPr>
                    <w:t>2.5</w:t>
                  </w:r>
                  <w:r>
                    <w:rPr>
                      <w:rFonts w:hint="default" w:ascii="Times New Roman" w:hAnsi="Times New Roman" w:eastAsia="宋体" w:cs="Times New Roman"/>
                      <w:color w:val="auto"/>
                      <w:highlight w:val="none"/>
                    </w:rPr>
                    <w:t>）平均浓度控制在21微克/立方米以内，城市空气质量优良天数比率达到98.5%以上，坚决防范重度及以上污染天气发生，全市地表水国控断面优良水体比例达80%，消除城市黑臭水体，消除劣Ⅴ类水体。</w:t>
                  </w:r>
                </w:p>
              </w:tc>
              <w:tc>
                <w:tcPr>
                  <w:tcW w:w="1498" w:type="pct"/>
                  <w:tcBorders>
                    <w:tl2br w:val="nil"/>
                    <w:tr2bl w:val="nil"/>
                  </w:tcBorders>
                  <w:vAlign w:val="top"/>
                </w:tcPr>
                <w:p>
                  <w:pPr>
                    <w:pStyle w:val="34"/>
                    <w:bidi w:val="0"/>
                    <w:jc w:val="both"/>
                    <w:rPr>
                      <w:rFonts w:hint="default"/>
                      <w:color w:val="auto"/>
                      <w:highlight w:val="none"/>
                    </w:rPr>
                  </w:pPr>
                  <w:r>
                    <w:rPr>
                      <w:rFonts w:hint="default"/>
                      <w:color w:val="auto"/>
                      <w:highlight w:val="none"/>
                    </w:rPr>
                    <w:t>1、本项目不属于重点行业；</w:t>
                  </w:r>
                </w:p>
                <w:p>
                  <w:pPr>
                    <w:pStyle w:val="34"/>
                    <w:bidi w:val="0"/>
                    <w:jc w:val="both"/>
                    <w:rPr>
                      <w:rFonts w:hint="default"/>
                      <w:color w:val="auto"/>
                      <w:highlight w:val="none"/>
                      <w:lang w:val="en-US" w:eastAsia="zh-CN"/>
                    </w:rPr>
                  </w:pPr>
                  <w:r>
                    <w:rPr>
                      <w:rFonts w:hint="default"/>
                      <w:color w:val="auto"/>
                      <w:highlight w:val="none"/>
                    </w:rPr>
                    <w:t>2、</w:t>
                  </w:r>
                  <w:r>
                    <w:rPr>
                      <w:rFonts w:hint="eastAsia"/>
                      <w:color w:val="auto"/>
                      <w:highlight w:val="none"/>
                      <w:lang w:val="en-US" w:eastAsia="zh-CN"/>
                    </w:rPr>
                    <w:t>本项目循环冷却水循环使用，循环冷却系统排污水经厂区已建生产废水深度水处理站处理达标后回用于易门铜业有限公司冶炼渣缓冷场，不外排；</w:t>
                  </w:r>
                </w:p>
                <w:p>
                  <w:pPr>
                    <w:pStyle w:val="34"/>
                    <w:bidi w:val="0"/>
                    <w:jc w:val="both"/>
                    <w:rPr>
                      <w:rFonts w:hint="eastAsia" w:eastAsia="宋体"/>
                      <w:color w:val="auto"/>
                      <w:highlight w:val="none"/>
                      <w:lang w:eastAsia="zh-CN"/>
                    </w:rPr>
                  </w:pPr>
                  <w:r>
                    <w:rPr>
                      <w:rFonts w:hint="default"/>
                      <w:color w:val="auto"/>
                      <w:highlight w:val="none"/>
                    </w:rPr>
                    <w:t>3、项目不涉及饮用水水源保护区</w:t>
                  </w:r>
                  <w:r>
                    <w:rPr>
                      <w:rFonts w:hint="eastAsia"/>
                      <w:color w:val="auto"/>
                      <w:highlight w:val="none"/>
                      <w:lang w:eastAsia="zh-CN"/>
                    </w:rPr>
                    <w:t>；</w:t>
                  </w:r>
                </w:p>
                <w:p>
                  <w:pPr>
                    <w:pStyle w:val="34"/>
                    <w:bidi w:val="0"/>
                    <w:jc w:val="both"/>
                    <w:rPr>
                      <w:rFonts w:hint="default" w:eastAsia="宋体"/>
                      <w:color w:val="auto"/>
                      <w:highlight w:val="none"/>
                      <w:lang w:val="en-US" w:eastAsia="zh-CN"/>
                    </w:rPr>
                  </w:pPr>
                  <w:r>
                    <w:rPr>
                      <w:rFonts w:hint="default"/>
                      <w:color w:val="auto"/>
                      <w:highlight w:val="none"/>
                    </w:rPr>
                    <w:t>4、</w:t>
                  </w:r>
                  <w:r>
                    <w:rPr>
                      <w:rFonts w:hint="eastAsia"/>
                      <w:color w:val="auto"/>
                      <w:highlight w:val="none"/>
                      <w:lang w:val="en-US" w:eastAsia="zh-CN"/>
                    </w:rPr>
                    <w:t>项目运营过程中无废气污染物产生；</w:t>
                  </w:r>
                </w:p>
                <w:p>
                  <w:pPr>
                    <w:pStyle w:val="34"/>
                    <w:bidi w:val="0"/>
                    <w:jc w:val="both"/>
                    <w:rPr>
                      <w:rFonts w:hint="default"/>
                      <w:color w:val="auto"/>
                      <w:highlight w:val="none"/>
                      <w:lang w:val="en-US" w:eastAsia="zh-CN"/>
                    </w:rPr>
                  </w:pPr>
                  <w:r>
                    <w:rPr>
                      <w:rFonts w:hint="eastAsia"/>
                      <w:color w:val="auto"/>
                      <w:highlight w:val="none"/>
                      <w:lang w:val="en-US" w:eastAsia="zh-CN"/>
                    </w:rPr>
                    <w:t>5、项目运营过程中无废气污染物产生；废水经处理达标后回用，不外排；</w:t>
                  </w:r>
                </w:p>
                <w:p>
                  <w:pPr>
                    <w:pStyle w:val="34"/>
                    <w:bidi w:val="0"/>
                    <w:jc w:val="both"/>
                    <w:rPr>
                      <w:rFonts w:hint="default"/>
                      <w:color w:val="auto"/>
                      <w:highlight w:val="none"/>
                    </w:rPr>
                  </w:pPr>
                  <w:r>
                    <w:rPr>
                      <w:rFonts w:hint="eastAsia"/>
                      <w:color w:val="auto"/>
                      <w:highlight w:val="none"/>
                      <w:lang w:val="en-US" w:eastAsia="zh-CN"/>
                    </w:rPr>
                    <w:t>6</w:t>
                  </w:r>
                  <w:r>
                    <w:rPr>
                      <w:rFonts w:hint="default"/>
                      <w:color w:val="auto"/>
                      <w:highlight w:val="none"/>
                    </w:rPr>
                    <w:t>、</w:t>
                  </w:r>
                  <w:r>
                    <w:rPr>
                      <w:rFonts w:hint="eastAsia"/>
                      <w:color w:val="auto"/>
                      <w:highlight w:val="none"/>
                      <w:lang w:val="en-US" w:eastAsia="zh-CN"/>
                    </w:rPr>
                    <w:t>本</w:t>
                  </w:r>
                  <w:r>
                    <w:rPr>
                      <w:rFonts w:hint="default"/>
                      <w:color w:val="auto"/>
                      <w:highlight w:val="none"/>
                    </w:rPr>
                    <w:t>项目</w:t>
                  </w:r>
                  <w:r>
                    <w:rPr>
                      <w:rFonts w:hint="eastAsia"/>
                      <w:color w:val="auto"/>
                      <w:highlight w:val="none"/>
                      <w:lang w:val="en-US" w:eastAsia="zh-CN"/>
                    </w:rPr>
                    <w:t>属于制氧系统技术改造节能项目，属于易门铜业有限公司铜冶炼配套公用工程，项目用地不涉及</w:t>
                  </w:r>
                  <w:r>
                    <w:rPr>
                      <w:rFonts w:hint="default" w:ascii="Times New Roman" w:hAnsi="Times New Roman" w:eastAsia="宋体" w:cs="Times New Roman"/>
                      <w:color w:val="auto"/>
                      <w:highlight w:val="none"/>
                    </w:rPr>
                    <w:t>种植食用农产品</w:t>
                  </w:r>
                  <w:r>
                    <w:rPr>
                      <w:rFonts w:hint="eastAsia" w:cs="Times New Roman"/>
                      <w:color w:val="auto"/>
                      <w:highlight w:val="none"/>
                      <w:lang w:eastAsia="zh-CN"/>
                    </w:rPr>
                    <w:t>；</w:t>
                  </w:r>
                  <w:r>
                    <w:rPr>
                      <w:rFonts w:hint="eastAsia" w:cs="Times New Roman"/>
                      <w:color w:val="auto"/>
                      <w:highlight w:val="none"/>
                      <w:lang w:val="en-US" w:eastAsia="zh-CN"/>
                    </w:rPr>
                    <w:t>不属于受污染地块</w:t>
                  </w:r>
                  <w:r>
                    <w:rPr>
                      <w:rFonts w:hint="eastAsia"/>
                      <w:color w:val="auto"/>
                      <w:highlight w:val="none"/>
                      <w:lang w:val="en-US" w:eastAsia="zh-CN"/>
                    </w:rPr>
                    <w:t>；</w:t>
                  </w:r>
                </w:p>
                <w:p>
                  <w:pPr>
                    <w:pStyle w:val="34"/>
                    <w:bidi w:val="0"/>
                    <w:jc w:val="both"/>
                    <w:rPr>
                      <w:rFonts w:hint="eastAsia"/>
                      <w:color w:val="auto"/>
                      <w:highlight w:val="none"/>
                      <w:lang w:val="en-US" w:eastAsia="zh-CN"/>
                    </w:rPr>
                  </w:pPr>
                  <w:r>
                    <w:rPr>
                      <w:rFonts w:hint="eastAsia"/>
                      <w:color w:val="auto"/>
                      <w:highlight w:val="none"/>
                      <w:lang w:val="en-US" w:eastAsia="zh-CN"/>
                    </w:rPr>
                    <w:t>7</w:t>
                  </w:r>
                  <w:r>
                    <w:rPr>
                      <w:rFonts w:hint="default"/>
                      <w:color w:val="auto"/>
                      <w:highlight w:val="none"/>
                    </w:rPr>
                    <w:t>、本项目</w:t>
                  </w:r>
                  <w:r>
                    <w:rPr>
                      <w:rFonts w:hint="eastAsia"/>
                      <w:color w:val="auto"/>
                      <w:highlight w:val="none"/>
                      <w:lang w:val="en-US" w:eastAsia="zh-CN"/>
                    </w:rPr>
                    <w:t>运营期产生的固体废物均得到合理处置，处置率100%；</w:t>
                  </w:r>
                </w:p>
                <w:p>
                  <w:pPr>
                    <w:pStyle w:val="34"/>
                    <w:bidi w:val="0"/>
                    <w:jc w:val="both"/>
                    <w:rPr>
                      <w:rFonts w:hint="default"/>
                      <w:color w:val="auto"/>
                      <w:highlight w:val="none"/>
                      <w:lang w:val="en-US" w:eastAsia="zh-CN"/>
                    </w:rPr>
                  </w:pPr>
                  <w:r>
                    <w:rPr>
                      <w:rFonts w:hint="eastAsia"/>
                      <w:color w:val="auto"/>
                      <w:highlight w:val="none"/>
                      <w:lang w:val="en-US" w:eastAsia="zh-CN"/>
                    </w:rPr>
                    <w:t>8、项目所在区域属于环境空气质量及地表水环境质量达标区，项目运营过程中无废气污染物产生；本项目循环冷却水循环使用，循环冷却系统排污水经厂区已建生产废水深度水处理站处理达标后回用于易门铜业有限公司冶炼渣缓冷场，不外排；固废得到合理处置，处置率100%。</w:t>
                  </w:r>
                </w:p>
              </w:tc>
              <w:tc>
                <w:tcPr>
                  <w:tcW w:w="432" w:type="pct"/>
                  <w:tcBorders>
                    <w:tl2br w:val="nil"/>
                    <w:tr2bl w:val="nil"/>
                  </w:tcBorders>
                  <w:vAlign w:val="center"/>
                </w:tcPr>
                <w:p>
                  <w:pPr>
                    <w:pStyle w:val="34"/>
                    <w:bidi w:val="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vMerge w:val="continue"/>
                  <w:tcBorders>
                    <w:tl2br w:val="nil"/>
                    <w:tr2bl w:val="nil"/>
                  </w:tcBorders>
                  <w:vAlign w:val="center"/>
                </w:tcPr>
                <w:p>
                  <w:pPr>
                    <w:pStyle w:val="34"/>
                    <w:bidi w:val="0"/>
                    <w:jc w:val="center"/>
                    <w:rPr>
                      <w:rFonts w:hint="default" w:ascii="Times New Roman" w:hAnsi="Times New Roman" w:cs="Times New Roman"/>
                      <w:color w:val="auto"/>
                      <w:sz w:val="18"/>
                      <w:szCs w:val="18"/>
                      <w:highlight w:val="none"/>
                      <w:lang w:val="en-US" w:eastAsia="zh-CN"/>
                    </w:rPr>
                  </w:pPr>
                </w:p>
              </w:tc>
              <w:tc>
                <w:tcPr>
                  <w:tcW w:w="407" w:type="pct"/>
                  <w:tcBorders>
                    <w:tl2br w:val="nil"/>
                    <w:tr2bl w:val="nil"/>
                  </w:tcBorders>
                  <w:vAlign w:val="center"/>
                </w:tcPr>
                <w:p>
                  <w:pPr>
                    <w:pStyle w:val="34"/>
                    <w:bidi w:val="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环境风险防控</w:t>
                  </w:r>
                </w:p>
              </w:tc>
              <w:tc>
                <w:tcPr>
                  <w:tcW w:w="2225" w:type="pct"/>
                  <w:tcBorders>
                    <w:tl2br w:val="nil"/>
                    <w:tr2bl w:val="nil"/>
                  </w:tcBorders>
                  <w:vAlign w:val="center"/>
                </w:tcPr>
                <w:p>
                  <w:pPr>
                    <w:pStyle w:val="34"/>
                    <w:bidi w:val="0"/>
                    <w:jc w:val="both"/>
                    <w:rPr>
                      <w:rFonts w:hint="default"/>
                      <w:color w:val="auto"/>
                      <w:highlight w:val="none"/>
                      <w:lang w:val="en-US" w:eastAsia="zh-CN"/>
                    </w:rPr>
                  </w:pPr>
                  <w:r>
                    <w:rPr>
                      <w:rFonts w:hint="default"/>
                      <w:color w:val="auto"/>
                      <w:highlight w:val="none"/>
                      <w:lang w:val="en-US" w:eastAsia="zh-CN"/>
                    </w:rPr>
                    <w:t>1.强化与其他滇中城市的大气、水污染防治联防联控协作机制，加强区域内重污染天气和跨界水体风险应急联动。</w:t>
                  </w:r>
                  <w:r>
                    <w:rPr>
                      <w:rFonts w:hint="default"/>
                      <w:color w:val="auto"/>
                      <w:highlight w:val="none"/>
                      <w:lang w:val="en-US" w:eastAsia="zh-CN"/>
                    </w:rPr>
                    <w:br w:type="textWrapping"/>
                  </w:r>
                  <w:r>
                    <w:rPr>
                      <w:rFonts w:hint="default"/>
                      <w:color w:val="auto"/>
                      <w:highlight w:val="none"/>
                      <w:lang w:val="en-US" w:eastAsia="zh-CN"/>
                    </w:rPr>
                    <w:t>2.开展涉危险废物涉重金属企业、化工园区等重点领域环境风险调查评估，加强危险化学品运输全链条安全监管。完善环境应急管理体系，提升市县两级环境应急响应能力，推进应急物资库建设。开展涉铊企业排查整治行动。建立“平战结合”医疗废物应急处置体系。</w:t>
                  </w:r>
                </w:p>
              </w:tc>
              <w:tc>
                <w:tcPr>
                  <w:tcW w:w="1498" w:type="pct"/>
                  <w:tcBorders>
                    <w:tl2br w:val="nil"/>
                    <w:tr2bl w:val="nil"/>
                  </w:tcBorders>
                  <w:vAlign w:val="center"/>
                </w:tcPr>
                <w:p>
                  <w:pPr>
                    <w:pStyle w:val="34"/>
                    <w:bidi w:val="0"/>
                    <w:jc w:val="left"/>
                    <w:rPr>
                      <w:rFonts w:hint="eastAsia"/>
                      <w:color w:val="auto"/>
                      <w:highlight w:val="none"/>
                      <w:lang w:val="en-US" w:eastAsia="zh-CN"/>
                    </w:rPr>
                  </w:pPr>
                  <w:r>
                    <w:rPr>
                      <w:rFonts w:hint="eastAsia"/>
                      <w:color w:val="auto"/>
                      <w:highlight w:val="none"/>
                      <w:lang w:val="en-US" w:eastAsia="zh-CN"/>
                    </w:rPr>
                    <w:t>1、项目运营过程中无废气污染物产生；本项目循环冷却水循环使用，循环冷却系统排污水经厂区已建生产废水深度水处理站处理达标后回用于生产过程，不外排；项目运营过程中企业将积极配合环保主管部门与其他滇中城市的大气污染防治联防联控协作，加强区域内重污染天气和跨界水体风险应急联动；</w:t>
                  </w:r>
                </w:p>
                <w:p>
                  <w:pPr>
                    <w:pStyle w:val="34"/>
                    <w:bidi w:val="0"/>
                    <w:jc w:val="left"/>
                    <w:rPr>
                      <w:rFonts w:hint="default"/>
                      <w:color w:val="auto"/>
                      <w:highlight w:val="none"/>
                      <w:lang w:val="en-US" w:eastAsia="zh-CN"/>
                    </w:rPr>
                  </w:pPr>
                  <w:r>
                    <w:rPr>
                      <w:rFonts w:hint="eastAsia"/>
                      <w:color w:val="auto"/>
                      <w:highlight w:val="none"/>
                      <w:lang w:val="en-US" w:eastAsia="zh-CN"/>
                    </w:rPr>
                    <w:t>2、本项目不涉及。</w:t>
                  </w:r>
                </w:p>
              </w:tc>
              <w:tc>
                <w:tcPr>
                  <w:tcW w:w="432" w:type="pct"/>
                  <w:tcBorders>
                    <w:tl2br w:val="nil"/>
                    <w:tr2bl w:val="nil"/>
                  </w:tcBorders>
                  <w:vAlign w:val="center"/>
                </w:tcPr>
                <w:p>
                  <w:pPr>
                    <w:pStyle w:val="34"/>
                    <w:bidi w:val="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vMerge w:val="continue"/>
                  <w:tcBorders>
                    <w:tl2br w:val="nil"/>
                    <w:tr2bl w:val="nil"/>
                  </w:tcBorders>
                  <w:vAlign w:val="center"/>
                </w:tcPr>
                <w:p>
                  <w:pPr>
                    <w:pStyle w:val="34"/>
                    <w:bidi w:val="0"/>
                    <w:jc w:val="center"/>
                    <w:rPr>
                      <w:rFonts w:hint="default" w:ascii="Times New Roman" w:hAnsi="Times New Roman" w:cs="Times New Roman"/>
                      <w:color w:val="auto"/>
                      <w:sz w:val="18"/>
                      <w:szCs w:val="18"/>
                      <w:highlight w:val="none"/>
                      <w:lang w:val="en-US" w:eastAsia="zh-CN"/>
                    </w:rPr>
                  </w:pPr>
                </w:p>
              </w:tc>
              <w:tc>
                <w:tcPr>
                  <w:tcW w:w="407" w:type="pct"/>
                  <w:tcBorders>
                    <w:tl2br w:val="nil"/>
                    <w:tr2bl w:val="nil"/>
                  </w:tcBorders>
                  <w:vAlign w:val="center"/>
                </w:tcPr>
                <w:p>
                  <w:pPr>
                    <w:pStyle w:val="34"/>
                    <w:bidi w:val="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资源开发效率要求</w:t>
                  </w:r>
                </w:p>
              </w:tc>
              <w:tc>
                <w:tcPr>
                  <w:tcW w:w="2225" w:type="pct"/>
                  <w:tcBorders>
                    <w:tl2br w:val="nil"/>
                    <w:tr2bl w:val="nil"/>
                  </w:tcBorders>
                  <w:vAlign w:val="center"/>
                </w:tcPr>
                <w:p>
                  <w:pPr>
                    <w:pStyle w:val="34"/>
                    <w:bidi w:val="0"/>
                    <w:jc w:val="both"/>
                    <w:rPr>
                      <w:rFonts w:hint="default"/>
                      <w:color w:val="auto"/>
                      <w:highlight w:val="none"/>
                      <w:lang w:val="en-US" w:eastAsia="zh-CN"/>
                    </w:rPr>
                  </w:pPr>
                  <w:r>
                    <w:rPr>
                      <w:color w:val="auto"/>
                      <w:highlight w:val="none"/>
                    </w:rPr>
                    <w:t>1.降低水、土地、能源、矿产资源消耗强度，强化约束性指标管理。</w:t>
                  </w:r>
                  <w:r>
                    <w:rPr>
                      <w:color w:val="auto"/>
                      <w:highlight w:val="none"/>
                    </w:rPr>
                    <w:br w:type="textWrapping"/>
                  </w:r>
                  <w:r>
                    <w:rPr>
                      <w:color w:val="auto"/>
                      <w:highlight w:val="none"/>
                    </w:rPr>
                    <w:t>2.实行最严格的水资源管理制度，严格用水总量、强度指标管理，严格取水管控，建立重点监控取水单位名录，强化重点监控取水单位管理。全市年用水总量、万元工业增加值用水量降幅等指标达到省考核要求。</w:t>
                  </w:r>
                  <w:r>
                    <w:rPr>
                      <w:color w:val="auto"/>
                      <w:highlight w:val="none"/>
                    </w:rPr>
                    <w:br w:type="textWrapping"/>
                  </w:r>
                  <w:r>
                    <w:rPr>
                      <w:color w:val="auto"/>
                      <w:highlight w:val="none"/>
                    </w:rPr>
                    <w:t>3.坚持最严格的耕地保护制度，守住耕地保护红线。坚持节约用地，严格执行耕地占补平衡等制度，提高土地投资强度和单位面积产出水平。</w:t>
                  </w:r>
                  <w:r>
                    <w:rPr>
                      <w:color w:val="auto"/>
                      <w:highlight w:val="none"/>
                    </w:rPr>
                    <w:br w:type="textWrapping"/>
                  </w:r>
                  <w:r>
                    <w:rPr>
                      <w:color w:val="auto"/>
                      <w:highlight w:val="none"/>
                    </w:rPr>
                    <w:t>4.全市单位GDP二氧化碳排放累计下降率完成云南省下达的指标；单位GDP能耗持续下降，到2025年，全市单位GDP能耗累计下降率14%。</w:t>
                  </w:r>
                  <w:r>
                    <w:rPr>
                      <w:color w:val="auto"/>
                      <w:highlight w:val="none"/>
                    </w:rPr>
                    <w:br w:type="textWrapping"/>
                  </w:r>
                  <w:r>
                    <w:rPr>
                      <w:color w:val="auto"/>
                      <w:highlight w:val="none"/>
                    </w:rPr>
                    <w:t>5.高污染燃料禁燃区按照《高污染燃料目录》及当地有关禁燃区管理规定执行。</w:t>
                  </w:r>
                  <w:r>
                    <w:rPr>
                      <w:color w:val="auto"/>
                      <w:highlight w:val="none"/>
                    </w:rPr>
                    <w:br w:type="textWrapping"/>
                  </w:r>
                  <w:r>
                    <w:rPr>
                      <w:color w:val="auto"/>
                      <w:highlight w:val="none"/>
                    </w:rPr>
                    <w:t>6.实施高效节水灌溉工程，大力推广高效节水灌溉措施，到2025年，农田灌溉水有效利用系数达到0.55。</w:t>
                  </w:r>
                </w:p>
              </w:tc>
              <w:tc>
                <w:tcPr>
                  <w:tcW w:w="1498" w:type="pct"/>
                  <w:tcBorders>
                    <w:tl2br w:val="nil"/>
                    <w:tr2bl w:val="nil"/>
                  </w:tcBorders>
                  <w:vAlign w:val="center"/>
                </w:tcPr>
                <w:p>
                  <w:pPr>
                    <w:pStyle w:val="34"/>
                    <w:bidi w:val="0"/>
                    <w:jc w:val="both"/>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1、本项目为</w:t>
                  </w:r>
                  <w:r>
                    <w:rPr>
                      <w:rFonts w:hint="eastAsia"/>
                      <w:color w:val="auto"/>
                      <w:highlight w:val="none"/>
                      <w:lang w:val="en-US" w:eastAsia="zh-CN"/>
                    </w:rPr>
                    <w:t>制氧系统技术改造节能项目，属于易门铜业有限公司铜冶炼配套公用工程，仅在易门铜业有限公司既有厂区内进行改建，不新增占地</w:t>
                  </w:r>
                  <w:r>
                    <w:rPr>
                      <w:rFonts w:hint="eastAsia" w:cs="Times New Roman"/>
                      <w:color w:val="auto"/>
                      <w:sz w:val="18"/>
                      <w:szCs w:val="18"/>
                      <w:highlight w:val="none"/>
                      <w:lang w:val="en-US" w:eastAsia="zh-CN"/>
                    </w:rPr>
                    <w:t>；</w:t>
                  </w:r>
                  <w:r>
                    <w:rPr>
                      <w:rFonts w:hint="eastAsia" w:ascii="Times New Roman" w:hAnsi="Times New Roman" w:cs="Times New Roman"/>
                      <w:color w:val="auto"/>
                      <w:sz w:val="18"/>
                      <w:szCs w:val="18"/>
                      <w:highlight w:val="none"/>
                      <w:lang w:val="en-US" w:eastAsia="zh-CN"/>
                    </w:rPr>
                    <w:t>项目</w:t>
                  </w:r>
                  <w:r>
                    <w:rPr>
                      <w:rFonts w:hint="eastAsia" w:cs="Times New Roman"/>
                      <w:color w:val="auto"/>
                      <w:sz w:val="18"/>
                      <w:szCs w:val="18"/>
                      <w:highlight w:val="none"/>
                      <w:lang w:val="en-US" w:eastAsia="zh-CN"/>
                    </w:rPr>
                    <w:t>运营</w:t>
                  </w:r>
                  <w:r>
                    <w:rPr>
                      <w:rFonts w:hint="eastAsia" w:ascii="Times New Roman" w:hAnsi="Times New Roman" w:cs="Times New Roman"/>
                      <w:color w:val="auto"/>
                      <w:sz w:val="18"/>
                      <w:szCs w:val="18"/>
                      <w:highlight w:val="none"/>
                      <w:lang w:val="en-US" w:eastAsia="zh-CN"/>
                    </w:rPr>
                    <w:t>过程中会</w:t>
                  </w:r>
                  <w:r>
                    <w:rPr>
                      <w:rFonts w:hint="default" w:ascii="Times New Roman" w:hAnsi="Times New Roman" w:cs="Times New Roman"/>
                      <w:color w:val="auto"/>
                      <w:sz w:val="18"/>
                      <w:szCs w:val="18"/>
                      <w:highlight w:val="none"/>
                      <w:lang w:val="en-US" w:eastAsia="zh-CN"/>
                    </w:rPr>
                    <w:t>消耗一定量的电能</w:t>
                  </w:r>
                  <w:r>
                    <w:rPr>
                      <w:rFonts w:hint="eastAsia"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水资源</w:t>
                  </w:r>
                  <w:r>
                    <w:rPr>
                      <w:rFonts w:hint="eastAsia" w:cs="Times New Roman"/>
                      <w:color w:val="auto"/>
                      <w:sz w:val="18"/>
                      <w:szCs w:val="18"/>
                      <w:highlight w:val="none"/>
                      <w:lang w:val="en-US" w:eastAsia="zh-CN"/>
                    </w:rPr>
                    <w:t>等能源</w:t>
                  </w:r>
                  <w:r>
                    <w:rPr>
                      <w:rFonts w:hint="default" w:ascii="Times New Roman" w:hAnsi="Times New Roman" w:cs="Times New Roman"/>
                      <w:color w:val="auto"/>
                      <w:sz w:val="18"/>
                      <w:szCs w:val="18"/>
                      <w:highlight w:val="none"/>
                      <w:lang w:val="en-US" w:eastAsia="zh-CN"/>
                    </w:rPr>
                    <w:t>，</w:t>
                  </w:r>
                  <w:r>
                    <w:rPr>
                      <w:rFonts w:hint="eastAsia" w:cs="Times New Roman"/>
                      <w:color w:val="auto"/>
                      <w:sz w:val="18"/>
                      <w:szCs w:val="18"/>
                      <w:highlight w:val="none"/>
                      <w:lang w:val="en-US" w:eastAsia="zh-CN"/>
                    </w:rPr>
                    <w:t>但</w:t>
                  </w:r>
                  <w:r>
                    <w:rPr>
                      <w:rFonts w:hint="default" w:ascii="Times New Roman" w:hAnsi="Times New Roman" w:cs="Times New Roman"/>
                      <w:color w:val="auto"/>
                      <w:sz w:val="18"/>
                      <w:szCs w:val="18"/>
                      <w:highlight w:val="none"/>
                      <w:lang w:val="en-US" w:eastAsia="zh-CN"/>
                    </w:rPr>
                    <w:t>用量相对较小；</w:t>
                  </w:r>
                </w:p>
                <w:p>
                  <w:pPr>
                    <w:pStyle w:val="34"/>
                    <w:bidi w:val="0"/>
                    <w:jc w:val="both"/>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2、本项目为</w:t>
                  </w:r>
                  <w:r>
                    <w:rPr>
                      <w:rFonts w:hint="eastAsia"/>
                      <w:color w:val="auto"/>
                      <w:highlight w:val="none"/>
                      <w:lang w:val="en-US" w:eastAsia="zh-CN"/>
                    </w:rPr>
                    <w:t>制氧系统技术改造节能项目，属于易门铜业有限公司铜冶炼配套公用工程，</w:t>
                  </w:r>
                  <w:r>
                    <w:rPr>
                      <w:rFonts w:hint="eastAsia" w:cs="Times New Roman"/>
                      <w:color w:val="auto"/>
                      <w:sz w:val="18"/>
                      <w:szCs w:val="18"/>
                      <w:highlight w:val="none"/>
                      <w:lang w:val="en-US" w:eastAsia="zh-CN"/>
                    </w:rPr>
                    <w:t>项目建设单位</w:t>
                  </w:r>
                  <w:r>
                    <w:rPr>
                      <w:rFonts w:hint="default" w:ascii="Times New Roman" w:hAnsi="Times New Roman" w:cs="Times New Roman"/>
                      <w:color w:val="auto"/>
                      <w:sz w:val="18"/>
                      <w:szCs w:val="18"/>
                      <w:highlight w:val="none"/>
                      <w:lang w:val="en-US" w:eastAsia="zh-CN"/>
                    </w:rPr>
                    <w:t>不属于重点监控取水单位，</w:t>
                  </w:r>
                  <w:r>
                    <w:rPr>
                      <w:rFonts w:hint="eastAsia" w:cs="Times New Roman"/>
                      <w:color w:val="auto"/>
                      <w:sz w:val="18"/>
                      <w:szCs w:val="18"/>
                      <w:highlight w:val="none"/>
                      <w:lang w:val="en-US" w:eastAsia="zh-CN"/>
                    </w:rPr>
                    <w:t>且</w:t>
                  </w:r>
                  <w:r>
                    <w:rPr>
                      <w:rFonts w:hint="default" w:ascii="Times New Roman" w:hAnsi="Times New Roman" w:cs="Times New Roman"/>
                      <w:color w:val="auto"/>
                      <w:sz w:val="18"/>
                      <w:szCs w:val="18"/>
                      <w:highlight w:val="none"/>
                      <w:lang w:val="en-US" w:eastAsia="zh-CN"/>
                    </w:rPr>
                    <w:t>项目总体用水量较少，相对于区域用水量占比较小；</w:t>
                  </w:r>
                </w:p>
                <w:p>
                  <w:pPr>
                    <w:pStyle w:val="34"/>
                    <w:bidi w:val="0"/>
                    <w:jc w:val="both"/>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w:t>
                  </w:r>
                  <w:r>
                    <w:rPr>
                      <w:rFonts w:hint="eastAsia" w:cs="Times New Roman"/>
                      <w:color w:val="auto"/>
                      <w:sz w:val="18"/>
                      <w:szCs w:val="18"/>
                      <w:highlight w:val="none"/>
                      <w:lang w:val="en-US" w:eastAsia="zh-CN"/>
                    </w:rPr>
                    <w:t>根据查询结果</w:t>
                  </w:r>
                  <w:r>
                    <w:rPr>
                      <w:rFonts w:hint="eastAsia" w:ascii="Times New Roman" w:hAnsi="Times New Roman"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本项目用地不涉及耕地，不占用永久基本农田；</w:t>
                  </w:r>
                </w:p>
                <w:p>
                  <w:pPr>
                    <w:pStyle w:val="34"/>
                    <w:bidi w:val="0"/>
                    <w:jc w:val="both"/>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shd w:val="clear"/>
                      <w:lang w:val="en-US" w:eastAsia="zh-CN"/>
                    </w:rPr>
                    <w:t>4、本项目为</w:t>
                  </w:r>
                  <w:r>
                    <w:rPr>
                      <w:rFonts w:hint="eastAsia"/>
                      <w:color w:val="auto"/>
                      <w:highlight w:val="none"/>
                      <w:lang w:val="en-US" w:eastAsia="zh-CN"/>
                    </w:rPr>
                    <w:t>制氧系统技术改造节能项目，属于易门铜业有限公司铜冶炼配套公用工程，</w:t>
                  </w:r>
                  <w:r>
                    <w:rPr>
                      <w:rFonts w:hint="eastAsia" w:ascii="Times New Roman" w:hAnsi="Times New Roman" w:cs="Times New Roman"/>
                      <w:color w:val="auto"/>
                      <w:sz w:val="18"/>
                      <w:szCs w:val="18"/>
                      <w:highlight w:val="none"/>
                      <w:lang w:val="en-US" w:eastAsia="zh-CN"/>
                    </w:rPr>
                    <w:t>项目</w:t>
                  </w:r>
                  <w:r>
                    <w:rPr>
                      <w:rFonts w:hint="eastAsia" w:cs="Times New Roman"/>
                      <w:color w:val="auto"/>
                      <w:sz w:val="18"/>
                      <w:szCs w:val="18"/>
                      <w:highlight w:val="none"/>
                      <w:lang w:val="en-US" w:eastAsia="zh-CN"/>
                    </w:rPr>
                    <w:t>运营</w:t>
                  </w:r>
                  <w:r>
                    <w:rPr>
                      <w:rFonts w:hint="eastAsia" w:ascii="Times New Roman" w:hAnsi="Times New Roman" w:cs="Times New Roman"/>
                      <w:color w:val="auto"/>
                      <w:sz w:val="18"/>
                      <w:szCs w:val="18"/>
                      <w:highlight w:val="none"/>
                      <w:lang w:val="en-US" w:eastAsia="zh-CN"/>
                    </w:rPr>
                    <w:t>过程中将严格落实碳排放相关要求；</w:t>
                  </w:r>
                </w:p>
                <w:p>
                  <w:pPr>
                    <w:pStyle w:val="34"/>
                    <w:bidi w:val="0"/>
                    <w:jc w:val="both"/>
                    <w:rPr>
                      <w:rFonts w:hint="default" w:ascii="Times New Roman" w:hAnsi="Times New Roman" w:cs="Times New Roman"/>
                      <w:color w:val="auto"/>
                      <w:sz w:val="18"/>
                      <w:szCs w:val="18"/>
                      <w:highlight w:val="none"/>
                      <w:shd w:val="clear"/>
                      <w:lang w:val="en-US" w:eastAsia="zh-CN"/>
                    </w:rPr>
                  </w:pPr>
                  <w:r>
                    <w:rPr>
                      <w:rFonts w:hint="eastAsia" w:cs="Times New Roman"/>
                      <w:color w:val="auto"/>
                      <w:sz w:val="18"/>
                      <w:szCs w:val="18"/>
                      <w:highlight w:val="none"/>
                      <w:shd w:val="clear"/>
                      <w:lang w:val="en-US" w:eastAsia="zh-CN"/>
                    </w:rPr>
                    <w:t>5、</w:t>
                  </w:r>
                  <w:r>
                    <w:rPr>
                      <w:rFonts w:hint="default"/>
                      <w:color w:val="auto"/>
                      <w:highlight w:val="none"/>
                    </w:rPr>
                    <w:t>本项目</w:t>
                  </w:r>
                  <w:r>
                    <w:rPr>
                      <w:rFonts w:hint="eastAsia"/>
                      <w:color w:val="auto"/>
                      <w:highlight w:val="none"/>
                      <w:lang w:val="en-US" w:eastAsia="zh-CN"/>
                    </w:rPr>
                    <w:t>所在区域不属于高污染燃料禁燃区，</w:t>
                  </w:r>
                  <w:r>
                    <w:rPr>
                      <w:rFonts w:hint="default"/>
                      <w:color w:val="auto"/>
                      <w:highlight w:val="none"/>
                    </w:rPr>
                    <w:t>不涉及高污染燃料</w:t>
                  </w:r>
                  <w:r>
                    <w:rPr>
                      <w:rFonts w:hint="eastAsia"/>
                      <w:color w:val="auto"/>
                      <w:highlight w:val="none"/>
                      <w:lang w:val="en-US" w:eastAsia="zh-CN"/>
                    </w:rPr>
                    <w:t>使用</w:t>
                  </w:r>
                  <w:r>
                    <w:rPr>
                      <w:rFonts w:hint="default" w:ascii="Times New Roman" w:hAnsi="Times New Roman" w:cs="Times New Roman"/>
                      <w:color w:val="auto"/>
                      <w:sz w:val="18"/>
                      <w:szCs w:val="18"/>
                      <w:highlight w:val="none"/>
                      <w:shd w:val="clear"/>
                      <w:lang w:val="en-US" w:eastAsia="zh-CN"/>
                    </w:rPr>
                    <w:t>；</w:t>
                  </w:r>
                </w:p>
                <w:p>
                  <w:pPr>
                    <w:pStyle w:val="34"/>
                    <w:bidi w:val="0"/>
                    <w:jc w:val="both"/>
                    <w:rPr>
                      <w:rFonts w:hint="default" w:ascii="Times New Roman" w:hAnsi="Times New Roman" w:cs="Times New Roman"/>
                      <w:color w:val="auto"/>
                      <w:sz w:val="18"/>
                      <w:szCs w:val="18"/>
                      <w:highlight w:val="none"/>
                      <w:shd w:val="clear"/>
                      <w:lang w:val="en-US" w:eastAsia="zh-CN"/>
                    </w:rPr>
                  </w:pPr>
                  <w:r>
                    <w:rPr>
                      <w:rFonts w:hint="eastAsia" w:cs="Times New Roman"/>
                      <w:color w:val="auto"/>
                      <w:sz w:val="18"/>
                      <w:szCs w:val="18"/>
                      <w:highlight w:val="none"/>
                      <w:shd w:val="clear"/>
                      <w:lang w:val="en-US" w:eastAsia="zh-CN"/>
                    </w:rPr>
                    <w:t>6、本项目不涉及。</w:t>
                  </w:r>
                </w:p>
              </w:tc>
              <w:tc>
                <w:tcPr>
                  <w:tcW w:w="432" w:type="pct"/>
                  <w:tcBorders>
                    <w:tl2br w:val="nil"/>
                    <w:tr2bl w:val="nil"/>
                  </w:tcBorders>
                  <w:vAlign w:val="center"/>
                </w:tcPr>
                <w:p>
                  <w:pPr>
                    <w:pStyle w:val="34"/>
                    <w:bidi w:val="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符合</w:t>
                  </w:r>
                </w:p>
              </w:tc>
            </w:tr>
          </w:tbl>
          <w:p>
            <w:pPr>
              <w:pStyle w:val="35"/>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color w:val="auto"/>
                <w:highlight w:val="none"/>
                <w:lang w:val="en-US" w:eastAsia="zh-CN"/>
              </w:rPr>
            </w:pPr>
            <w:r>
              <w:rPr>
                <w:rFonts w:hint="eastAsia"/>
                <w:color w:val="auto"/>
                <w:highlight w:val="none"/>
                <w:lang w:val="en-US" w:eastAsia="zh-CN"/>
              </w:rPr>
              <w:t>表1-9  本项目与“易门县产业园区重点管控单元”符合性分析一览表</w:t>
            </w:r>
          </w:p>
          <w:tbl>
            <w:tblPr>
              <w:tblStyle w:val="23"/>
              <w:tblW w:w="709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639"/>
              <w:gridCol w:w="356"/>
              <w:gridCol w:w="2744"/>
              <w:gridCol w:w="2820"/>
              <w:gridCol w:w="5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450" w:type="pct"/>
                  <w:tcBorders>
                    <w:tl2br w:val="nil"/>
                    <w:tr2bl w:val="nil"/>
                  </w:tcBorders>
                  <w:shd w:val="clear" w:color="auto" w:fill="auto"/>
                  <w:noWrap w:val="0"/>
                  <w:tcMar>
                    <w:top w:w="57" w:type="dxa"/>
                    <w:left w:w="57" w:type="dxa"/>
                    <w:bottom w:w="57" w:type="dxa"/>
                    <w:right w:w="57" w:type="dxa"/>
                  </w:tcMar>
                  <w:vAlign w:val="center"/>
                </w:tcPr>
                <w:p>
                  <w:pPr>
                    <w:pStyle w:val="34"/>
                    <w:bidi w:val="0"/>
                    <w:rPr>
                      <w:rFonts w:hint="eastAsia" w:eastAsia="宋体"/>
                      <w:color w:val="auto"/>
                      <w:highlight w:val="none"/>
                      <w:lang w:eastAsia="zh-CN"/>
                    </w:rPr>
                  </w:pPr>
                  <w:r>
                    <w:rPr>
                      <w:rFonts w:hint="eastAsia"/>
                      <w:color w:val="auto"/>
                      <w:highlight w:val="none"/>
                      <w:lang w:val="en-US" w:eastAsia="zh-CN"/>
                    </w:rPr>
                    <w:t>管控单元</w:t>
                  </w:r>
                </w:p>
              </w:tc>
              <w:tc>
                <w:tcPr>
                  <w:tcW w:w="2183" w:type="pct"/>
                  <w:gridSpan w:val="2"/>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r>
                    <w:rPr>
                      <w:color w:val="auto"/>
                      <w:highlight w:val="none"/>
                    </w:rPr>
                    <w:t>管控要求</w:t>
                  </w:r>
                </w:p>
              </w:tc>
              <w:tc>
                <w:tcPr>
                  <w:tcW w:w="1986" w:type="pct"/>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r>
                    <w:rPr>
                      <w:color w:val="auto"/>
                      <w:highlight w:val="none"/>
                    </w:rPr>
                    <w:t>项目情况</w:t>
                  </w:r>
                </w:p>
              </w:tc>
              <w:tc>
                <w:tcPr>
                  <w:tcW w:w="380" w:type="pct"/>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r>
                    <w:rPr>
                      <w:color w:val="auto"/>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450" w:type="pct"/>
                  <w:vMerge w:val="restart"/>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r>
                    <w:rPr>
                      <w:rFonts w:hint="eastAsia"/>
                      <w:color w:val="auto"/>
                      <w:highlight w:val="none"/>
                      <w:lang w:val="en-US" w:eastAsia="zh-CN"/>
                    </w:rPr>
                    <w:t>易门县产业园区重点管控单元</w:t>
                  </w:r>
                </w:p>
              </w:tc>
              <w:tc>
                <w:tcPr>
                  <w:tcW w:w="250" w:type="pct"/>
                  <w:vMerge w:val="restart"/>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r>
                    <w:rPr>
                      <w:color w:val="auto"/>
                      <w:highlight w:val="none"/>
                    </w:rPr>
                    <w:t>空间布局约束</w:t>
                  </w:r>
                </w:p>
              </w:tc>
              <w:tc>
                <w:tcPr>
                  <w:tcW w:w="1932" w:type="pct"/>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r>
                    <w:rPr>
                      <w:color w:val="auto"/>
                      <w:highlight w:val="none"/>
                    </w:rPr>
                    <w:t>1.合理规划产业分区和功能定位，禁止不符合产业政策、产业结构调整指导目录和园区规划要求的项目入园区。新建、扩建金属冶炼项目大气污染物鼓励实施超低排放要求，“两高”项目实行主要污染物区域削减替代。</w:t>
                  </w:r>
                </w:p>
              </w:tc>
              <w:tc>
                <w:tcPr>
                  <w:tcW w:w="1986" w:type="pct"/>
                  <w:tcBorders>
                    <w:tl2br w:val="nil"/>
                    <w:tr2bl w:val="nil"/>
                  </w:tcBorders>
                  <w:shd w:val="clear" w:color="auto" w:fill="auto"/>
                  <w:noWrap w:val="0"/>
                  <w:tcMar>
                    <w:top w:w="57" w:type="dxa"/>
                    <w:left w:w="57" w:type="dxa"/>
                    <w:bottom w:w="57" w:type="dxa"/>
                    <w:right w:w="57" w:type="dxa"/>
                  </w:tcMar>
                  <w:vAlign w:val="center"/>
                </w:tcPr>
                <w:p>
                  <w:pPr>
                    <w:pStyle w:val="34"/>
                    <w:keepNext w:val="0"/>
                    <w:keepLines w:val="0"/>
                    <w:pageBreakBefore w:val="0"/>
                    <w:widowControl w:val="0"/>
                    <w:kinsoku/>
                    <w:wordWrap w:val="0"/>
                    <w:overflowPunct w:val="0"/>
                    <w:topLinePunct w:val="0"/>
                    <w:autoSpaceDE/>
                    <w:autoSpaceDN/>
                    <w:bidi w:val="0"/>
                    <w:adjustRightInd/>
                    <w:snapToGrid/>
                    <w:textAlignment w:val="auto"/>
                    <w:rPr>
                      <w:rFonts w:hint="eastAsia"/>
                      <w:color w:val="auto"/>
                      <w:highlight w:val="none"/>
                      <w:lang w:eastAsia="zh-CN"/>
                    </w:rPr>
                  </w:pPr>
                  <w:r>
                    <w:rPr>
                      <w:rFonts w:hint="eastAsia"/>
                      <w:color w:val="auto"/>
                      <w:highlight w:val="none"/>
                    </w:rPr>
                    <w:t>本项目为</w:t>
                  </w:r>
                  <w:r>
                    <w:rPr>
                      <w:rFonts w:hint="eastAsia"/>
                      <w:color w:val="auto"/>
                      <w:highlight w:val="none"/>
                      <w:lang w:val="en-US" w:eastAsia="zh-CN"/>
                    </w:rPr>
                    <w:t>制氧系统技术改造节能项目，属于易门铜业有限公司铜冶炼配套公用工程，</w:t>
                  </w:r>
                  <w:r>
                    <w:rPr>
                      <w:rFonts w:hint="eastAsia"/>
                      <w:color w:val="auto"/>
                      <w:highlight w:val="none"/>
                    </w:rPr>
                    <w:t>位于</w:t>
                  </w:r>
                  <w:r>
                    <w:rPr>
                      <w:rFonts w:hint="eastAsia"/>
                      <w:color w:val="auto"/>
                      <w:highlight w:val="none"/>
                      <w:lang w:val="en-US" w:eastAsia="zh-CN"/>
                    </w:rPr>
                    <w:t>云南易门产业园区大椿树片区</w:t>
                  </w:r>
                  <w:r>
                    <w:rPr>
                      <w:rFonts w:hint="eastAsia"/>
                      <w:color w:val="auto"/>
                      <w:highlight w:val="none"/>
                    </w:rPr>
                    <w:t>，</w:t>
                  </w:r>
                  <w:r>
                    <w:rPr>
                      <w:rFonts w:hint="eastAsia"/>
                      <w:color w:val="auto"/>
                      <w:highlight w:val="none"/>
                      <w:lang w:val="en-US" w:eastAsia="zh-CN"/>
                    </w:rPr>
                    <w:t>项目仅在易门铜业有限公司既有厂区范围内进行改造，不新增占地，</w:t>
                  </w:r>
                  <w:r>
                    <w:rPr>
                      <w:rFonts w:hint="eastAsia"/>
                      <w:color w:val="auto"/>
                      <w:highlight w:val="none"/>
                      <w:lang w:eastAsia="zh-CN"/>
                    </w:rPr>
                    <w:t>符合园</w:t>
                  </w:r>
                  <w:r>
                    <w:rPr>
                      <w:color w:val="auto"/>
                      <w:highlight w:val="none"/>
                    </w:rPr>
                    <w:t>区功能定位</w:t>
                  </w:r>
                  <w:r>
                    <w:rPr>
                      <w:rFonts w:hint="eastAsia"/>
                      <w:color w:val="auto"/>
                      <w:highlight w:val="none"/>
                      <w:lang w:eastAsia="zh-CN"/>
                    </w:rPr>
                    <w:t>；</w:t>
                  </w:r>
                  <w:r>
                    <w:rPr>
                      <w:rFonts w:hint="eastAsia"/>
                      <w:color w:val="auto"/>
                      <w:highlight w:val="none"/>
                      <w:lang w:val="en-US" w:eastAsia="zh-CN"/>
                    </w:rPr>
                    <w:t>项目建设</w:t>
                  </w:r>
                  <w:r>
                    <w:rPr>
                      <w:rFonts w:hint="default" w:ascii="Times New Roman" w:hAnsi="Times New Roman" w:cs="Times New Roman"/>
                      <w:color w:val="auto"/>
                      <w:sz w:val="18"/>
                      <w:szCs w:val="18"/>
                      <w:highlight w:val="none"/>
                      <w:lang w:val="en-US" w:eastAsia="zh-CN"/>
                    </w:rPr>
                    <w:t>符合国家现行的产业政策</w:t>
                  </w:r>
                  <w:r>
                    <w:rPr>
                      <w:rFonts w:hint="eastAsia" w:cs="Times New Roman"/>
                      <w:color w:val="auto"/>
                      <w:sz w:val="18"/>
                      <w:szCs w:val="18"/>
                      <w:highlight w:val="none"/>
                      <w:lang w:val="en-US" w:eastAsia="zh-CN"/>
                    </w:rPr>
                    <w:t>，且本项目已于2025年11月19日取得了易门县发展和改革局下发的《云南省固定资产投资项目备案证》，项目代码为：2511-530425-04-02-147574，允许项目建设</w:t>
                  </w:r>
                  <w:r>
                    <w:rPr>
                      <w:rFonts w:hint="default" w:ascii="Times New Roman" w:hAnsi="Times New Roman" w:cs="Times New Roman"/>
                      <w:color w:val="auto"/>
                      <w:sz w:val="18"/>
                      <w:szCs w:val="18"/>
                      <w:highlight w:val="none"/>
                      <w:lang w:val="en-US" w:eastAsia="zh-CN"/>
                    </w:rPr>
                    <w:t>；</w:t>
                  </w:r>
                  <w:r>
                    <w:rPr>
                      <w:rFonts w:hint="eastAsia"/>
                      <w:color w:val="auto"/>
                      <w:highlight w:val="none"/>
                      <w:lang w:eastAsia="zh-CN"/>
                    </w:rPr>
                    <w:t>此外，项目取得了</w:t>
                  </w:r>
                  <w:r>
                    <w:rPr>
                      <w:rFonts w:hint="eastAsia"/>
                      <w:color w:val="auto"/>
                      <w:highlight w:val="none"/>
                      <w:lang w:val="en-US" w:eastAsia="zh-CN"/>
                    </w:rPr>
                    <w:t>云南易门产业园区</w:t>
                  </w:r>
                  <w:r>
                    <w:rPr>
                      <w:rFonts w:hint="eastAsia"/>
                      <w:color w:val="auto"/>
                      <w:highlight w:val="none"/>
                    </w:rPr>
                    <w:t>管理委</w:t>
                  </w:r>
                  <w:r>
                    <w:rPr>
                      <w:rFonts w:hint="eastAsia"/>
                      <w:color w:val="auto"/>
                      <w:highlight w:val="none"/>
                      <w:lang w:eastAsia="zh-CN"/>
                    </w:rPr>
                    <w:t>员会</w:t>
                  </w:r>
                  <w:r>
                    <w:rPr>
                      <w:rFonts w:hint="eastAsia"/>
                      <w:color w:val="auto"/>
                      <w:highlight w:val="none"/>
                      <w:lang w:val="en-US" w:eastAsia="zh-CN"/>
                    </w:rPr>
                    <w:t>出具的</w:t>
                  </w:r>
                  <w:r>
                    <w:rPr>
                      <w:rFonts w:hint="eastAsia"/>
                      <w:color w:val="auto"/>
                      <w:highlight w:val="none"/>
                    </w:rPr>
                    <w:t>“入园</w:t>
                  </w:r>
                  <w:r>
                    <w:rPr>
                      <w:rFonts w:hint="eastAsia"/>
                      <w:color w:val="auto"/>
                      <w:highlight w:val="none"/>
                      <w:lang w:val="en-US" w:eastAsia="zh-CN"/>
                    </w:rPr>
                    <w:t>证明</w:t>
                  </w:r>
                  <w:r>
                    <w:rPr>
                      <w:rFonts w:hint="eastAsia"/>
                      <w:color w:val="auto"/>
                      <w:highlight w:val="none"/>
                    </w:rPr>
                    <w:t>”</w:t>
                  </w:r>
                  <w:r>
                    <w:rPr>
                      <w:rFonts w:hint="eastAsia"/>
                      <w:color w:val="auto"/>
                      <w:highlight w:val="none"/>
                      <w:lang w:eastAsia="zh-CN"/>
                    </w:rPr>
                    <w:t>（</w:t>
                  </w:r>
                  <w:r>
                    <w:rPr>
                      <w:rFonts w:hint="eastAsia"/>
                      <w:color w:val="auto"/>
                      <w:highlight w:val="none"/>
                      <w:lang w:val="en-US" w:eastAsia="zh-CN"/>
                    </w:rPr>
                    <w:t>详</w:t>
                  </w:r>
                  <w:r>
                    <w:rPr>
                      <w:rFonts w:hint="eastAsia"/>
                      <w:color w:val="auto"/>
                      <w:highlight w:val="none"/>
                    </w:rPr>
                    <w:t>见相关附件</w:t>
                  </w:r>
                  <w:r>
                    <w:rPr>
                      <w:rFonts w:hint="eastAsia"/>
                      <w:color w:val="auto"/>
                      <w:highlight w:val="none"/>
                      <w:lang w:eastAsia="zh-CN"/>
                    </w:rPr>
                    <w:t>）；</w:t>
                  </w:r>
                  <w:r>
                    <w:rPr>
                      <w:rFonts w:hint="eastAsia"/>
                      <w:color w:val="auto"/>
                      <w:highlight w:val="none"/>
                      <w:lang w:val="en-US" w:eastAsia="zh-CN"/>
                    </w:rPr>
                    <w:t>本项目</w:t>
                  </w:r>
                  <w:r>
                    <w:rPr>
                      <w:color w:val="auto"/>
                      <w:highlight w:val="none"/>
                    </w:rPr>
                    <w:t>不采用淘汰或禁止使用的原料、工艺、技术和设备</w:t>
                  </w:r>
                  <w:r>
                    <w:rPr>
                      <w:rFonts w:hint="eastAsia"/>
                      <w:color w:val="auto"/>
                      <w:highlight w:val="none"/>
                      <w:lang w:eastAsia="zh-CN"/>
                    </w:rPr>
                    <w:t>，</w:t>
                  </w:r>
                  <w:r>
                    <w:rPr>
                      <w:rFonts w:hint="eastAsia"/>
                      <w:color w:val="auto"/>
                      <w:highlight w:val="none"/>
                      <w:lang w:val="en-US" w:eastAsia="zh-CN"/>
                    </w:rPr>
                    <w:t>不属于“两高”项目</w:t>
                  </w:r>
                  <w:r>
                    <w:rPr>
                      <w:color w:val="auto"/>
                      <w:highlight w:val="none"/>
                    </w:rPr>
                    <w:t>。</w:t>
                  </w:r>
                </w:p>
              </w:tc>
              <w:tc>
                <w:tcPr>
                  <w:tcW w:w="380" w:type="pct"/>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r>
                    <w:rPr>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450" w:type="pct"/>
                  <w:vMerge w:val="continue"/>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p>
              </w:tc>
              <w:tc>
                <w:tcPr>
                  <w:tcW w:w="250" w:type="pct"/>
                  <w:vMerge w:val="continue"/>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p>
              </w:tc>
              <w:tc>
                <w:tcPr>
                  <w:tcW w:w="1932" w:type="pct"/>
                  <w:tcBorders>
                    <w:tl2br w:val="nil"/>
                    <w:tr2bl w:val="nil"/>
                  </w:tcBorders>
                  <w:shd w:val="clear" w:color="auto" w:fill="auto"/>
                  <w:noWrap w:val="0"/>
                  <w:tcMar>
                    <w:top w:w="57" w:type="dxa"/>
                    <w:left w:w="57" w:type="dxa"/>
                    <w:bottom w:w="57" w:type="dxa"/>
                    <w:right w:w="57" w:type="dxa"/>
                  </w:tcMar>
                  <w:vAlign w:val="center"/>
                </w:tcPr>
                <w:p>
                  <w:pPr>
                    <w:pStyle w:val="34"/>
                    <w:bidi w:val="0"/>
                    <w:rPr>
                      <w:rFonts w:hint="default"/>
                      <w:color w:val="auto"/>
                      <w:highlight w:val="none"/>
                      <w:lang w:val="en-US" w:eastAsia="zh-CN"/>
                    </w:rPr>
                  </w:pPr>
                  <w:r>
                    <w:rPr>
                      <w:rFonts w:hint="default"/>
                      <w:color w:val="auto"/>
                      <w:highlight w:val="none"/>
                      <w:lang w:val="en-US" w:eastAsia="zh-CN"/>
                    </w:rPr>
                    <w:t>2.居民集中区周边禁止布局重污染企业，园区内工业用地与人口密集区应合理设置绿化隔离带。</w:t>
                  </w:r>
                </w:p>
              </w:tc>
              <w:tc>
                <w:tcPr>
                  <w:tcW w:w="1986" w:type="pct"/>
                  <w:tcBorders>
                    <w:tl2br w:val="nil"/>
                    <w:tr2bl w:val="nil"/>
                  </w:tcBorders>
                  <w:shd w:val="clear" w:color="auto" w:fill="auto"/>
                  <w:noWrap w:val="0"/>
                  <w:tcMar>
                    <w:top w:w="57" w:type="dxa"/>
                    <w:left w:w="57" w:type="dxa"/>
                    <w:bottom w:w="57" w:type="dxa"/>
                    <w:right w:w="57" w:type="dxa"/>
                  </w:tcMar>
                  <w:vAlign w:val="center"/>
                </w:tcPr>
                <w:p>
                  <w:pPr>
                    <w:pStyle w:val="34"/>
                    <w:bidi w:val="0"/>
                    <w:rPr>
                      <w:rFonts w:hint="default"/>
                      <w:color w:val="auto"/>
                      <w:highlight w:val="none"/>
                      <w:lang w:val="en-US" w:eastAsia="zh-CN"/>
                    </w:rPr>
                  </w:pPr>
                  <w:r>
                    <w:rPr>
                      <w:rFonts w:hint="default"/>
                      <w:color w:val="auto"/>
                      <w:highlight w:val="none"/>
                      <w:lang w:val="en-US" w:eastAsia="zh-CN"/>
                    </w:rPr>
                    <w:t>本项目为</w:t>
                  </w:r>
                  <w:r>
                    <w:rPr>
                      <w:rFonts w:hint="eastAsia"/>
                      <w:color w:val="auto"/>
                      <w:highlight w:val="none"/>
                      <w:lang w:val="en-US" w:eastAsia="zh-CN"/>
                    </w:rPr>
                    <w:t>制氧系统技术改造节能项目，属于易门铜业有限公司铜冶炼配套公用工程，</w:t>
                  </w:r>
                  <w:r>
                    <w:rPr>
                      <w:rFonts w:hint="default"/>
                      <w:color w:val="auto"/>
                      <w:highlight w:val="none"/>
                      <w:lang w:val="en-US" w:eastAsia="zh-CN"/>
                    </w:rPr>
                    <w:t>位于</w:t>
                  </w:r>
                  <w:r>
                    <w:rPr>
                      <w:rFonts w:hint="eastAsia"/>
                      <w:color w:val="auto"/>
                      <w:highlight w:val="none"/>
                      <w:lang w:val="en-US" w:eastAsia="zh-CN"/>
                    </w:rPr>
                    <w:t>云南</w:t>
                  </w:r>
                  <w:r>
                    <w:rPr>
                      <w:rFonts w:hint="default"/>
                      <w:color w:val="auto"/>
                      <w:highlight w:val="none"/>
                      <w:lang w:val="en-US" w:eastAsia="zh-CN"/>
                    </w:rPr>
                    <w:t>易门产业园区大椿树片区，</w:t>
                  </w:r>
                  <w:r>
                    <w:rPr>
                      <w:rFonts w:hint="eastAsia"/>
                      <w:color w:val="auto"/>
                      <w:highlight w:val="none"/>
                      <w:lang w:val="en-US" w:eastAsia="zh-CN"/>
                    </w:rPr>
                    <w:t>项目周边无居民集中区，园区内合理设置有绿化隔离带</w:t>
                  </w:r>
                  <w:r>
                    <w:rPr>
                      <w:rFonts w:hint="default"/>
                      <w:color w:val="auto"/>
                      <w:highlight w:val="none"/>
                      <w:lang w:val="en-US" w:eastAsia="zh-CN"/>
                    </w:rPr>
                    <w:t>。</w:t>
                  </w:r>
                </w:p>
              </w:tc>
              <w:tc>
                <w:tcPr>
                  <w:tcW w:w="380" w:type="pct"/>
                  <w:tcBorders>
                    <w:tl2br w:val="nil"/>
                    <w:tr2bl w:val="nil"/>
                  </w:tcBorders>
                  <w:shd w:val="clear" w:color="auto" w:fill="auto"/>
                  <w:noWrap w:val="0"/>
                  <w:tcMar>
                    <w:top w:w="57" w:type="dxa"/>
                    <w:left w:w="57" w:type="dxa"/>
                    <w:bottom w:w="57" w:type="dxa"/>
                    <w:right w:w="57" w:type="dxa"/>
                  </w:tcMar>
                  <w:vAlign w:val="center"/>
                </w:tcPr>
                <w:p>
                  <w:pPr>
                    <w:pStyle w:val="34"/>
                    <w:bidi w:val="0"/>
                    <w:rPr>
                      <w:rFonts w:hint="default" w:eastAsia="宋体"/>
                      <w:color w:val="auto"/>
                      <w:highlight w:val="none"/>
                      <w:lang w:val="en-US" w:eastAsia="zh-CN"/>
                    </w:rPr>
                  </w:pPr>
                  <w:r>
                    <w:rPr>
                      <w:rFonts w:hint="eastAsia"/>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450" w:type="pct"/>
                  <w:vMerge w:val="continue"/>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p>
              </w:tc>
              <w:tc>
                <w:tcPr>
                  <w:tcW w:w="250" w:type="pct"/>
                  <w:vMerge w:val="continue"/>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p>
              </w:tc>
              <w:tc>
                <w:tcPr>
                  <w:tcW w:w="1932" w:type="pct"/>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r>
                    <w:rPr>
                      <w:color w:val="auto"/>
                      <w:highlight w:val="none"/>
                    </w:rPr>
                    <w:t>3.六街片区优化布局，企业与翠柏自然保护区边界预留5米缓冲地带。</w:t>
                  </w:r>
                </w:p>
              </w:tc>
              <w:tc>
                <w:tcPr>
                  <w:tcW w:w="1986" w:type="pct"/>
                  <w:tcBorders>
                    <w:tl2br w:val="nil"/>
                    <w:tr2bl w:val="nil"/>
                  </w:tcBorders>
                  <w:shd w:val="clear" w:color="auto" w:fill="auto"/>
                  <w:noWrap w:val="0"/>
                  <w:tcMar>
                    <w:top w:w="57" w:type="dxa"/>
                    <w:left w:w="57" w:type="dxa"/>
                    <w:bottom w:w="57" w:type="dxa"/>
                    <w:right w:w="57" w:type="dxa"/>
                  </w:tcMar>
                  <w:vAlign w:val="center"/>
                </w:tcPr>
                <w:p>
                  <w:pPr>
                    <w:pStyle w:val="34"/>
                    <w:bidi w:val="0"/>
                    <w:jc w:val="center"/>
                    <w:rPr>
                      <w:rFonts w:hint="eastAsia" w:eastAsia="宋体"/>
                      <w:color w:val="auto"/>
                      <w:highlight w:val="none"/>
                      <w:lang w:eastAsia="zh-CN"/>
                    </w:rPr>
                  </w:pPr>
                  <w:r>
                    <w:rPr>
                      <w:rFonts w:hint="eastAsia"/>
                      <w:color w:val="auto"/>
                      <w:highlight w:val="none"/>
                    </w:rPr>
                    <w:t>本项目位于</w:t>
                  </w:r>
                  <w:r>
                    <w:rPr>
                      <w:rFonts w:hint="eastAsia"/>
                      <w:color w:val="auto"/>
                      <w:highlight w:val="none"/>
                      <w:lang w:val="en-US" w:eastAsia="zh-CN"/>
                    </w:rPr>
                    <w:t>云南</w:t>
                  </w:r>
                  <w:r>
                    <w:rPr>
                      <w:rFonts w:hint="default"/>
                      <w:color w:val="auto"/>
                      <w:highlight w:val="none"/>
                      <w:lang w:val="en-US" w:eastAsia="zh-CN"/>
                    </w:rPr>
                    <w:t>易门产业园区大椿树片区，</w:t>
                  </w:r>
                  <w:r>
                    <w:rPr>
                      <w:rFonts w:hint="eastAsia"/>
                      <w:color w:val="auto"/>
                      <w:highlight w:val="none"/>
                      <w:lang w:val="en-US" w:eastAsia="zh-CN"/>
                    </w:rPr>
                    <w:t>不涉及该条内容。</w:t>
                  </w:r>
                </w:p>
              </w:tc>
              <w:tc>
                <w:tcPr>
                  <w:tcW w:w="380" w:type="pct"/>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r>
                    <w:rPr>
                      <w:rFonts w:hint="eastAsia"/>
                      <w:b w:val="0"/>
                      <w:bCs w:val="0"/>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450" w:type="pct"/>
                  <w:vMerge w:val="continue"/>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p>
              </w:tc>
              <w:tc>
                <w:tcPr>
                  <w:tcW w:w="250" w:type="pct"/>
                  <w:vMerge w:val="continue"/>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p>
              </w:tc>
              <w:tc>
                <w:tcPr>
                  <w:tcW w:w="1932" w:type="pct"/>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r>
                    <w:rPr>
                      <w:color w:val="auto"/>
                      <w:highlight w:val="none"/>
                    </w:rPr>
                    <w:t>4.麦子田片区布局重污染企业远离六街街道居民集中区。</w:t>
                  </w:r>
                </w:p>
              </w:tc>
              <w:tc>
                <w:tcPr>
                  <w:tcW w:w="1986" w:type="pct"/>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r>
                    <w:rPr>
                      <w:rFonts w:hint="eastAsia"/>
                      <w:color w:val="auto"/>
                      <w:highlight w:val="none"/>
                    </w:rPr>
                    <w:t>本项目位于</w:t>
                  </w:r>
                  <w:r>
                    <w:rPr>
                      <w:rFonts w:hint="eastAsia"/>
                      <w:color w:val="auto"/>
                      <w:highlight w:val="none"/>
                      <w:lang w:val="en-US" w:eastAsia="zh-CN"/>
                    </w:rPr>
                    <w:t>云南</w:t>
                  </w:r>
                  <w:r>
                    <w:rPr>
                      <w:rFonts w:hint="default"/>
                      <w:color w:val="auto"/>
                      <w:highlight w:val="none"/>
                      <w:lang w:val="en-US" w:eastAsia="zh-CN"/>
                    </w:rPr>
                    <w:t>易门产业园区大椿树片区，</w:t>
                  </w:r>
                  <w:r>
                    <w:rPr>
                      <w:rFonts w:hint="eastAsia"/>
                      <w:color w:val="auto"/>
                      <w:highlight w:val="none"/>
                      <w:lang w:val="en-US" w:eastAsia="zh-CN"/>
                    </w:rPr>
                    <w:t>不涉及该条内容。</w:t>
                  </w:r>
                </w:p>
              </w:tc>
              <w:tc>
                <w:tcPr>
                  <w:tcW w:w="380" w:type="pct"/>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r>
                    <w:rPr>
                      <w:rFonts w:hint="eastAsia"/>
                      <w:b w:val="0"/>
                      <w:bCs w:val="0"/>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450" w:type="pct"/>
                  <w:vMerge w:val="continue"/>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p>
              </w:tc>
              <w:tc>
                <w:tcPr>
                  <w:tcW w:w="250" w:type="pct"/>
                  <w:vMerge w:val="continue"/>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p>
              </w:tc>
              <w:tc>
                <w:tcPr>
                  <w:tcW w:w="1932" w:type="pct"/>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r>
                    <w:rPr>
                      <w:color w:val="auto"/>
                      <w:highlight w:val="none"/>
                    </w:rPr>
                    <w:t>5.大椿树片区控制传统陶瓷业，鼓励产业链延伸，加大中高档产品的开发布局；鼓励粗铜精深加工，大力发展下游产品的发展。</w:t>
                  </w:r>
                </w:p>
              </w:tc>
              <w:tc>
                <w:tcPr>
                  <w:tcW w:w="1986" w:type="pct"/>
                  <w:tcBorders>
                    <w:tl2br w:val="nil"/>
                    <w:tr2bl w:val="nil"/>
                  </w:tcBorders>
                  <w:shd w:val="clear" w:color="auto" w:fill="auto"/>
                  <w:noWrap w:val="0"/>
                  <w:tcMar>
                    <w:top w:w="57" w:type="dxa"/>
                    <w:left w:w="57" w:type="dxa"/>
                    <w:bottom w:w="57" w:type="dxa"/>
                    <w:right w:w="57" w:type="dxa"/>
                  </w:tcMar>
                  <w:vAlign w:val="center"/>
                </w:tcPr>
                <w:p>
                  <w:pPr>
                    <w:pStyle w:val="34"/>
                    <w:bidi w:val="0"/>
                    <w:rPr>
                      <w:rFonts w:hint="default"/>
                      <w:color w:val="auto"/>
                      <w:highlight w:val="none"/>
                      <w:lang w:val="en-US" w:eastAsia="zh-CN"/>
                    </w:rPr>
                  </w:pPr>
                  <w:r>
                    <w:rPr>
                      <w:rFonts w:hint="default"/>
                      <w:color w:val="auto"/>
                      <w:highlight w:val="none"/>
                      <w:lang w:val="en-US" w:eastAsia="zh-CN"/>
                    </w:rPr>
                    <w:t>本项目为</w:t>
                  </w:r>
                  <w:r>
                    <w:rPr>
                      <w:rFonts w:hint="eastAsia"/>
                      <w:color w:val="auto"/>
                      <w:highlight w:val="none"/>
                      <w:lang w:val="en-US" w:eastAsia="zh-CN"/>
                    </w:rPr>
                    <w:t>制氧系统技术改造节能项目，属于易门铜业有限公司铜冶炼配套公用工程，</w:t>
                  </w:r>
                  <w:r>
                    <w:rPr>
                      <w:rFonts w:hint="default"/>
                      <w:color w:val="auto"/>
                      <w:highlight w:val="none"/>
                      <w:lang w:val="en-US" w:eastAsia="zh-CN"/>
                    </w:rPr>
                    <w:t>位于</w:t>
                  </w:r>
                  <w:r>
                    <w:rPr>
                      <w:rFonts w:hint="eastAsia"/>
                      <w:color w:val="auto"/>
                      <w:highlight w:val="none"/>
                      <w:lang w:val="en-US" w:eastAsia="zh-CN"/>
                    </w:rPr>
                    <w:t>云南</w:t>
                  </w:r>
                  <w:r>
                    <w:rPr>
                      <w:rFonts w:hint="default"/>
                      <w:color w:val="auto"/>
                      <w:highlight w:val="none"/>
                      <w:lang w:val="en-US" w:eastAsia="zh-CN"/>
                    </w:rPr>
                    <w:t>易门产业园区大椿树片区，</w:t>
                  </w:r>
                  <w:r>
                    <w:rPr>
                      <w:rFonts w:hint="eastAsia"/>
                      <w:color w:val="auto"/>
                      <w:highlight w:val="none"/>
                      <w:lang w:val="en-US" w:eastAsia="zh-CN"/>
                    </w:rPr>
                    <w:t>项目属于易门铜业有限公司的配套工程项目，符合园区规划。</w:t>
                  </w:r>
                </w:p>
              </w:tc>
              <w:tc>
                <w:tcPr>
                  <w:tcW w:w="380" w:type="pct"/>
                  <w:tcBorders>
                    <w:tl2br w:val="nil"/>
                    <w:tr2bl w:val="nil"/>
                  </w:tcBorders>
                  <w:shd w:val="clear" w:color="auto" w:fill="auto"/>
                  <w:noWrap w:val="0"/>
                  <w:tcMar>
                    <w:top w:w="57" w:type="dxa"/>
                    <w:left w:w="57" w:type="dxa"/>
                    <w:bottom w:w="57" w:type="dxa"/>
                    <w:right w:w="57" w:type="dxa"/>
                  </w:tcMar>
                  <w:vAlign w:val="center"/>
                </w:tcPr>
                <w:p>
                  <w:pPr>
                    <w:pStyle w:val="34"/>
                    <w:bidi w:val="0"/>
                    <w:rPr>
                      <w:rFonts w:hint="eastAsia" w:eastAsia="宋体"/>
                      <w:color w:val="auto"/>
                      <w:highlight w:val="none"/>
                      <w:lang w:val="en-US" w:eastAsia="zh-CN"/>
                    </w:rPr>
                  </w:pPr>
                  <w:r>
                    <w:rPr>
                      <w:rFonts w:hint="eastAsia"/>
                      <w:color w:val="auto"/>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450" w:type="pct"/>
                  <w:vMerge w:val="continue"/>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p>
              </w:tc>
              <w:tc>
                <w:tcPr>
                  <w:tcW w:w="250" w:type="pct"/>
                  <w:vMerge w:val="continue"/>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p>
              </w:tc>
              <w:tc>
                <w:tcPr>
                  <w:tcW w:w="1932" w:type="pct"/>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r>
                    <w:rPr>
                      <w:color w:val="auto"/>
                      <w:highlight w:val="none"/>
                    </w:rPr>
                    <w:t>6.稀贵金属产业园尽量将主要污染装置避开大龙口组灰岩地层。</w:t>
                  </w:r>
                </w:p>
              </w:tc>
              <w:tc>
                <w:tcPr>
                  <w:tcW w:w="1986" w:type="pct"/>
                  <w:tcBorders>
                    <w:tl2br w:val="nil"/>
                    <w:tr2bl w:val="nil"/>
                  </w:tcBorders>
                  <w:shd w:val="clear" w:color="auto" w:fill="auto"/>
                  <w:noWrap w:val="0"/>
                  <w:tcMar>
                    <w:top w:w="57" w:type="dxa"/>
                    <w:left w:w="57" w:type="dxa"/>
                    <w:bottom w:w="57" w:type="dxa"/>
                    <w:right w:w="57" w:type="dxa"/>
                  </w:tcMar>
                  <w:vAlign w:val="center"/>
                </w:tcPr>
                <w:p>
                  <w:pPr>
                    <w:pStyle w:val="34"/>
                    <w:bidi w:val="0"/>
                    <w:rPr>
                      <w:rFonts w:hint="default"/>
                      <w:color w:val="auto"/>
                      <w:highlight w:val="none"/>
                      <w:lang w:val="en-US" w:eastAsia="zh-CN"/>
                    </w:rPr>
                  </w:pPr>
                  <w:r>
                    <w:rPr>
                      <w:rFonts w:hint="eastAsia"/>
                      <w:color w:val="auto"/>
                      <w:highlight w:val="none"/>
                      <w:lang w:val="en-US" w:eastAsia="zh-CN"/>
                    </w:rPr>
                    <w:t>本项目不涉及</w:t>
                  </w:r>
                </w:p>
              </w:tc>
              <w:tc>
                <w:tcPr>
                  <w:tcW w:w="380" w:type="pct"/>
                  <w:tcBorders>
                    <w:tl2br w:val="nil"/>
                    <w:tr2bl w:val="nil"/>
                  </w:tcBorders>
                  <w:shd w:val="clear" w:color="auto" w:fill="auto"/>
                  <w:noWrap w:val="0"/>
                  <w:tcMar>
                    <w:top w:w="57" w:type="dxa"/>
                    <w:left w:w="57" w:type="dxa"/>
                    <w:bottom w:w="57" w:type="dxa"/>
                    <w:right w:w="57" w:type="dxa"/>
                  </w:tcMar>
                  <w:vAlign w:val="center"/>
                </w:tcPr>
                <w:p>
                  <w:pPr>
                    <w:pStyle w:val="34"/>
                    <w:bidi w:val="0"/>
                    <w:rPr>
                      <w:rFonts w:hint="eastAsia" w:eastAsia="宋体"/>
                      <w:color w:val="auto"/>
                      <w:highlight w:val="none"/>
                      <w:lang w:val="en-US" w:eastAsia="zh-CN"/>
                    </w:rPr>
                  </w:pPr>
                  <w:r>
                    <w:rPr>
                      <w:rFonts w:hint="eastAsia"/>
                      <w:b w:val="0"/>
                      <w:bCs w:val="0"/>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450" w:type="pct"/>
                  <w:vMerge w:val="continue"/>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p>
              </w:tc>
              <w:tc>
                <w:tcPr>
                  <w:tcW w:w="250" w:type="pct"/>
                  <w:vMerge w:val="restart"/>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r>
                    <w:rPr>
                      <w:color w:val="auto"/>
                      <w:highlight w:val="none"/>
                    </w:rPr>
                    <w:t>污染物排放管控</w:t>
                  </w:r>
                </w:p>
              </w:tc>
              <w:tc>
                <w:tcPr>
                  <w:tcW w:w="1932" w:type="pct"/>
                  <w:tcBorders>
                    <w:tl2br w:val="nil"/>
                    <w:tr2bl w:val="nil"/>
                  </w:tcBorders>
                  <w:shd w:val="clear" w:color="auto" w:fill="auto"/>
                  <w:noWrap w:val="0"/>
                  <w:tcMar>
                    <w:top w:w="57" w:type="dxa"/>
                    <w:left w:w="57" w:type="dxa"/>
                    <w:bottom w:w="57" w:type="dxa"/>
                    <w:right w:w="57" w:type="dxa"/>
                  </w:tcMar>
                  <w:vAlign w:val="center"/>
                </w:tcPr>
                <w:p>
                  <w:pPr>
                    <w:pStyle w:val="34"/>
                    <w:bidi w:val="0"/>
                    <w:jc w:val="both"/>
                    <w:rPr>
                      <w:rFonts w:hint="default"/>
                      <w:color w:val="auto"/>
                      <w:highlight w:val="none"/>
                    </w:rPr>
                  </w:pPr>
                  <w:r>
                    <w:rPr>
                      <w:color w:val="auto"/>
                      <w:highlight w:val="none"/>
                    </w:rPr>
                    <w:t>1.积极开展区域地表水环境综合整治，加强园区清污分流、雨污分流系统建设，提高生活污水的截污率，为产业布局腾出环境容量。</w:t>
                  </w:r>
                </w:p>
              </w:tc>
              <w:tc>
                <w:tcPr>
                  <w:tcW w:w="1986" w:type="pct"/>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r>
                    <w:rPr>
                      <w:rFonts w:hint="eastAsia"/>
                      <w:color w:val="auto"/>
                      <w:highlight w:val="none"/>
                      <w:lang w:val="en-US" w:eastAsia="zh-CN"/>
                    </w:rPr>
                    <w:t>本项目不涉及</w:t>
                  </w:r>
                </w:p>
              </w:tc>
              <w:tc>
                <w:tcPr>
                  <w:tcW w:w="380" w:type="pct"/>
                  <w:tcBorders>
                    <w:tl2br w:val="nil"/>
                    <w:tr2bl w:val="nil"/>
                  </w:tcBorders>
                  <w:shd w:val="clear" w:color="auto" w:fill="auto"/>
                  <w:noWrap w:val="0"/>
                  <w:tcMar>
                    <w:top w:w="57" w:type="dxa"/>
                    <w:left w:w="57" w:type="dxa"/>
                    <w:bottom w:w="57" w:type="dxa"/>
                    <w:right w:w="57" w:type="dxa"/>
                  </w:tcMar>
                  <w:vAlign w:val="center"/>
                </w:tcPr>
                <w:p>
                  <w:pPr>
                    <w:pStyle w:val="34"/>
                    <w:bidi w:val="0"/>
                    <w:ind w:left="0" w:leftChars="0" w:firstLine="0" w:firstLineChars="0"/>
                    <w:rPr>
                      <w:color w:val="auto"/>
                      <w:highlight w:val="none"/>
                    </w:rPr>
                  </w:pPr>
                  <w:r>
                    <w:rPr>
                      <w:rFonts w:hint="eastAsia"/>
                      <w:b w:val="0"/>
                      <w:bCs w:val="0"/>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450" w:type="pct"/>
                  <w:vMerge w:val="continue"/>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p>
              </w:tc>
              <w:tc>
                <w:tcPr>
                  <w:tcW w:w="250" w:type="pct"/>
                  <w:vMerge w:val="continue"/>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p>
              </w:tc>
              <w:tc>
                <w:tcPr>
                  <w:tcW w:w="1932" w:type="pct"/>
                  <w:tcBorders>
                    <w:tl2br w:val="nil"/>
                    <w:tr2bl w:val="nil"/>
                  </w:tcBorders>
                  <w:shd w:val="clear" w:color="auto" w:fill="auto"/>
                  <w:noWrap w:val="0"/>
                  <w:tcMar>
                    <w:top w:w="57" w:type="dxa"/>
                    <w:left w:w="57" w:type="dxa"/>
                    <w:bottom w:w="57" w:type="dxa"/>
                    <w:right w:w="57" w:type="dxa"/>
                  </w:tcMar>
                  <w:vAlign w:val="center"/>
                </w:tcPr>
                <w:p>
                  <w:pPr>
                    <w:pStyle w:val="34"/>
                    <w:bidi w:val="0"/>
                    <w:jc w:val="both"/>
                    <w:rPr>
                      <w:rFonts w:hint="default"/>
                      <w:color w:val="auto"/>
                      <w:highlight w:val="none"/>
                      <w:lang w:val="en-US" w:eastAsia="zh-CN"/>
                    </w:rPr>
                  </w:pPr>
                  <w:r>
                    <w:rPr>
                      <w:color w:val="auto"/>
                      <w:highlight w:val="none"/>
                    </w:rPr>
                    <w:t>2.生产废水由企业自行建设废水处理站处理后，回用于生产，严禁外排；生活污水经处理达三级污水综合排放标准后排入各片区污水处理厂处理，园区应加快污水处理设施及配套管网建设，确保产业园区废水处理率达到100%。除园区污水处理厂入河排污口外，不新设、改设或者扩大排污口，园区污水处理厂必须处理达到《城镇污水处理厂污染物排放标准》（GB18918－2002）一级A标后达标外排。</w:t>
                  </w:r>
                </w:p>
              </w:tc>
              <w:tc>
                <w:tcPr>
                  <w:tcW w:w="1986" w:type="pct"/>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r>
                    <w:rPr>
                      <w:rFonts w:hint="eastAsia"/>
                      <w:color w:val="auto"/>
                      <w:highlight w:val="none"/>
                      <w:lang w:val="en-US" w:eastAsia="zh-CN"/>
                    </w:rPr>
                    <w:t>本项目实行雨污分流制，本项目循环冷却水循环使用，循环冷却系统排污水经厂区已建生产废水深度水处理站处理达标后回用于易门铜业有限公司冶炼渣缓冷场，不外排；生活污水经收集后进入厂区生活污水处理站进行处理，处理达标后回用于绿化浇洒，不外排。</w:t>
                  </w:r>
                </w:p>
              </w:tc>
              <w:tc>
                <w:tcPr>
                  <w:tcW w:w="380" w:type="pct"/>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r>
                    <w:rPr>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450" w:type="pct"/>
                  <w:vMerge w:val="continue"/>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p>
              </w:tc>
              <w:tc>
                <w:tcPr>
                  <w:tcW w:w="250" w:type="pct"/>
                  <w:vMerge w:val="continue"/>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p>
              </w:tc>
              <w:tc>
                <w:tcPr>
                  <w:tcW w:w="1932" w:type="pct"/>
                  <w:tcBorders>
                    <w:tl2br w:val="nil"/>
                    <w:tr2bl w:val="nil"/>
                  </w:tcBorders>
                  <w:shd w:val="clear" w:color="auto" w:fill="auto"/>
                  <w:noWrap w:val="0"/>
                  <w:tcMar>
                    <w:top w:w="57" w:type="dxa"/>
                    <w:left w:w="57" w:type="dxa"/>
                    <w:bottom w:w="57" w:type="dxa"/>
                    <w:right w:w="57" w:type="dxa"/>
                  </w:tcMar>
                  <w:vAlign w:val="center"/>
                </w:tcPr>
                <w:p>
                  <w:pPr>
                    <w:pStyle w:val="34"/>
                    <w:bidi w:val="0"/>
                    <w:rPr>
                      <w:rFonts w:hint="default"/>
                      <w:color w:val="auto"/>
                      <w:highlight w:val="none"/>
                      <w:lang w:val="en-US" w:eastAsia="zh-CN"/>
                    </w:rPr>
                  </w:pPr>
                  <w:r>
                    <w:rPr>
                      <w:color w:val="auto"/>
                      <w:highlight w:val="none"/>
                    </w:rPr>
                    <w:t>3.现有重污染企业要开展技术升级改造和环保设施提标改造，减少污染排放。</w:t>
                  </w:r>
                </w:p>
              </w:tc>
              <w:tc>
                <w:tcPr>
                  <w:tcW w:w="1986" w:type="pct"/>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r>
                    <w:rPr>
                      <w:rFonts w:hint="eastAsia"/>
                      <w:color w:val="auto"/>
                      <w:highlight w:val="none"/>
                      <w:lang w:eastAsia="zh-CN"/>
                    </w:rPr>
                    <w:t>本项目不属于</w:t>
                  </w:r>
                  <w:r>
                    <w:rPr>
                      <w:color w:val="auto"/>
                      <w:highlight w:val="none"/>
                    </w:rPr>
                    <w:t>电解铝</w:t>
                  </w:r>
                  <w:r>
                    <w:rPr>
                      <w:rFonts w:hint="eastAsia"/>
                      <w:color w:val="auto"/>
                      <w:highlight w:val="none"/>
                      <w:lang w:val="en-US" w:eastAsia="zh-CN"/>
                    </w:rPr>
                    <w:t>行业</w:t>
                  </w:r>
                  <w:r>
                    <w:rPr>
                      <w:color w:val="auto"/>
                      <w:highlight w:val="none"/>
                    </w:rPr>
                    <w:t>。</w:t>
                  </w:r>
                </w:p>
              </w:tc>
              <w:tc>
                <w:tcPr>
                  <w:tcW w:w="380" w:type="pct"/>
                  <w:tcBorders>
                    <w:tl2br w:val="nil"/>
                    <w:tr2bl w:val="nil"/>
                  </w:tcBorders>
                  <w:shd w:val="clear" w:color="auto" w:fill="auto"/>
                  <w:noWrap w:val="0"/>
                  <w:tcMar>
                    <w:top w:w="57" w:type="dxa"/>
                    <w:left w:w="57" w:type="dxa"/>
                    <w:bottom w:w="57" w:type="dxa"/>
                    <w:right w:w="57" w:type="dxa"/>
                  </w:tcMar>
                  <w:vAlign w:val="center"/>
                </w:tcPr>
                <w:p>
                  <w:pPr>
                    <w:pStyle w:val="34"/>
                    <w:bidi w:val="0"/>
                    <w:rPr>
                      <w:rFonts w:hint="eastAsia"/>
                      <w:color w:val="auto"/>
                      <w:highlight w:val="none"/>
                    </w:rPr>
                  </w:pPr>
                  <w:r>
                    <w:rPr>
                      <w:rFonts w:hint="eastAsia"/>
                      <w:b w:val="0"/>
                      <w:bCs w:val="0"/>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450" w:type="pct"/>
                  <w:vMerge w:val="continue"/>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p>
              </w:tc>
              <w:tc>
                <w:tcPr>
                  <w:tcW w:w="250" w:type="pct"/>
                  <w:vMerge w:val="restart"/>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r>
                    <w:rPr>
                      <w:color w:val="auto"/>
                      <w:highlight w:val="none"/>
                    </w:rPr>
                    <w:t>环境风险防控</w:t>
                  </w:r>
                </w:p>
              </w:tc>
              <w:tc>
                <w:tcPr>
                  <w:tcW w:w="1932" w:type="pct"/>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r>
                    <w:rPr>
                      <w:color w:val="auto"/>
                      <w:highlight w:val="none"/>
                    </w:rPr>
                    <w:t>1.靠近城区居民分布密集区周边区域不宜布置日常储量构成重大危险源的使用危险化学品的项目。</w:t>
                  </w:r>
                </w:p>
              </w:tc>
              <w:tc>
                <w:tcPr>
                  <w:tcW w:w="1986" w:type="pct"/>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r>
                    <w:rPr>
                      <w:rFonts w:hint="default"/>
                      <w:color w:val="auto"/>
                      <w:highlight w:val="none"/>
                      <w:lang w:val="en-US" w:eastAsia="zh-CN"/>
                    </w:rPr>
                    <w:t>本项目为</w:t>
                  </w:r>
                  <w:r>
                    <w:rPr>
                      <w:rFonts w:hint="eastAsia"/>
                      <w:color w:val="auto"/>
                      <w:highlight w:val="none"/>
                      <w:lang w:val="en-US" w:eastAsia="zh-CN"/>
                    </w:rPr>
                    <w:t>制氧系统技术改造节能项目，属于易门铜业有限公司铜冶炼配套公用工程，不属于重污染项目。</w:t>
                  </w:r>
                </w:p>
              </w:tc>
              <w:tc>
                <w:tcPr>
                  <w:tcW w:w="380" w:type="pct"/>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r>
                    <w:rPr>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450" w:type="pct"/>
                  <w:vMerge w:val="continue"/>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p>
              </w:tc>
              <w:tc>
                <w:tcPr>
                  <w:tcW w:w="250" w:type="pct"/>
                  <w:vMerge w:val="continue"/>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p>
              </w:tc>
              <w:tc>
                <w:tcPr>
                  <w:tcW w:w="1932" w:type="pct"/>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r>
                    <w:rPr>
                      <w:color w:val="auto"/>
                      <w:highlight w:val="none"/>
                    </w:rPr>
                    <w:t>2.各片区应注重液氨和天然气等危险化学品的贮存和风险防范，其最大可信事故半致死浓度范围内不得有居民点存在。</w:t>
                  </w:r>
                </w:p>
              </w:tc>
              <w:tc>
                <w:tcPr>
                  <w:tcW w:w="1986" w:type="pct"/>
                  <w:tcBorders>
                    <w:tl2br w:val="nil"/>
                    <w:tr2bl w:val="nil"/>
                  </w:tcBorders>
                  <w:shd w:val="clear" w:color="auto" w:fill="auto"/>
                  <w:noWrap w:val="0"/>
                  <w:tcMar>
                    <w:top w:w="57" w:type="dxa"/>
                    <w:left w:w="57" w:type="dxa"/>
                    <w:bottom w:w="57" w:type="dxa"/>
                    <w:right w:w="57" w:type="dxa"/>
                  </w:tcMar>
                  <w:vAlign w:val="center"/>
                </w:tcPr>
                <w:p>
                  <w:pPr>
                    <w:pStyle w:val="34"/>
                    <w:bidi w:val="0"/>
                    <w:rPr>
                      <w:rFonts w:hint="eastAsia"/>
                      <w:color w:val="auto"/>
                      <w:highlight w:val="none"/>
                    </w:rPr>
                  </w:pPr>
                  <w:r>
                    <w:rPr>
                      <w:rFonts w:hint="default"/>
                      <w:color w:val="auto"/>
                      <w:highlight w:val="none"/>
                      <w:lang w:val="en-US" w:eastAsia="zh-CN"/>
                    </w:rPr>
                    <w:t>本项目为</w:t>
                  </w:r>
                  <w:r>
                    <w:rPr>
                      <w:rFonts w:hint="eastAsia"/>
                      <w:color w:val="auto"/>
                      <w:highlight w:val="none"/>
                      <w:lang w:val="en-US" w:eastAsia="zh-CN"/>
                    </w:rPr>
                    <w:t>制氧系统技术改造节能项目，属于易门铜业有限公司铜冶炼配套公用工程，不涉及使用</w:t>
                  </w:r>
                  <w:r>
                    <w:rPr>
                      <w:color w:val="auto"/>
                      <w:highlight w:val="none"/>
                    </w:rPr>
                    <w:t>液氨和天然气等危险化学品</w:t>
                  </w:r>
                  <w:r>
                    <w:rPr>
                      <w:rFonts w:hint="eastAsia"/>
                      <w:color w:val="auto"/>
                      <w:highlight w:val="none"/>
                      <w:lang w:eastAsia="zh-CN"/>
                    </w:rPr>
                    <w:t>。</w:t>
                  </w:r>
                  <w:r>
                    <w:rPr>
                      <w:rFonts w:hint="eastAsia"/>
                      <w:color w:val="auto"/>
                      <w:highlight w:val="none"/>
                    </w:rPr>
                    <w:t>项目</w:t>
                  </w:r>
                  <w:r>
                    <w:rPr>
                      <w:rFonts w:hint="eastAsia"/>
                      <w:color w:val="auto"/>
                      <w:highlight w:val="none"/>
                      <w:lang w:eastAsia="zh-CN"/>
                    </w:rPr>
                    <w:t>将结合相关要求</w:t>
                  </w:r>
                  <w:r>
                    <w:rPr>
                      <w:rFonts w:hint="eastAsia"/>
                      <w:color w:val="auto"/>
                      <w:highlight w:val="none"/>
                    </w:rPr>
                    <w:t>制定建筑安全防范措施、危险废物暂存管理</w:t>
                  </w:r>
                  <w:r>
                    <w:rPr>
                      <w:rFonts w:hint="eastAsia"/>
                      <w:color w:val="auto"/>
                      <w:highlight w:val="none"/>
                      <w:lang w:eastAsia="zh-CN"/>
                    </w:rPr>
                    <w:t>、</w:t>
                  </w:r>
                  <w:r>
                    <w:rPr>
                      <w:rFonts w:hint="eastAsia"/>
                      <w:color w:val="auto"/>
                      <w:highlight w:val="none"/>
                    </w:rPr>
                    <w:t>危险物品运输风险防范措施</w:t>
                  </w:r>
                  <w:r>
                    <w:rPr>
                      <w:rFonts w:hint="eastAsia"/>
                      <w:color w:val="auto"/>
                      <w:highlight w:val="none"/>
                      <w:lang w:eastAsia="zh-CN"/>
                    </w:rPr>
                    <w:t>、</w:t>
                  </w:r>
                  <w:r>
                    <w:rPr>
                      <w:rFonts w:hint="eastAsia"/>
                      <w:color w:val="auto"/>
                      <w:highlight w:val="none"/>
                    </w:rPr>
                    <w:t>物质泄漏风险防范措施等。</w:t>
                  </w:r>
                </w:p>
              </w:tc>
              <w:tc>
                <w:tcPr>
                  <w:tcW w:w="380" w:type="pct"/>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r>
                    <w:rPr>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450" w:type="pct"/>
                  <w:vMerge w:val="continue"/>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p>
              </w:tc>
              <w:tc>
                <w:tcPr>
                  <w:tcW w:w="250" w:type="pct"/>
                  <w:vMerge w:val="continue"/>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p>
              </w:tc>
              <w:tc>
                <w:tcPr>
                  <w:tcW w:w="1932" w:type="pct"/>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r>
                    <w:rPr>
                      <w:color w:val="auto"/>
                      <w:highlight w:val="none"/>
                    </w:rPr>
                    <w:t>3.对于进驻园区项目在选址布局时要充分考虑卫生防护距离的要求。</w:t>
                  </w:r>
                </w:p>
              </w:tc>
              <w:tc>
                <w:tcPr>
                  <w:tcW w:w="1986" w:type="pct"/>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r>
                    <w:rPr>
                      <w:rFonts w:hint="eastAsia"/>
                      <w:color w:val="auto"/>
                      <w:highlight w:val="none"/>
                      <w:lang w:val="en-US" w:eastAsia="zh-CN"/>
                    </w:rPr>
                    <w:t>本项目位于云南易门产业园区大椿树片区，项目运营期无废气污染物产生，无须设置</w:t>
                  </w:r>
                  <w:r>
                    <w:rPr>
                      <w:color w:val="auto"/>
                      <w:highlight w:val="none"/>
                    </w:rPr>
                    <w:t>卫生</w:t>
                  </w:r>
                  <w:r>
                    <w:rPr>
                      <w:rFonts w:hint="eastAsia"/>
                      <w:color w:val="auto"/>
                      <w:highlight w:val="none"/>
                      <w:lang w:val="en-US" w:eastAsia="zh-CN"/>
                    </w:rPr>
                    <w:t>防护距离。</w:t>
                  </w:r>
                </w:p>
              </w:tc>
              <w:tc>
                <w:tcPr>
                  <w:tcW w:w="380" w:type="pct"/>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r>
                    <w:rPr>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450" w:type="pct"/>
                  <w:vMerge w:val="continue"/>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p>
              </w:tc>
              <w:tc>
                <w:tcPr>
                  <w:tcW w:w="250" w:type="pct"/>
                  <w:vMerge w:val="continue"/>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p>
              </w:tc>
              <w:tc>
                <w:tcPr>
                  <w:tcW w:w="1932" w:type="pct"/>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r>
                    <w:rPr>
                      <w:color w:val="auto"/>
                      <w:highlight w:val="none"/>
                    </w:rPr>
                    <w:t>4.制定突发环境事件应急预案，完善风险管理机制，加强风险控制防范。建立区域环境监测制度，加强规划实施的跟踪监测与管理。</w:t>
                  </w:r>
                </w:p>
              </w:tc>
              <w:tc>
                <w:tcPr>
                  <w:tcW w:w="1986" w:type="pct"/>
                  <w:tcBorders>
                    <w:tl2br w:val="nil"/>
                    <w:tr2bl w:val="nil"/>
                  </w:tcBorders>
                  <w:shd w:val="clear" w:color="auto" w:fill="auto"/>
                  <w:noWrap w:val="0"/>
                  <w:tcMar>
                    <w:top w:w="57" w:type="dxa"/>
                    <w:left w:w="57" w:type="dxa"/>
                    <w:bottom w:w="57" w:type="dxa"/>
                    <w:right w:w="57" w:type="dxa"/>
                  </w:tcMar>
                  <w:vAlign w:val="center"/>
                </w:tcPr>
                <w:p>
                  <w:pPr>
                    <w:pStyle w:val="34"/>
                    <w:bidi w:val="0"/>
                    <w:rPr>
                      <w:rFonts w:hint="eastAsia"/>
                      <w:color w:val="auto"/>
                      <w:highlight w:val="none"/>
                    </w:rPr>
                  </w:pPr>
                  <w:r>
                    <w:rPr>
                      <w:rFonts w:hint="eastAsia"/>
                      <w:color w:val="auto"/>
                      <w:highlight w:val="none"/>
                      <w:lang w:val="en-US" w:eastAsia="zh-CN"/>
                    </w:rPr>
                    <w:t>本项目改建完成后</w:t>
                  </w:r>
                  <w:r>
                    <w:rPr>
                      <w:rFonts w:hint="eastAsia"/>
                      <w:color w:val="auto"/>
                      <w:highlight w:val="none"/>
                    </w:rPr>
                    <w:t>建设单位</w:t>
                  </w:r>
                  <w:r>
                    <w:rPr>
                      <w:rFonts w:hint="eastAsia"/>
                      <w:color w:val="auto"/>
                      <w:highlight w:val="none"/>
                      <w:lang w:val="en-US" w:eastAsia="zh-CN"/>
                    </w:rPr>
                    <w:t>应及时对全场应急预案进行修编，并</w:t>
                  </w:r>
                  <w:r>
                    <w:rPr>
                      <w:rFonts w:hint="eastAsia"/>
                      <w:color w:val="auto"/>
                      <w:highlight w:val="none"/>
                    </w:rPr>
                    <w:t>结合</w:t>
                  </w:r>
                  <w:r>
                    <w:rPr>
                      <w:rFonts w:hint="eastAsia"/>
                      <w:color w:val="auto"/>
                      <w:highlight w:val="none"/>
                      <w:lang w:eastAsia="zh-CN"/>
                    </w:rPr>
                    <w:t>项目</w:t>
                  </w:r>
                  <w:r>
                    <w:rPr>
                      <w:rFonts w:hint="eastAsia"/>
                      <w:color w:val="auto"/>
                      <w:highlight w:val="none"/>
                    </w:rPr>
                    <w:t>实际情况，</w:t>
                  </w:r>
                  <w:r>
                    <w:rPr>
                      <w:rFonts w:hint="eastAsia"/>
                      <w:color w:val="auto"/>
                      <w:highlight w:val="none"/>
                      <w:lang w:eastAsia="zh-CN"/>
                    </w:rPr>
                    <w:t>建立健全</w:t>
                  </w:r>
                  <w:r>
                    <w:rPr>
                      <w:color w:val="auto"/>
                      <w:highlight w:val="none"/>
                    </w:rPr>
                    <w:t>突发环境事件预警应急机制</w:t>
                  </w:r>
                  <w:r>
                    <w:rPr>
                      <w:rFonts w:hint="eastAsia"/>
                      <w:color w:val="auto"/>
                      <w:highlight w:val="none"/>
                      <w:lang w:eastAsia="zh-CN"/>
                    </w:rPr>
                    <w:t>，建立完善的环境监测制度</w:t>
                  </w:r>
                  <w:r>
                    <w:rPr>
                      <w:color w:val="auto"/>
                      <w:highlight w:val="none"/>
                    </w:rPr>
                    <w:t>。</w:t>
                  </w:r>
                </w:p>
              </w:tc>
              <w:tc>
                <w:tcPr>
                  <w:tcW w:w="380" w:type="pct"/>
                  <w:tcBorders>
                    <w:tl2br w:val="nil"/>
                    <w:tr2bl w:val="nil"/>
                  </w:tcBorders>
                  <w:shd w:val="clear" w:color="auto" w:fill="auto"/>
                  <w:noWrap w:val="0"/>
                  <w:tcMar>
                    <w:top w:w="57" w:type="dxa"/>
                    <w:left w:w="57" w:type="dxa"/>
                    <w:bottom w:w="57" w:type="dxa"/>
                    <w:right w:w="57" w:type="dxa"/>
                  </w:tcMar>
                  <w:vAlign w:val="center"/>
                </w:tcPr>
                <w:p>
                  <w:pPr>
                    <w:pStyle w:val="34"/>
                    <w:bidi w:val="0"/>
                    <w:rPr>
                      <w:rFonts w:hint="eastAsia" w:eastAsia="宋体"/>
                      <w:color w:val="auto"/>
                      <w:highlight w:val="none"/>
                      <w:lang w:eastAsia="zh-CN"/>
                    </w:rPr>
                  </w:pPr>
                  <w:r>
                    <w:rPr>
                      <w:rFonts w:hint="eastAsia"/>
                      <w:color w:val="auto"/>
                      <w:highlight w:val="none"/>
                      <w:lang w:val="en-US" w:eastAsia="zh-CN"/>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450" w:type="pct"/>
                  <w:vMerge w:val="continue"/>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p>
              </w:tc>
              <w:tc>
                <w:tcPr>
                  <w:tcW w:w="250" w:type="pct"/>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r>
                    <w:rPr>
                      <w:color w:val="auto"/>
                      <w:highlight w:val="none"/>
                    </w:rPr>
                    <w:t>资源开发效率要求</w:t>
                  </w:r>
                </w:p>
              </w:tc>
              <w:tc>
                <w:tcPr>
                  <w:tcW w:w="1932" w:type="pct"/>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r>
                    <w:rPr>
                      <w:color w:val="auto"/>
                      <w:highlight w:val="none"/>
                    </w:rPr>
                    <w:t>工业用水循环利用率达90%以上。加大中水回用力度，完善中水管网建设，要求除食品行业外，其他工业企业的中水回用率要求达40%。</w:t>
                  </w:r>
                </w:p>
              </w:tc>
              <w:tc>
                <w:tcPr>
                  <w:tcW w:w="1986" w:type="pct"/>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r>
                    <w:rPr>
                      <w:rFonts w:hint="eastAsia"/>
                      <w:color w:val="auto"/>
                      <w:highlight w:val="none"/>
                      <w:lang w:val="en-US" w:eastAsia="zh-CN"/>
                    </w:rPr>
                    <w:t>本项目循环冷却水循环使用，循环冷却系统排污水经厂区已建生产废水深度水处理站处理达标后回用于易门铜业有限公司冶炼渣缓冷场，不外排；生活污水经收集后进入厂区生活污水处理站进行处理，处理达标后回用于绿化浇洒，不外排。</w:t>
                  </w:r>
                </w:p>
              </w:tc>
              <w:tc>
                <w:tcPr>
                  <w:tcW w:w="380" w:type="pct"/>
                  <w:tcBorders>
                    <w:tl2br w:val="nil"/>
                    <w:tr2bl w:val="nil"/>
                  </w:tcBorders>
                  <w:shd w:val="clear" w:color="auto" w:fill="auto"/>
                  <w:noWrap w:val="0"/>
                  <w:tcMar>
                    <w:top w:w="57" w:type="dxa"/>
                    <w:left w:w="57" w:type="dxa"/>
                    <w:bottom w:w="57" w:type="dxa"/>
                    <w:right w:w="57" w:type="dxa"/>
                  </w:tcMar>
                  <w:vAlign w:val="center"/>
                </w:tcPr>
                <w:p>
                  <w:pPr>
                    <w:pStyle w:val="34"/>
                    <w:bidi w:val="0"/>
                    <w:rPr>
                      <w:color w:val="auto"/>
                      <w:highlight w:val="none"/>
                    </w:rPr>
                  </w:pPr>
                  <w:r>
                    <w:rPr>
                      <w:color w:val="auto"/>
                      <w:highlight w:val="none"/>
                    </w:rPr>
                    <w:t>符合</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color w:val="auto"/>
                <w:highlight w:val="none"/>
                <w:lang w:val="en-US" w:eastAsia="zh-CN"/>
              </w:rPr>
            </w:pPr>
            <w:r>
              <w:rPr>
                <w:rFonts w:hint="eastAsia"/>
                <w:color w:val="auto"/>
                <w:highlight w:val="none"/>
                <w:lang w:val="en-US" w:eastAsia="zh-CN"/>
              </w:rPr>
              <w:t>综上所述，本项目的建设符合</w:t>
            </w:r>
            <w:r>
              <w:rPr>
                <w:rFonts w:hint="default"/>
                <w:color w:val="auto"/>
                <w:highlight w:val="none"/>
              </w:rPr>
              <w:t>《玉溪市人民政府关于印发玉溪市“三线一单”生态环境分区管控实施意见的通知》（玉政发〔2021〕15号）</w:t>
            </w:r>
            <w:r>
              <w:rPr>
                <w:rFonts w:hint="eastAsia"/>
                <w:color w:val="auto"/>
                <w:highlight w:val="none"/>
                <w:lang w:val="en-US" w:eastAsia="zh-CN"/>
              </w:rPr>
              <w:t>及</w:t>
            </w:r>
            <w:r>
              <w:rPr>
                <w:rFonts w:hint="eastAsia" w:ascii="Times New Roman" w:hAnsi="Times New Roman"/>
                <w:color w:val="auto"/>
                <w:sz w:val="24"/>
                <w:highlight w:val="none"/>
                <w:lang w:val="en-US" w:eastAsia="zh-CN"/>
              </w:rPr>
              <w:t>《玉溪市生态环境局关于印发玉溪市生态环境分区管控动态更新调整方案（2023年）的通知》（玉市环〔2024〕40号）</w:t>
            </w:r>
            <w:r>
              <w:rPr>
                <w:rFonts w:hint="eastAsia"/>
                <w:color w:val="auto"/>
                <w:highlight w:val="none"/>
                <w:lang w:val="en-US" w:eastAsia="zh-CN"/>
              </w:rPr>
              <w:t>的相关要求。</w:t>
            </w:r>
          </w:p>
          <w:p>
            <w:pPr>
              <w:pStyle w:val="40"/>
              <w:bidi w:val="0"/>
              <w:rPr>
                <w:rFonts w:hint="eastAsia" w:eastAsia="黑体"/>
                <w:color w:val="auto"/>
                <w:highlight w:val="none"/>
                <w:lang w:val="en-US" w:eastAsia="zh-CN"/>
              </w:rPr>
            </w:pPr>
            <w:r>
              <w:rPr>
                <w:rFonts w:hint="eastAsia"/>
                <w:color w:val="auto"/>
                <w:highlight w:val="none"/>
                <w:lang w:val="en-US" w:eastAsia="zh-CN"/>
              </w:rPr>
              <w:t>5、</w:t>
            </w:r>
            <w:r>
              <w:rPr>
                <w:rFonts w:hint="eastAsia"/>
                <w:color w:val="auto"/>
                <w:highlight w:val="none"/>
              </w:rPr>
              <w:t>与《长江经济带生态环境保护规划》</w:t>
            </w:r>
            <w:r>
              <w:rPr>
                <w:rFonts w:hint="eastAsia"/>
                <w:color w:val="auto"/>
                <w:highlight w:val="none"/>
                <w:lang w:eastAsia="zh-CN"/>
              </w:rPr>
              <w:t>（环规财〔2017〕88号）</w:t>
            </w:r>
            <w:r>
              <w:rPr>
                <w:rFonts w:hint="eastAsia"/>
                <w:color w:val="auto"/>
                <w:highlight w:val="none"/>
              </w:rPr>
              <w:t>的符合性</w:t>
            </w:r>
            <w:r>
              <w:rPr>
                <w:rFonts w:hint="eastAsia"/>
                <w:color w:val="auto"/>
                <w:highlight w:val="none"/>
                <w:lang w:val="en-US" w:eastAsia="zh-CN"/>
              </w:rPr>
              <w:t>分析</w:t>
            </w:r>
          </w:p>
          <w:p>
            <w:pPr>
              <w:bidi w:val="0"/>
              <w:rPr>
                <w:rFonts w:hint="default"/>
                <w:color w:val="auto"/>
                <w:highlight w:val="none"/>
                <w:lang w:val="en-US" w:eastAsia="zh-CN"/>
              </w:rPr>
            </w:pPr>
            <w:r>
              <w:rPr>
                <w:rFonts w:hint="eastAsia"/>
                <w:color w:val="auto"/>
                <w:highlight w:val="none"/>
                <w:lang w:val="en-US" w:eastAsia="zh-CN"/>
              </w:rPr>
              <w:t>本</w:t>
            </w:r>
            <w:r>
              <w:rPr>
                <w:rFonts w:hint="eastAsia"/>
                <w:color w:val="auto"/>
                <w:highlight w:val="none"/>
              </w:rPr>
              <w:t>项目位于</w:t>
            </w:r>
            <w:r>
              <w:rPr>
                <w:rFonts w:hint="eastAsia"/>
                <w:color w:val="auto"/>
                <w:highlight w:val="none"/>
                <w:lang w:val="en-US" w:eastAsia="zh-CN"/>
              </w:rPr>
              <w:t>云南易门产业园区大椿树片区</w:t>
            </w:r>
            <w:r>
              <w:rPr>
                <w:rFonts w:hint="eastAsia"/>
                <w:color w:val="auto"/>
                <w:highlight w:val="none"/>
              </w:rPr>
              <w:t>，根据《长江经济带生态环境保护规划》</w:t>
            </w:r>
            <w:r>
              <w:rPr>
                <w:rFonts w:hint="eastAsia"/>
                <w:color w:val="auto"/>
                <w:highlight w:val="none"/>
                <w:lang w:eastAsia="zh-CN"/>
              </w:rPr>
              <w:t>（环规财〔2017〕88号）</w:t>
            </w:r>
            <w:r>
              <w:rPr>
                <w:rFonts w:hint="eastAsia"/>
                <w:color w:val="auto"/>
                <w:highlight w:val="none"/>
              </w:rPr>
              <w:t>，项目所在地为长江经济带上游区，规划中指出，长江经济带上游区包括重庆、四川、贵州、云南等省市，区域水土流失、荒漠化严重，矿产资源开发等带来的环境污染和生态破坏问题突出，大城市及周边污染形势严峻。应重点加强水源涵养、水土保持、生物多样性维护和高原湖泊湿地保护，强化自然保护区建设和管护，合理开发利用水资源，禁止煤炭、有色金属、磷矿等资源的无序开发，加大湖库、湿地等敏感区的保护力度，加强云贵川喀斯特地区、金沙江中下游、嘉陵江流域、沱江流域、乌江中上游、三峡库区等区域水土流失治理与生态恢复，推进成渝城市群环境质量持续改善。改善长江经济带环境空气质量，完善大气污染物排放总量控制制度，加强二氧化硫、氮氧化物、烟粉尘、挥发性有机物等主要污染物综合防治。地级及以上城市建成区基本淘汰10蒸吨以下燃煤锅炉，完成35蒸吨及以上燃煤锅炉脱硫脱硝除尘改造、钢铁行业烧结机脱硫改造、水泥行业脱硝改造、平板玻璃天然气燃料替代及脱硝改造。实施燃煤电厂超低排放改造工程和清洁柴油机行动计划。推动长江经济带区域的土壤防治工作。</w:t>
            </w:r>
          </w:p>
          <w:p>
            <w:pPr>
              <w:bidi w:val="0"/>
              <w:rPr>
                <w:rFonts w:hint="eastAsia"/>
                <w:color w:val="auto"/>
                <w:highlight w:val="none"/>
                <w:lang w:val="en-US" w:eastAsia="zh-CN"/>
              </w:rPr>
            </w:pPr>
            <w:r>
              <w:rPr>
                <w:rFonts w:hint="eastAsia"/>
                <w:color w:val="auto"/>
                <w:highlight w:val="none"/>
              </w:rPr>
              <w:t>本项目为</w:t>
            </w:r>
            <w:r>
              <w:rPr>
                <w:rFonts w:hint="eastAsia"/>
                <w:color w:val="auto"/>
                <w:highlight w:val="none"/>
                <w:lang w:val="en-US" w:eastAsia="zh-CN"/>
              </w:rPr>
              <w:t>制氧系统技术改造节能项目</w:t>
            </w:r>
            <w:r>
              <w:rPr>
                <w:rFonts w:hint="eastAsia"/>
                <w:color w:val="auto"/>
                <w:highlight w:val="none"/>
              </w:rPr>
              <w:t>，</w:t>
            </w:r>
            <w:r>
              <w:rPr>
                <w:rFonts w:hint="eastAsia"/>
                <w:color w:val="auto"/>
                <w:highlight w:val="none"/>
                <w:lang w:val="en-US" w:eastAsia="zh-CN"/>
              </w:rPr>
              <w:t>属于易门铜业有限公司的配套工程项目</w:t>
            </w:r>
            <w:r>
              <w:rPr>
                <w:rFonts w:hint="eastAsia"/>
                <w:color w:val="auto"/>
                <w:highlight w:val="none"/>
              </w:rPr>
              <w:t>，不进行矿产</w:t>
            </w:r>
            <w:r>
              <w:rPr>
                <w:rFonts w:hint="eastAsia"/>
                <w:color w:val="auto"/>
                <w:highlight w:val="none"/>
                <w:lang w:val="en-US" w:eastAsia="zh-CN"/>
              </w:rPr>
              <w:t>资源</w:t>
            </w:r>
            <w:r>
              <w:rPr>
                <w:rFonts w:hint="eastAsia"/>
                <w:color w:val="auto"/>
                <w:highlight w:val="none"/>
              </w:rPr>
              <w:t>开发。项目位于</w:t>
            </w:r>
            <w:r>
              <w:rPr>
                <w:rFonts w:hint="eastAsia"/>
                <w:color w:val="auto"/>
                <w:highlight w:val="none"/>
                <w:lang w:val="en-US" w:eastAsia="zh-CN"/>
              </w:rPr>
              <w:t>云南易门产业园区大椿树片区</w:t>
            </w:r>
            <w:r>
              <w:rPr>
                <w:rFonts w:hint="eastAsia"/>
                <w:color w:val="auto"/>
                <w:highlight w:val="none"/>
              </w:rPr>
              <w:t>，</w:t>
            </w:r>
            <w:r>
              <w:rPr>
                <w:rFonts w:hint="eastAsia"/>
                <w:color w:val="auto"/>
                <w:highlight w:val="none"/>
                <w:lang w:val="en-US" w:eastAsia="zh-CN"/>
              </w:rPr>
              <w:t>用地范围</w:t>
            </w:r>
            <w:r>
              <w:rPr>
                <w:color w:val="auto"/>
                <w:highlight w:val="none"/>
              </w:rPr>
              <w:t>不涉及自然保护区、风景名胜区、饮用水水源保护区、基本农田保护区和其他需要特别保护的地区等生态保护红线</w:t>
            </w:r>
            <w:r>
              <w:rPr>
                <w:rFonts w:hint="eastAsia"/>
                <w:color w:val="auto"/>
                <w:highlight w:val="none"/>
              </w:rPr>
              <w:t>；不涉及水土流失治理和生态恢复区；用地不涉及土壤污染</w:t>
            </w:r>
            <w:r>
              <w:rPr>
                <w:rFonts w:hint="eastAsia"/>
                <w:color w:val="auto"/>
                <w:highlight w:val="none"/>
                <w:lang w:eastAsia="zh-CN"/>
              </w:rPr>
              <w:t>；</w:t>
            </w:r>
            <w:r>
              <w:rPr>
                <w:rFonts w:hint="eastAsia"/>
                <w:color w:val="auto"/>
                <w:highlight w:val="none"/>
              </w:rPr>
              <w:t>项目</w:t>
            </w:r>
            <w:r>
              <w:rPr>
                <w:rFonts w:hint="eastAsia"/>
                <w:color w:val="auto"/>
                <w:highlight w:val="none"/>
                <w:lang w:val="en-US" w:eastAsia="zh-CN"/>
              </w:rPr>
              <w:t>运营期</w:t>
            </w:r>
            <w:r>
              <w:rPr>
                <w:rFonts w:hint="eastAsia"/>
                <w:color w:val="auto"/>
                <w:highlight w:val="none"/>
              </w:rPr>
              <w:t>产生的</w:t>
            </w:r>
            <w:r>
              <w:rPr>
                <w:rFonts w:hint="eastAsia"/>
                <w:color w:val="auto"/>
                <w:highlight w:val="none"/>
                <w:lang w:val="en-US" w:eastAsia="zh-CN"/>
              </w:rPr>
              <w:t>各项污染物经</w:t>
            </w:r>
            <w:r>
              <w:rPr>
                <w:rFonts w:hint="eastAsia"/>
                <w:color w:val="auto"/>
                <w:highlight w:val="none"/>
              </w:rPr>
              <w:t>采取</w:t>
            </w:r>
            <w:r>
              <w:rPr>
                <w:rFonts w:hint="eastAsia"/>
                <w:color w:val="auto"/>
                <w:highlight w:val="none"/>
                <w:lang w:val="en-US" w:eastAsia="zh-CN"/>
              </w:rPr>
              <w:t>环评提出的各项污染防治措施后均可满足相关环境保护要求</w:t>
            </w:r>
            <w:r>
              <w:rPr>
                <w:rFonts w:hint="eastAsia"/>
                <w:color w:val="auto"/>
                <w:highlight w:val="none"/>
              </w:rPr>
              <w:t>。</w:t>
            </w:r>
            <w:r>
              <w:rPr>
                <w:rFonts w:hint="eastAsia"/>
                <w:color w:val="auto"/>
                <w:highlight w:val="none"/>
                <w:lang w:val="en-US" w:eastAsia="zh-CN"/>
              </w:rPr>
              <w:t>因此，本</w:t>
            </w:r>
            <w:r>
              <w:rPr>
                <w:rFonts w:hint="eastAsia"/>
                <w:color w:val="auto"/>
                <w:highlight w:val="none"/>
              </w:rPr>
              <w:t>项目</w:t>
            </w:r>
            <w:r>
              <w:rPr>
                <w:rFonts w:hint="eastAsia"/>
                <w:color w:val="auto"/>
                <w:highlight w:val="none"/>
                <w:lang w:val="en-US" w:eastAsia="zh-CN"/>
              </w:rPr>
              <w:t>的</w:t>
            </w:r>
            <w:r>
              <w:rPr>
                <w:rFonts w:hint="eastAsia"/>
                <w:color w:val="auto"/>
                <w:highlight w:val="none"/>
              </w:rPr>
              <w:t>建设与《长江经济带生态环境保护规划》</w:t>
            </w:r>
            <w:r>
              <w:rPr>
                <w:rFonts w:hint="eastAsia"/>
                <w:color w:val="auto"/>
                <w:highlight w:val="none"/>
                <w:lang w:eastAsia="zh-CN"/>
              </w:rPr>
              <w:t>（环规财〔2017〕88号）</w:t>
            </w:r>
            <w:r>
              <w:rPr>
                <w:rFonts w:hint="eastAsia"/>
                <w:color w:val="auto"/>
                <w:highlight w:val="none"/>
              </w:rPr>
              <w:t>的相关要求不冲突。</w:t>
            </w:r>
          </w:p>
          <w:p>
            <w:pPr>
              <w:pStyle w:val="40"/>
              <w:bidi w:val="0"/>
              <w:rPr>
                <w:rFonts w:hint="default" w:ascii="Times New Roman" w:hAnsi="Times New Roman" w:eastAsia="黑体" w:cs="Times New Roman"/>
                <w:b w:val="0"/>
                <w:bCs/>
                <w:color w:val="auto"/>
                <w:highlight w:val="none"/>
                <w:lang w:val="en-US" w:eastAsia="zh-CN"/>
              </w:rPr>
            </w:pPr>
            <w:bookmarkStart w:id="11" w:name="_Toc27240"/>
            <w:r>
              <w:rPr>
                <w:rFonts w:hint="eastAsia"/>
                <w:color w:val="auto"/>
                <w:highlight w:val="none"/>
                <w:lang w:val="en-US" w:eastAsia="zh-CN"/>
              </w:rPr>
              <w:t>6、</w:t>
            </w:r>
            <w:r>
              <w:rPr>
                <w:rFonts w:hint="default"/>
                <w:color w:val="auto"/>
                <w:highlight w:val="none"/>
                <w:lang w:val="en-US" w:eastAsia="zh-CN"/>
              </w:rPr>
              <w:t>与《长江经济带发展负面清单指南（试行，2022年版）》的符合性分析</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推动长江经济带发展领导小组办公室于2022年1月19日发布 了《关于印发长江经济带发展负面清单指南（试行，2022年版）的通知》，本项目与长江经济带发展负面清单指南（试行，2022年版）的</w:t>
            </w:r>
            <w:r>
              <w:rPr>
                <w:rFonts w:hint="eastAsia" w:cs="Times New Roman"/>
                <w:color w:val="auto"/>
                <w:highlight w:val="none"/>
                <w:lang w:val="en-US" w:eastAsia="zh-CN"/>
              </w:rPr>
              <w:t>符合性</w:t>
            </w:r>
            <w:r>
              <w:rPr>
                <w:rFonts w:hint="default" w:ascii="Times New Roman" w:hAnsi="Times New Roman" w:cs="Times New Roman"/>
                <w:color w:val="auto"/>
                <w:highlight w:val="none"/>
              </w:rPr>
              <w:t>分析</w:t>
            </w:r>
            <w:r>
              <w:rPr>
                <w:rFonts w:hint="eastAsia" w:cs="Times New Roman"/>
                <w:color w:val="auto"/>
                <w:highlight w:val="none"/>
                <w:lang w:val="en-US" w:eastAsia="zh-CN"/>
              </w:rPr>
              <w:t>详见下表</w:t>
            </w:r>
            <w:r>
              <w:rPr>
                <w:rFonts w:hint="default" w:ascii="Times New Roman" w:hAnsi="Times New Roman" w:cs="Times New Roman"/>
                <w:color w:val="auto"/>
                <w:highlight w:val="none"/>
                <w:lang w:val="en-US" w:eastAsia="zh-CN"/>
              </w:rPr>
              <w:t>。</w:t>
            </w:r>
          </w:p>
          <w:p>
            <w:pPr>
              <w:pStyle w:val="36"/>
              <w:bidi w:val="0"/>
              <w:rPr>
                <w:rFonts w:hint="default"/>
                <w:color w:val="auto"/>
                <w:highlight w:val="none"/>
                <w:lang w:val="en-US" w:eastAsia="zh-CN"/>
              </w:rPr>
            </w:pPr>
            <w:r>
              <w:rPr>
                <w:rFonts w:hint="default"/>
                <w:color w:val="auto"/>
                <w:highlight w:val="none"/>
                <w:lang w:val="en-US" w:eastAsia="zh-CN"/>
              </w:rPr>
              <w:t>表1-</w:t>
            </w:r>
            <w:r>
              <w:rPr>
                <w:rFonts w:hint="eastAsia"/>
                <w:color w:val="auto"/>
                <w:highlight w:val="none"/>
                <w:lang w:val="en-US" w:eastAsia="zh-CN"/>
              </w:rPr>
              <w:t xml:space="preserve">10  </w:t>
            </w:r>
            <w:r>
              <w:rPr>
                <w:rFonts w:hint="default"/>
                <w:color w:val="auto"/>
                <w:highlight w:val="none"/>
                <w:lang w:val="en-US" w:eastAsia="zh-CN"/>
              </w:rPr>
              <w:t>项目与《长江经济带发展负面清单指南》符合性分析</w:t>
            </w:r>
            <w:r>
              <w:rPr>
                <w:rFonts w:hint="eastAsia"/>
                <w:color w:val="auto"/>
                <w:highlight w:val="none"/>
                <w:lang w:val="en-US" w:eastAsia="zh-CN"/>
              </w:rPr>
              <w:t>一览</w:t>
            </w:r>
            <w:r>
              <w:rPr>
                <w:rFonts w:hint="default"/>
                <w:color w:val="auto"/>
                <w:highlight w:val="none"/>
                <w:lang w:val="en-US" w:eastAsia="zh-CN"/>
              </w:rPr>
              <w:t>表</w:t>
            </w:r>
          </w:p>
          <w:tbl>
            <w:tblPr>
              <w:tblStyle w:val="24"/>
              <w:tblW w:w="708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7"/>
              <w:gridCol w:w="3546"/>
              <w:gridCol w:w="2313"/>
              <w:gridCol w:w="6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7" w:type="dxa"/>
                  <w:tcBorders>
                    <w:tl2br w:val="nil"/>
                    <w:tr2bl w:val="nil"/>
                  </w:tcBorders>
                  <w:vAlign w:val="center"/>
                </w:tcPr>
                <w:p>
                  <w:pPr>
                    <w:pStyle w:val="34"/>
                    <w:bidi w:val="0"/>
                    <w:rPr>
                      <w:rFonts w:hint="default"/>
                      <w:color w:val="auto"/>
                      <w:highlight w:val="none"/>
                      <w:lang w:val="en-US" w:eastAsia="zh-CN"/>
                    </w:rPr>
                  </w:pPr>
                  <w:bookmarkStart w:id="12" w:name="_Toc13859"/>
                  <w:bookmarkStart w:id="13" w:name="_Toc2855"/>
                  <w:r>
                    <w:rPr>
                      <w:rFonts w:hint="default"/>
                      <w:color w:val="auto"/>
                      <w:highlight w:val="none"/>
                      <w:lang w:val="en-US" w:eastAsia="zh-CN"/>
                    </w:rPr>
                    <w:t>序号</w:t>
                  </w:r>
                  <w:bookmarkEnd w:id="12"/>
                  <w:bookmarkEnd w:id="13"/>
                </w:p>
              </w:tc>
              <w:tc>
                <w:tcPr>
                  <w:tcW w:w="3546" w:type="dxa"/>
                  <w:tcBorders>
                    <w:tl2br w:val="nil"/>
                    <w:tr2bl w:val="nil"/>
                  </w:tcBorders>
                  <w:vAlign w:val="center"/>
                </w:tcPr>
                <w:p>
                  <w:pPr>
                    <w:pStyle w:val="34"/>
                    <w:bidi w:val="0"/>
                    <w:rPr>
                      <w:rFonts w:hint="default"/>
                      <w:color w:val="auto"/>
                      <w:highlight w:val="none"/>
                      <w:lang w:val="en-US" w:eastAsia="zh-CN"/>
                    </w:rPr>
                  </w:pPr>
                  <w:bookmarkStart w:id="14" w:name="_Toc21697"/>
                  <w:bookmarkStart w:id="15" w:name="_Toc26157"/>
                  <w:r>
                    <w:rPr>
                      <w:rFonts w:hint="default"/>
                      <w:color w:val="auto"/>
                      <w:highlight w:val="none"/>
                      <w:lang w:val="en-US" w:eastAsia="zh-CN"/>
                    </w:rPr>
                    <w:t>指南内容</w:t>
                  </w:r>
                  <w:bookmarkEnd w:id="14"/>
                  <w:bookmarkEnd w:id="15"/>
                </w:p>
              </w:tc>
              <w:tc>
                <w:tcPr>
                  <w:tcW w:w="2313" w:type="dxa"/>
                  <w:tcBorders>
                    <w:tl2br w:val="nil"/>
                    <w:tr2bl w:val="nil"/>
                  </w:tcBorders>
                  <w:vAlign w:val="center"/>
                </w:tcPr>
                <w:p>
                  <w:pPr>
                    <w:pStyle w:val="34"/>
                    <w:bidi w:val="0"/>
                    <w:rPr>
                      <w:rFonts w:hint="default"/>
                      <w:color w:val="auto"/>
                      <w:highlight w:val="none"/>
                      <w:lang w:val="en-US" w:eastAsia="zh-CN"/>
                    </w:rPr>
                  </w:pPr>
                  <w:bookmarkStart w:id="16" w:name="_Toc17932"/>
                  <w:bookmarkStart w:id="17" w:name="_Toc13190"/>
                  <w:r>
                    <w:rPr>
                      <w:rFonts w:hint="default"/>
                      <w:color w:val="auto"/>
                      <w:highlight w:val="none"/>
                      <w:lang w:val="en-US" w:eastAsia="zh-CN"/>
                    </w:rPr>
                    <w:t>本项目基本情况</w:t>
                  </w:r>
                  <w:bookmarkEnd w:id="16"/>
                  <w:bookmarkEnd w:id="17"/>
                </w:p>
              </w:tc>
              <w:tc>
                <w:tcPr>
                  <w:tcW w:w="678" w:type="dxa"/>
                  <w:tcBorders>
                    <w:tl2br w:val="nil"/>
                    <w:tr2bl w:val="nil"/>
                  </w:tcBorders>
                  <w:vAlign w:val="center"/>
                </w:tcPr>
                <w:p>
                  <w:pPr>
                    <w:pStyle w:val="34"/>
                    <w:bidi w:val="0"/>
                    <w:rPr>
                      <w:rFonts w:hint="default"/>
                      <w:color w:val="auto"/>
                      <w:highlight w:val="none"/>
                      <w:lang w:val="en-US" w:eastAsia="zh-CN"/>
                    </w:rPr>
                  </w:pPr>
                  <w:bookmarkStart w:id="18" w:name="_Toc18919"/>
                  <w:bookmarkStart w:id="19" w:name="_Toc25260"/>
                  <w:r>
                    <w:rPr>
                      <w:rFonts w:hint="default"/>
                      <w:color w:val="auto"/>
                      <w:highlight w:val="none"/>
                      <w:lang w:val="en-US" w:eastAsia="zh-CN"/>
                    </w:rPr>
                    <w:t>符合</w:t>
                  </w:r>
                </w:p>
                <w:p>
                  <w:pPr>
                    <w:pStyle w:val="34"/>
                    <w:bidi w:val="0"/>
                    <w:rPr>
                      <w:rFonts w:hint="default"/>
                      <w:color w:val="auto"/>
                      <w:highlight w:val="none"/>
                      <w:lang w:val="en-US" w:eastAsia="zh-CN"/>
                    </w:rPr>
                  </w:pPr>
                  <w:r>
                    <w:rPr>
                      <w:rFonts w:hint="default"/>
                      <w:color w:val="auto"/>
                      <w:highlight w:val="none"/>
                      <w:lang w:val="en-US" w:eastAsia="zh-CN"/>
                    </w:rPr>
                    <w:t>情况</w:t>
                  </w:r>
                  <w:bookmarkEnd w:id="18"/>
                  <w:bookmarkEnd w:id="19"/>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7" w:type="dxa"/>
                  <w:tcBorders>
                    <w:tl2br w:val="nil"/>
                    <w:tr2bl w:val="nil"/>
                  </w:tcBorders>
                  <w:vAlign w:val="center"/>
                </w:tcPr>
                <w:p>
                  <w:pPr>
                    <w:pStyle w:val="34"/>
                    <w:bidi w:val="0"/>
                    <w:rPr>
                      <w:rFonts w:hint="default"/>
                      <w:color w:val="auto"/>
                      <w:highlight w:val="none"/>
                      <w:lang w:val="en-US" w:eastAsia="zh-CN"/>
                    </w:rPr>
                  </w:pPr>
                  <w:bookmarkStart w:id="20" w:name="_Toc14734"/>
                  <w:bookmarkStart w:id="21" w:name="_Toc14419"/>
                  <w:r>
                    <w:rPr>
                      <w:rFonts w:hint="default"/>
                      <w:color w:val="auto"/>
                      <w:highlight w:val="none"/>
                      <w:lang w:val="en-US" w:eastAsia="zh-CN"/>
                    </w:rPr>
                    <w:t>1</w:t>
                  </w:r>
                  <w:bookmarkEnd w:id="20"/>
                  <w:bookmarkEnd w:id="21"/>
                </w:p>
              </w:tc>
              <w:tc>
                <w:tcPr>
                  <w:tcW w:w="3546" w:type="dxa"/>
                  <w:tcBorders>
                    <w:tl2br w:val="nil"/>
                    <w:tr2bl w:val="nil"/>
                  </w:tcBorders>
                  <w:vAlign w:val="center"/>
                </w:tcPr>
                <w:p>
                  <w:pPr>
                    <w:pStyle w:val="34"/>
                    <w:bidi w:val="0"/>
                    <w:rPr>
                      <w:rFonts w:hint="default"/>
                      <w:color w:val="auto"/>
                      <w:highlight w:val="none"/>
                      <w:lang w:val="en-US" w:eastAsia="zh-CN"/>
                    </w:rPr>
                  </w:pPr>
                  <w:bookmarkStart w:id="22" w:name="_Toc21509"/>
                  <w:bookmarkStart w:id="23" w:name="_Toc12711"/>
                  <w:r>
                    <w:rPr>
                      <w:rFonts w:hint="default"/>
                      <w:color w:val="auto"/>
                      <w:highlight w:val="none"/>
                      <w:lang w:val="en-US" w:eastAsia="zh-CN"/>
                    </w:rPr>
                    <w:t>禁止建设不符合全国和省级港口布局规划 以及港口总体规划的码头项目，禁止建设 不符合《长江干线过江通道布局规划》的过长江通道项目。</w:t>
                  </w:r>
                  <w:bookmarkEnd w:id="22"/>
                  <w:bookmarkEnd w:id="23"/>
                </w:p>
              </w:tc>
              <w:tc>
                <w:tcPr>
                  <w:tcW w:w="2313" w:type="dxa"/>
                  <w:tcBorders>
                    <w:tl2br w:val="nil"/>
                    <w:tr2bl w:val="nil"/>
                  </w:tcBorders>
                  <w:vAlign w:val="center"/>
                </w:tcPr>
                <w:p>
                  <w:pPr>
                    <w:pStyle w:val="34"/>
                    <w:bidi w:val="0"/>
                    <w:rPr>
                      <w:rFonts w:hint="default"/>
                      <w:color w:val="auto"/>
                      <w:highlight w:val="none"/>
                      <w:lang w:val="en-US" w:eastAsia="zh-CN"/>
                    </w:rPr>
                  </w:pPr>
                  <w:bookmarkStart w:id="24" w:name="_Toc2597"/>
                  <w:bookmarkStart w:id="25" w:name="_Toc6445"/>
                  <w:r>
                    <w:rPr>
                      <w:rFonts w:hint="default"/>
                      <w:color w:val="auto"/>
                      <w:highlight w:val="none"/>
                      <w:lang w:val="en-US" w:eastAsia="zh-CN"/>
                    </w:rPr>
                    <w:t>本项目位于云南易门产业园区大椿树片区，</w:t>
                  </w:r>
                  <w:r>
                    <w:rPr>
                      <w:rFonts w:hint="eastAsia"/>
                      <w:color w:val="auto"/>
                      <w:highlight w:val="none"/>
                      <w:lang w:val="en-US" w:eastAsia="zh-CN"/>
                    </w:rPr>
                    <w:t>为</w:t>
                  </w:r>
                  <w:r>
                    <w:rPr>
                      <w:rFonts w:hint="default"/>
                      <w:color w:val="auto"/>
                      <w:highlight w:val="none"/>
                      <w:lang w:val="en-US" w:eastAsia="zh-CN"/>
                    </w:rPr>
                    <w:t>制氧系统技术改造节能项目，属于易门铜业有限公司铜冶炼配套公用工程，</w:t>
                  </w:r>
                  <w:r>
                    <w:rPr>
                      <w:rFonts w:hint="eastAsia"/>
                      <w:color w:val="auto"/>
                      <w:highlight w:val="none"/>
                      <w:lang w:val="en-US" w:eastAsia="zh-CN"/>
                    </w:rPr>
                    <w:t>不属于</w:t>
                  </w:r>
                  <w:r>
                    <w:rPr>
                      <w:rFonts w:hint="default"/>
                      <w:color w:val="auto"/>
                      <w:highlight w:val="none"/>
                      <w:lang w:val="en-US" w:eastAsia="zh-CN"/>
                    </w:rPr>
                    <w:t>过</w:t>
                  </w:r>
                  <w:r>
                    <w:rPr>
                      <w:rFonts w:hint="eastAsia"/>
                      <w:color w:val="auto"/>
                      <w:highlight w:val="none"/>
                      <w:lang w:val="en-US" w:eastAsia="zh-CN"/>
                    </w:rPr>
                    <w:t>长</w:t>
                  </w:r>
                  <w:r>
                    <w:rPr>
                      <w:rFonts w:hint="default"/>
                      <w:color w:val="auto"/>
                      <w:highlight w:val="none"/>
                      <w:lang w:val="en-US" w:eastAsia="zh-CN"/>
                    </w:rPr>
                    <w:t>江</w:t>
                  </w:r>
                  <w:r>
                    <w:rPr>
                      <w:rFonts w:hint="eastAsia"/>
                      <w:color w:val="auto"/>
                      <w:highlight w:val="none"/>
                      <w:lang w:val="en-US" w:eastAsia="zh-CN"/>
                    </w:rPr>
                    <w:t>通道项目</w:t>
                  </w:r>
                  <w:r>
                    <w:rPr>
                      <w:rFonts w:hint="default"/>
                      <w:color w:val="auto"/>
                      <w:highlight w:val="none"/>
                      <w:lang w:val="en-US" w:eastAsia="zh-CN"/>
                    </w:rPr>
                    <w:t>。</w:t>
                  </w:r>
                  <w:bookmarkEnd w:id="24"/>
                  <w:bookmarkEnd w:id="25"/>
                </w:p>
              </w:tc>
              <w:tc>
                <w:tcPr>
                  <w:tcW w:w="678" w:type="dxa"/>
                  <w:tcBorders>
                    <w:tl2br w:val="nil"/>
                    <w:tr2bl w:val="nil"/>
                  </w:tcBorders>
                  <w:vAlign w:val="center"/>
                </w:tcPr>
                <w:p>
                  <w:pPr>
                    <w:pStyle w:val="34"/>
                    <w:bidi w:val="0"/>
                    <w:rPr>
                      <w:rFonts w:hint="default"/>
                      <w:color w:val="auto"/>
                      <w:highlight w:val="none"/>
                      <w:lang w:val="en-US" w:eastAsia="zh-CN"/>
                    </w:rPr>
                  </w:pPr>
                  <w:bookmarkStart w:id="26" w:name="_Toc30315"/>
                  <w:bookmarkStart w:id="27" w:name="_Toc15485"/>
                  <w:r>
                    <w:rPr>
                      <w:rFonts w:hint="default"/>
                      <w:color w:val="auto"/>
                      <w:highlight w:val="none"/>
                      <w:lang w:val="en-US" w:eastAsia="zh-CN"/>
                    </w:rPr>
                    <w:t>符合</w:t>
                  </w:r>
                  <w:bookmarkEnd w:id="26"/>
                  <w:bookmarkEnd w:id="27"/>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7" w:type="dxa"/>
                  <w:tcBorders>
                    <w:tl2br w:val="nil"/>
                    <w:tr2bl w:val="nil"/>
                  </w:tcBorders>
                  <w:vAlign w:val="center"/>
                </w:tcPr>
                <w:p>
                  <w:pPr>
                    <w:pStyle w:val="34"/>
                    <w:bidi w:val="0"/>
                    <w:rPr>
                      <w:rFonts w:hint="default"/>
                      <w:color w:val="auto"/>
                      <w:highlight w:val="none"/>
                      <w:lang w:val="en-US" w:eastAsia="zh-CN"/>
                    </w:rPr>
                  </w:pPr>
                  <w:bookmarkStart w:id="28" w:name="_Toc14189"/>
                  <w:bookmarkStart w:id="29" w:name="_Toc14404"/>
                  <w:r>
                    <w:rPr>
                      <w:rFonts w:hint="default"/>
                      <w:color w:val="auto"/>
                      <w:highlight w:val="none"/>
                      <w:lang w:val="en-US" w:eastAsia="zh-CN"/>
                    </w:rPr>
                    <w:t>2</w:t>
                  </w:r>
                  <w:bookmarkEnd w:id="28"/>
                  <w:bookmarkEnd w:id="29"/>
                </w:p>
              </w:tc>
              <w:tc>
                <w:tcPr>
                  <w:tcW w:w="3546" w:type="dxa"/>
                  <w:tcBorders>
                    <w:tl2br w:val="nil"/>
                    <w:tr2bl w:val="nil"/>
                  </w:tcBorders>
                  <w:vAlign w:val="center"/>
                </w:tcPr>
                <w:p>
                  <w:pPr>
                    <w:pStyle w:val="34"/>
                    <w:bidi w:val="0"/>
                    <w:rPr>
                      <w:rFonts w:hint="default"/>
                      <w:color w:val="auto"/>
                      <w:highlight w:val="none"/>
                      <w:lang w:val="en-US" w:eastAsia="zh-CN"/>
                    </w:rPr>
                  </w:pPr>
                  <w:bookmarkStart w:id="30" w:name="_Toc99"/>
                  <w:bookmarkStart w:id="31" w:name="_Toc1773"/>
                  <w:r>
                    <w:rPr>
                      <w:rFonts w:hint="default"/>
                      <w:color w:val="auto"/>
                      <w:highlight w:val="none"/>
                      <w:lang w:val="en-US" w:eastAsia="zh-CN"/>
                    </w:rPr>
                    <w:t>禁止在自然保护区核心区、缓冲区的岸线 和河段范围内投资建设旅游和生产经营项 目。禁止在风景名胜区核心景区的岸线和 河段范围内投资建设与风景名胜资源保护 无关的项目。</w:t>
                  </w:r>
                  <w:bookmarkEnd w:id="30"/>
                  <w:bookmarkEnd w:id="31"/>
                </w:p>
              </w:tc>
              <w:tc>
                <w:tcPr>
                  <w:tcW w:w="2313" w:type="dxa"/>
                  <w:tcBorders>
                    <w:tl2br w:val="nil"/>
                    <w:tr2bl w:val="nil"/>
                  </w:tcBorders>
                  <w:vAlign w:val="center"/>
                </w:tcPr>
                <w:p>
                  <w:pPr>
                    <w:pStyle w:val="34"/>
                    <w:bidi w:val="0"/>
                    <w:rPr>
                      <w:rFonts w:hint="default"/>
                      <w:color w:val="auto"/>
                      <w:highlight w:val="none"/>
                      <w:lang w:val="en-US" w:eastAsia="zh-CN"/>
                    </w:rPr>
                  </w:pPr>
                  <w:bookmarkStart w:id="32" w:name="_Toc15234"/>
                  <w:bookmarkStart w:id="33" w:name="_Toc26907"/>
                  <w:r>
                    <w:rPr>
                      <w:rFonts w:hint="default"/>
                      <w:color w:val="auto"/>
                      <w:highlight w:val="none"/>
                      <w:lang w:val="en-US" w:eastAsia="zh-CN"/>
                    </w:rPr>
                    <w:t>本项目位于云南易门产业园区大椿树片区，</w:t>
                  </w:r>
                  <w:r>
                    <w:rPr>
                      <w:rFonts w:hint="eastAsia"/>
                      <w:color w:val="auto"/>
                      <w:highlight w:val="none"/>
                      <w:lang w:val="en-US" w:eastAsia="zh-CN"/>
                    </w:rPr>
                    <w:t>项目选址</w:t>
                  </w:r>
                  <w:r>
                    <w:rPr>
                      <w:rFonts w:hint="default"/>
                      <w:color w:val="auto"/>
                      <w:highlight w:val="none"/>
                      <w:lang w:val="en-US" w:eastAsia="zh-CN"/>
                    </w:rPr>
                    <w:t>不涉及自然保护区核心区、缓冲区的岸线和河段</w:t>
                  </w:r>
                  <w:r>
                    <w:rPr>
                      <w:rFonts w:hint="eastAsia"/>
                      <w:color w:val="auto"/>
                      <w:highlight w:val="none"/>
                      <w:lang w:val="en-US" w:eastAsia="zh-CN"/>
                    </w:rPr>
                    <w:t>等区域</w:t>
                  </w:r>
                  <w:r>
                    <w:rPr>
                      <w:rFonts w:hint="default"/>
                      <w:color w:val="auto"/>
                      <w:highlight w:val="none"/>
                      <w:lang w:val="en-US" w:eastAsia="zh-CN"/>
                    </w:rPr>
                    <w:t>。</w:t>
                  </w:r>
                  <w:bookmarkEnd w:id="32"/>
                  <w:bookmarkEnd w:id="33"/>
                </w:p>
              </w:tc>
              <w:tc>
                <w:tcPr>
                  <w:tcW w:w="678" w:type="dxa"/>
                  <w:tcBorders>
                    <w:tl2br w:val="nil"/>
                    <w:tr2bl w:val="nil"/>
                  </w:tcBorders>
                  <w:vAlign w:val="center"/>
                </w:tcPr>
                <w:p>
                  <w:pPr>
                    <w:pStyle w:val="34"/>
                    <w:bidi w:val="0"/>
                    <w:rPr>
                      <w:rFonts w:hint="default"/>
                      <w:color w:val="auto"/>
                      <w:highlight w:val="none"/>
                      <w:lang w:val="en-US" w:eastAsia="zh-CN"/>
                    </w:rPr>
                  </w:pPr>
                  <w:bookmarkStart w:id="34" w:name="_Toc20824"/>
                  <w:bookmarkStart w:id="35" w:name="_Toc25733"/>
                  <w:r>
                    <w:rPr>
                      <w:rFonts w:hint="default"/>
                      <w:color w:val="auto"/>
                      <w:highlight w:val="none"/>
                      <w:lang w:val="en-US" w:eastAsia="zh-CN"/>
                    </w:rPr>
                    <w:t>符合</w:t>
                  </w:r>
                  <w:bookmarkEnd w:id="34"/>
                  <w:bookmarkEnd w:id="35"/>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7" w:type="dxa"/>
                  <w:tcBorders>
                    <w:tl2br w:val="nil"/>
                    <w:tr2bl w:val="nil"/>
                  </w:tcBorders>
                  <w:vAlign w:val="center"/>
                </w:tcPr>
                <w:p>
                  <w:pPr>
                    <w:pStyle w:val="34"/>
                    <w:bidi w:val="0"/>
                    <w:rPr>
                      <w:rFonts w:hint="default"/>
                      <w:color w:val="auto"/>
                      <w:highlight w:val="none"/>
                      <w:lang w:val="en-US" w:eastAsia="zh-CN"/>
                    </w:rPr>
                  </w:pPr>
                  <w:bookmarkStart w:id="36" w:name="_Toc23527"/>
                  <w:bookmarkStart w:id="37" w:name="_Toc10725"/>
                  <w:r>
                    <w:rPr>
                      <w:rFonts w:hint="default"/>
                      <w:color w:val="auto"/>
                      <w:highlight w:val="none"/>
                      <w:lang w:val="en-US" w:eastAsia="zh-CN"/>
                    </w:rPr>
                    <w:t>3</w:t>
                  </w:r>
                  <w:bookmarkEnd w:id="36"/>
                  <w:bookmarkEnd w:id="37"/>
                </w:p>
              </w:tc>
              <w:tc>
                <w:tcPr>
                  <w:tcW w:w="3546" w:type="dxa"/>
                  <w:tcBorders>
                    <w:tl2br w:val="nil"/>
                    <w:tr2bl w:val="nil"/>
                  </w:tcBorders>
                  <w:vAlign w:val="center"/>
                </w:tcPr>
                <w:p>
                  <w:pPr>
                    <w:pStyle w:val="34"/>
                    <w:bidi w:val="0"/>
                    <w:rPr>
                      <w:rFonts w:hint="default"/>
                      <w:color w:val="auto"/>
                      <w:highlight w:val="none"/>
                      <w:lang w:val="en-US" w:eastAsia="zh-CN"/>
                    </w:rPr>
                  </w:pPr>
                  <w:bookmarkStart w:id="38" w:name="_Toc2674"/>
                  <w:bookmarkStart w:id="39" w:name="_Toc17182"/>
                  <w:r>
                    <w:rPr>
                      <w:rFonts w:hint="default"/>
                      <w:color w:val="auto"/>
                      <w:highlight w:val="none"/>
                      <w:lang w:val="en-US" w:eastAsia="zh-CN"/>
                    </w:rPr>
                    <w:t>禁止在饮用水水源一级保护区的岸线和河 段范围内新建、改建、扩建与供水设施和保护水源无关的项目，以及网箱养殖、畜禽养殖、旅游等可能污染饮用水水体 投资建设项目。禁止在饮用水水源二级保护区的岸线和河段范围内新建、改建、扩建排放污染物的投资建设项目。</w:t>
                  </w:r>
                  <w:bookmarkEnd w:id="38"/>
                  <w:bookmarkEnd w:id="39"/>
                </w:p>
              </w:tc>
              <w:tc>
                <w:tcPr>
                  <w:tcW w:w="2313" w:type="dxa"/>
                  <w:tcBorders>
                    <w:tl2br w:val="nil"/>
                    <w:tr2bl w:val="nil"/>
                  </w:tcBorders>
                  <w:vAlign w:val="center"/>
                </w:tcPr>
                <w:p>
                  <w:pPr>
                    <w:pStyle w:val="34"/>
                    <w:bidi w:val="0"/>
                    <w:rPr>
                      <w:rFonts w:hint="default"/>
                      <w:color w:val="auto"/>
                      <w:highlight w:val="none"/>
                      <w:lang w:val="en-US" w:eastAsia="zh-CN"/>
                    </w:rPr>
                  </w:pPr>
                  <w:bookmarkStart w:id="40" w:name="_Toc15596"/>
                  <w:bookmarkStart w:id="41" w:name="_Toc19143"/>
                  <w:r>
                    <w:rPr>
                      <w:rFonts w:hint="default"/>
                      <w:color w:val="auto"/>
                      <w:highlight w:val="none"/>
                      <w:lang w:val="en-US" w:eastAsia="zh-CN"/>
                    </w:rPr>
                    <w:t>本项目</w:t>
                  </w:r>
                  <w:r>
                    <w:rPr>
                      <w:rFonts w:hint="eastAsia"/>
                      <w:color w:val="auto"/>
                      <w:highlight w:val="none"/>
                      <w:lang w:val="en-US" w:eastAsia="zh-CN"/>
                    </w:rPr>
                    <w:t>为</w:t>
                  </w:r>
                  <w:r>
                    <w:rPr>
                      <w:rFonts w:hint="default"/>
                      <w:color w:val="auto"/>
                      <w:highlight w:val="none"/>
                      <w:lang w:val="en-US" w:eastAsia="zh-CN"/>
                    </w:rPr>
                    <w:t>制氧系统技术改造节能项目，属于易门铜业有限公司铜冶炼配套公用工程，且项目</w:t>
                  </w:r>
                  <w:r>
                    <w:rPr>
                      <w:rFonts w:hint="eastAsia"/>
                      <w:color w:val="auto"/>
                      <w:highlight w:val="none"/>
                      <w:lang w:val="en-US" w:eastAsia="zh-CN"/>
                    </w:rPr>
                    <w:t>用地范围</w:t>
                  </w:r>
                  <w:r>
                    <w:rPr>
                      <w:rFonts w:hint="default"/>
                      <w:color w:val="auto"/>
                      <w:highlight w:val="none"/>
                      <w:lang w:val="en-US" w:eastAsia="zh-CN"/>
                    </w:rPr>
                    <w:t>不涉及饮用水水源一级保护区、二级保护区。</w:t>
                  </w:r>
                  <w:bookmarkEnd w:id="40"/>
                  <w:bookmarkEnd w:id="41"/>
                </w:p>
              </w:tc>
              <w:tc>
                <w:tcPr>
                  <w:tcW w:w="678" w:type="dxa"/>
                  <w:tcBorders>
                    <w:tl2br w:val="nil"/>
                    <w:tr2bl w:val="nil"/>
                  </w:tcBorders>
                  <w:vAlign w:val="center"/>
                </w:tcPr>
                <w:p>
                  <w:pPr>
                    <w:pStyle w:val="34"/>
                    <w:bidi w:val="0"/>
                    <w:rPr>
                      <w:rFonts w:hint="default"/>
                      <w:color w:val="auto"/>
                      <w:highlight w:val="none"/>
                      <w:lang w:val="en-US" w:eastAsia="zh-CN"/>
                    </w:rPr>
                  </w:pPr>
                  <w:bookmarkStart w:id="42" w:name="_Toc13977"/>
                  <w:bookmarkStart w:id="43" w:name="_Toc17916"/>
                  <w:r>
                    <w:rPr>
                      <w:rFonts w:hint="default"/>
                      <w:color w:val="auto"/>
                      <w:highlight w:val="none"/>
                      <w:lang w:val="en-US" w:eastAsia="zh-CN"/>
                    </w:rPr>
                    <w:t>符合</w:t>
                  </w:r>
                  <w:bookmarkEnd w:id="42"/>
                  <w:bookmarkEnd w:id="43"/>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7" w:type="dxa"/>
                  <w:tcBorders>
                    <w:tl2br w:val="nil"/>
                    <w:tr2bl w:val="nil"/>
                  </w:tcBorders>
                  <w:vAlign w:val="center"/>
                </w:tcPr>
                <w:p>
                  <w:pPr>
                    <w:pStyle w:val="34"/>
                    <w:bidi w:val="0"/>
                    <w:rPr>
                      <w:rFonts w:hint="default"/>
                      <w:color w:val="auto"/>
                      <w:highlight w:val="none"/>
                      <w:lang w:val="en-US" w:eastAsia="zh-CN"/>
                    </w:rPr>
                  </w:pPr>
                  <w:bookmarkStart w:id="44" w:name="_Toc29680"/>
                  <w:bookmarkStart w:id="45" w:name="_Toc14654"/>
                  <w:r>
                    <w:rPr>
                      <w:rFonts w:hint="default"/>
                      <w:color w:val="auto"/>
                      <w:highlight w:val="none"/>
                      <w:lang w:val="en-US" w:eastAsia="zh-CN"/>
                    </w:rPr>
                    <w:t>4</w:t>
                  </w:r>
                  <w:bookmarkEnd w:id="44"/>
                  <w:bookmarkEnd w:id="45"/>
                </w:p>
              </w:tc>
              <w:tc>
                <w:tcPr>
                  <w:tcW w:w="3546" w:type="dxa"/>
                  <w:tcBorders>
                    <w:tl2br w:val="nil"/>
                    <w:tr2bl w:val="nil"/>
                  </w:tcBorders>
                  <w:vAlign w:val="center"/>
                </w:tcPr>
                <w:p>
                  <w:pPr>
                    <w:pStyle w:val="34"/>
                    <w:bidi w:val="0"/>
                    <w:rPr>
                      <w:rFonts w:hint="default"/>
                      <w:color w:val="auto"/>
                      <w:highlight w:val="none"/>
                      <w:lang w:val="en-US" w:eastAsia="zh-CN"/>
                    </w:rPr>
                  </w:pPr>
                  <w:bookmarkStart w:id="46" w:name="_Toc25540"/>
                  <w:bookmarkStart w:id="47" w:name="_Toc7816"/>
                  <w:r>
                    <w:rPr>
                      <w:rFonts w:hint="default"/>
                      <w:color w:val="auto"/>
                      <w:highlight w:val="none"/>
                      <w:lang w:val="en-US" w:eastAsia="zh-CN"/>
                    </w:rPr>
                    <w:t>禁止在水产种质资源保护区的岸线和河段 范围内新建围湖造田、围海造地或围填海 等投资建设项目。禁止在国家湿地公园的 岸线和河段范围内挖沙、采矿，以及任何不符合主体功能定位的投资建设项目。</w:t>
                  </w:r>
                  <w:bookmarkEnd w:id="46"/>
                  <w:bookmarkEnd w:id="47"/>
                </w:p>
              </w:tc>
              <w:tc>
                <w:tcPr>
                  <w:tcW w:w="2313" w:type="dxa"/>
                  <w:tcBorders>
                    <w:tl2br w:val="nil"/>
                    <w:tr2bl w:val="nil"/>
                  </w:tcBorders>
                  <w:vAlign w:val="center"/>
                </w:tcPr>
                <w:p>
                  <w:pPr>
                    <w:pStyle w:val="34"/>
                    <w:bidi w:val="0"/>
                    <w:rPr>
                      <w:rFonts w:hint="default"/>
                      <w:color w:val="auto"/>
                      <w:highlight w:val="none"/>
                      <w:lang w:val="en-US" w:eastAsia="zh-CN"/>
                    </w:rPr>
                  </w:pPr>
                  <w:bookmarkStart w:id="48" w:name="_Toc26606"/>
                  <w:bookmarkStart w:id="49" w:name="_Toc10342"/>
                  <w:r>
                    <w:rPr>
                      <w:rFonts w:hint="default"/>
                      <w:color w:val="auto"/>
                      <w:highlight w:val="none"/>
                      <w:lang w:val="en-US" w:eastAsia="zh-CN"/>
                    </w:rPr>
                    <w:t>本项目</w:t>
                  </w:r>
                  <w:r>
                    <w:rPr>
                      <w:rFonts w:hint="eastAsia"/>
                      <w:color w:val="auto"/>
                      <w:highlight w:val="none"/>
                      <w:lang w:val="en-US" w:eastAsia="zh-CN"/>
                    </w:rPr>
                    <w:t>用地范围</w:t>
                  </w:r>
                  <w:r>
                    <w:rPr>
                      <w:rFonts w:hint="default"/>
                      <w:color w:val="auto"/>
                      <w:highlight w:val="none"/>
                      <w:lang w:val="en-US" w:eastAsia="zh-CN"/>
                    </w:rPr>
                    <w:t>不涉及水产种质资源保护区，不涉及国家湿地公园。</w:t>
                  </w:r>
                  <w:bookmarkEnd w:id="48"/>
                  <w:bookmarkEnd w:id="49"/>
                </w:p>
              </w:tc>
              <w:tc>
                <w:tcPr>
                  <w:tcW w:w="678" w:type="dxa"/>
                  <w:tcBorders>
                    <w:tl2br w:val="nil"/>
                    <w:tr2bl w:val="nil"/>
                  </w:tcBorders>
                  <w:vAlign w:val="center"/>
                </w:tcPr>
                <w:p>
                  <w:pPr>
                    <w:pStyle w:val="34"/>
                    <w:bidi w:val="0"/>
                    <w:rPr>
                      <w:rFonts w:hint="default"/>
                      <w:color w:val="auto"/>
                      <w:highlight w:val="none"/>
                      <w:lang w:val="en-US" w:eastAsia="zh-CN"/>
                    </w:rPr>
                  </w:pPr>
                  <w:bookmarkStart w:id="50" w:name="_Toc14533"/>
                  <w:bookmarkStart w:id="51" w:name="_Toc16113"/>
                  <w:r>
                    <w:rPr>
                      <w:rFonts w:hint="default"/>
                      <w:color w:val="auto"/>
                      <w:highlight w:val="none"/>
                      <w:lang w:val="en-US" w:eastAsia="zh-CN"/>
                    </w:rPr>
                    <w:t>符合</w:t>
                  </w:r>
                  <w:bookmarkEnd w:id="50"/>
                  <w:bookmarkEnd w:id="51"/>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7" w:type="dxa"/>
                  <w:tcBorders>
                    <w:tl2br w:val="nil"/>
                    <w:tr2bl w:val="nil"/>
                  </w:tcBorders>
                  <w:vAlign w:val="center"/>
                </w:tcPr>
                <w:p>
                  <w:pPr>
                    <w:pStyle w:val="34"/>
                    <w:bidi w:val="0"/>
                    <w:rPr>
                      <w:rFonts w:hint="default"/>
                      <w:color w:val="auto"/>
                      <w:highlight w:val="none"/>
                      <w:lang w:val="en-US" w:eastAsia="zh-CN"/>
                    </w:rPr>
                  </w:pPr>
                  <w:bookmarkStart w:id="52" w:name="_Toc11311"/>
                  <w:bookmarkStart w:id="53" w:name="_Toc13332"/>
                  <w:r>
                    <w:rPr>
                      <w:rFonts w:hint="default"/>
                      <w:color w:val="auto"/>
                      <w:highlight w:val="none"/>
                      <w:lang w:val="en-US" w:eastAsia="zh-CN"/>
                    </w:rPr>
                    <w:t>5</w:t>
                  </w:r>
                  <w:bookmarkEnd w:id="52"/>
                  <w:bookmarkEnd w:id="53"/>
                </w:p>
              </w:tc>
              <w:tc>
                <w:tcPr>
                  <w:tcW w:w="3546" w:type="dxa"/>
                  <w:tcBorders>
                    <w:tl2br w:val="nil"/>
                    <w:tr2bl w:val="nil"/>
                  </w:tcBorders>
                  <w:vAlign w:val="center"/>
                </w:tcPr>
                <w:p>
                  <w:pPr>
                    <w:pStyle w:val="34"/>
                    <w:bidi w:val="0"/>
                    <w:rPr>
                      <w:rFonts w:hint="default"/>
                      <w:color w:val="auto"/>
                      <w:highlight w:val="none"/>
                      <w:lang w:val="en-US" w:eastAsia="zh-CN"/>
                    </w:rPr>
                  </w:pPr>
                  <w:bookmarkStart w:id="54" w:name="_Toc14359"/>
                  <w:bookmarkStart w:id="55" w:name="_Toc6418"/>
                  <w:r>
                    <w:rPr>
                      <w:rFonts w:hint="default"/>
                      <w:color w:val="auto"/>
                      <w:highlight w:val="none"/>
                      <w:lang w:val="en-US" w:eastAsia="zh-CN"/>
                    </w:rPr>
                    <w:t>禁止违法利用、占用长江流域河湖岸线。 禁止在《长江岸线保护和开发利用总体规划》划定的岸线保护区和保留区内建设除事关公共安全及公众利益的防洪护岸、河道治理、供水、生态环境保护、航道整治、国家重要基础设施以外的项目。禁止在《全国重要江河湖泊水功能区划》 划定的河段及湖泊保护区、保留区内投资建设不利于水资源及自然生态保护的项目。</w:t>
                  </w:r>
                  <w:bookmarkEnd w:id="54"/>
                  <w:bookmarkEnd w:id="55"/>
                </w:p>
              </w:tc>
              <w:tc>
                <w:tcPr>
                  <w:tcW w:w="2313" w:type="dxa"/>
                  <w:tcBorders>
                    <w:tl2br w:val="nil"/>
                    <w:tr2bl w:val="nil"/>
                  </w:tcBorders>
                  <w:vAlign w:val="center"/>
                </w:tcPr>
                <w:p>
                  <w:pPr>
                    <w:pStyle w:val="34"/>
                    <w:bidi w:val="0"/>
                    <w:rPr>
                      <w:rFonts w:hint="default"/>
                      <w:color w:val="auto"/>
                      <w:highlight w:val="none"/>
                      <w:lang w:val="en-US" w:eastAsia="zh-CN"/>
                    </w:rPr>
                  </w:pPr>
                  <w:bookmarkStart w:id="56" w:name="_Toc7928"/>
                  <w:bookmarkStart w:id="57" w:name="_Toc19449"/>
                  <w:r>
                    <w:rPr>
                      <w:rFonts w:hint="default"/>
                      <w:color w:val="auto"/>
                      <w:highlight w:val="none"/>
                      <w:lang w:val="en-US" w:eastAsia="zh-CN"/>
                    </w:rPr>
                    <w:t>本项目位于云南易门产业园区大椿树片区</w:t>
                  </w:r>
                  <w:r>
                    <w:rPr>
                      <w:rFonts w:hint="eastAsia"/>
                      <w:color w:val="auto"/>
                      <w:highlight w:val="none"/>
                      <w:lang w:val="en-US" w:eastAsia="zh-CN"/>
                    </w:rPr>
                    <w:t>，项目类型</w:t>
                  </w:r>
                  <w:r>
                    <w:rPr>
                      <w:rFonts w:hint="default"/>
                      <w:color w:val="auto"/>
                      <w:highlight w:val="none"/>
                      <w:lang w:val="en-US" w:eastAsia="zh-CN"/>
                    </w:rPr>
                    <w:t>为制氧系统技术改造节能项目，属于易门铜业有限公司铜冶炼配套公用工程，</w:t>
                  </w:r>
                  <w:r>
                    <w:rPr>
                      <w:rFonts w:hint="eastAsia"/>
                      <w:color w:val="auto"/>
                      <w:highlight w:val="none"/>
                      <w:lang w:val="en-US" w:eastAsia="zh-CN"/>
                    </w:rPr>
                    <w:t>且项目用地范围不涉及上述禁止或保护区域</w:t>
                  </w:r>
                  <w:r>
                    <w:rPr>
                      <w:rFonts w:hint="default"/>
                      <w:color w:val="auto"/>
                      <w:highlight w:val="none"/>
                      <w:lang w:val="en-US" w:eastAsia="zh-CN"/>
                    </w:rPr>
                    <w:t>。</w:t>
                  </w:r>
                  <w:bookmarkEnd w:id="56"/>
                  <w:bookmarkEnd w:id="57"/>
                </w:p>
              </w:tc>
              <w:tc>
                <w:tcPr>
                  <w:tcW w:w="678" w:type="dxa"/>
                  <w:tcBorders>
                    <w:tl2br w:val="nil"/>
                    <w:tr2bl w:val="nil"/>
                  </w:tcBorders>
                  <w:vAlign w:val="center"/>
                </w:tcPr>
                <w:p>
                  <w:pPr>
                    <w:pStyle w:val="34"/>
                    <w:bidi w:val="0"/>
                    <w:rPr>
                      <w:rFonts w:hint="default"/>
                      <w:color w:val="auto"/>
                      <w:highlight w:val="none"/>
                      <w:lang w:val="en-US" w:eastAsia="zh-CN"/>
                    </w:rPr>
                  </w:pPr>
                  <w:bookmarkStart w:id="58" w:name="_Toc4613"/>
                  <w:bookmarkStart w:id="59" w:name="_Toc451"/>
                  <w:r>
                    <w:rPr>
                      <w:rFonts w:hint="default"/>
                      <w:color w:val="auto"/>
                      <w:highlight w:val="none"/>
                      <w:lang w:val="en-US" w:eastAsia="zh-CN"/>
                    </w:rPr>
                    <w:t>符合</w:t>
                  </w:r>
                  <w:bookmarkEnd w:id="58"/>
                  <w:bookmarkEnd w:id="59"/>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7" w:type="dxa"/>
                  <w:tcBorders>
                    <w:tl2br w:val="nil"/>
                    <w:tr2bl w:val="nil"/>
                  </w:tcBorders>
                  <w:vAlign w:val="center"/>
                </w:tcPr>
                <w:p>
                  <w:pPr>
                    <w:pStyle w:val="34"/>
                    <w:bidi w:val="0"/>
                    <w:rPr>
                      <w:rFonts w:hint="default"/>
                      <w:color w:val="auto"/>
                      <w:highlight w:val="none"/>
                      <w:lang w:val="en-US" w:eastAsia="zh-CN"/>
                    </w:rPr>
                  </w:pPr>
                  <w:bookmarkStart w:id="60" w:name="_Toc22137"/>
                  <w:bookmarkStart w:id="61" w:name="_Toc11611"/>
                  <w:r>
                    <w:rPr>
                      <w:rFonts w:hint="default"/>
                      <w:color w:val="auto"/>
                      <w:highlight w:val="none"/>
                      <w:lang w:val="en-US" w:eastAsia="zh-CN"/>
                    </w:rPr>
                    <w:t>6</w:t>
                  </w:r>
                  <w:bookmarkEnd w:id="60"/>
                  <w:bookmarkEnd w:id="61"/>
                </w:p>
              </w:tc>
              <w:tc>
                <w:tcPr>
                  <w:tcW w:w="3546" w:type="dxa"/>
                  <w:tcBorders>
                    <w:tl2br w:val="nil"/>
                    <w:tr2bl w:val="nil"/>
                  </w:tcBorders>
                  <w:vAlign w:val="center"/>
                </w:tcPr>
                <w:p>
                  <w:pPr>
                    <w:pStyle w:val="34"/>
                    <w:bidi w:val="0"/>
                    <w:rPr>
                      <w:rFonts w:hint="default"/>
                      <w:color w:val="auto"/>
                      <w:highlight w:val="none"/>
                      <w:lang w:val="en-US" w:eastAsia="zh-CN"/>
                    </w:rPr>
                  </w:pPr>
                  <w:bookmarkStart w:id="62" w:name="_Toc12872"/>
                  <w:bookmarkStart w:id="63" w:name="_Toc23133"/>
                  <w:r>
                    <w:rPr>
                      <w:rFonts w:hint="default"/>
                      <w:color w:val="auto"/>
                      <w:highlight w:val="none"/>
                      <w:lang w:val="en-US" w:eastAsia="zh-CN"/>
                    </w:rPr>
                    <w:t>禁止未经许可在长江干支流及湖泊新设、 改设或扩大排污口。</w:t>
                  </w:r>
                  <w:bookmarkEnd w:id="62"/>
                  <w:bookmarkEnd w:id="63"/>
                </w:p>
              </w:tc>
              <w:tc>
                <w:tcPr>
                  <w:tcW w:w="2313" w:type="dxa"/>
                  <w:tcBorders>
                    <w:tl2br w:val="nil"/>
                    <w:tr2bl w:val="nil"/>
                  </w:tcBorders>
                  <w:vAlign w:val="center"/>
                </w:tcPr>
                <w:p>
                  <w:pPr>
                    <w:pStyle w:val="34"/>
                    <w:bidi w:val="0"/>
                    <w:rPr>
                      <w:rFonts w:hint="default"/>
                      <w:color w:val="auto"/>
                      <w:highlight w:val="none"/>
                      <w:lang w:val="en-US" w:eastAsia="zh-CN"/>
                    </w:rPr>
                  </w:pPr>
                  <w:bookmarkStart w:id="64" w:name="_Toc14656"/>
                  <w:r>
                    <w:rPr>
                      <w:rFonts w:hint="default"/>
                      <w:color w:val="auto"/>
                      <w:highlight w:val="none"/>
                      <w:lang w:val="en-US" w:eastAsia="zh-CN"/>
                    </w:rPr>
                    <w:t>本项目位于云南易门产业园区大椿树片区</w:t>
                  </w:r>
                  <w:r>
                    <w:rPr>
                      <w:rFonts w:hint="eastAsia"/>
                      <w:color w:val="auto"/>
                      <w:highlight w:val="none"/>
                      <w:lang w:val="en-US" w:eastAsia="zh-CN"/>
                    </w:rPr>
                    <w:t>，所属流域为西南诸河流域，不属于长江流域。</w:t>
                  </w:r>
                  <w:bookmarkEnd w:id="64"/>
                </w:p>
              </w:tc>
              <w:tc>
                <w:tcPr>
                  <w:tcW w:w="678" w:type="dxa"/>
                  <w:tcBorders>
                    <w:tl2br w:val="nil"/>
                    <w:tr2bl w:val="nil"/>
                  </w:tcBorders>
                  <w:vAlign w:val="center"/>
                </w:tcPr>
                <w:p>
                  <w:pPr>
                    <w:pStyle w:val="34"/>
                    <w:bidi w:val="0"/>
                    <w:rPr>
                      <w:rFonts w:hint="default"/>
                      <w:color w:val="auto"/>
                      <w:highlight w:val="none"/>
                      <w:lang w:val="en-US" w:eastAsia="zh-CN"/>
                    </w:rPr>
                  </w:pPr>
                  <w:bookmarkStart w:id="65" w:name="_Toc4971"/>
                  <w:bookmarkStart w:id="66" w:name="_Toc3528"/>
                  <w:r>
                    <w:rPr>
                      <w:rFonts w:hint="default"/>
                      <w:color w:val="auto"/>
                      <w:highlight w:val="none"/>
                      <w:lang w:val="en-US" w:eastAsia="zh-CN"/>
                    </w:rPr>
                    <w:t>符合</w:t>
                  </w:r>
                  <w:bookmarkEnd w:id="65"/>
                  <w:bookmarkEnd w:id="66"/>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7" w:type="dxa"/>
                  <w:tcBorders>
                    <w:tl2br w:val="nil"/>
                    <w:tr2bl w:val="nil"/>
                  </w:tcBorders>
                  <w:vAlign w:val="center"/>
                </w:tcPr>
                <w:p>
                  <w:pPr>
                    <w:pStyle w:val="34"/>
                    <w:bidi w:val="0"/>
                    <w:rPr>
                      <w:rFonts w:hint="default"/>
                      <w:color w:val="auto"/>
                      <w:highlight w:val="none"/>
                      <w:lang w:val="en-US" w:eastAsia="zh-CN"/>
                    </w:rPr>
                  </w:pPr>
                  <w:bookmarkStart w:id="67" w:name="_Toc27588"/>
                  <w:bookmarkStart w:id="68" w:name="_Toc2587"/>
                  <w:r>
                    <w:rPr>
                      <w:rFonts w:hint="default"/>
                      <w:color w:val="auto"/>
                      <w:highlight w:val="none"/>
                      <w:lang w:val="en-US" w:eastAsia="zh-CN"/>
                    </w:rPr>
                    <w:t>7</w:t>
                  </w:r>
                  <w:bookmarkEnd w:id="67"/>
                  <w:bookmarkEnd w:id="68"/>
                </w:p>
              </w:tc>
              <w:tc>
                <w:tcPr>
                  <w:tcW w:w="3546" w:type="dxa"/>
                  <w:tcBorders>
                    <w:tl2br w:val="nil"/>
                    <w:tr2bl w:val="nil"/>
                  </w:tcBorders>
                  <w:vAlign w:val="center"/>
                </w:tcPr>
                <w:p>
                  <w:pPr>
                    <w:pStyle w:val="34"/>
                    <w:bidi w:val="0"/>
                    <w:rPr>
                      <w:rFonts w:hint="default"/>
                      <w:color w:val="auto"/>
                      <w:highlight w:val="none"/>
                      <w:lang w:val="en-US" w:eastAsia="zh-CN"/>
                    </w:rPr>
                  </w:pPr>
                  <w:bookmarkStart w:id="69" w:name="_Toc1632"/>
                  <w:bookmarkStart w:id="70" w:name="_Toc32498"/>
                  <w:r>
                    <w:rPr>
                      <w:rFonts w:hint="default"/>
                      <w:color w:val="auto"/>
                      <w:highlight w:val="none"/>
                      <w:lang w:val="en-US" w:eastAsia="zh-CN"/>
                    </w:rPr>
                    <w:t>禁止在“一江一口两湖七河”和332个水生生物保护区开展生产性捕捞。</w:t>
                  </w:r>
                  <w:bookmarkEnd w:id="69"/>
                  <w:bookmarkEnd w:id="70"/>
                </w:p>
              </w:tc>
              <w:tc>
                <w:tcPr>
                  <w:tcW w:w="2313" w:type="dxa"/>
                  <w:tcBorders>
                    <w:tl2br w:val="nil"/>
                    <w:tr2bl w:val="nil"/>
                  </w:tcBorders>
                  <w:vAlign w:val="center"/>
                </w:tcPr>
                <w:p>
                  <w:pPr>
                    <w:pStyle w:val="34"/>
                    <w:bidi w:val="0"/>
                    <w:rPr>
                      <w:rFonts w:hint="default"/>
                      <w:color w:val="auto"/>
                      <w:highlight w:val="none"/>
                      <w:lang w:val="en-US" w:eastAsia="zh-CN"/>
                    </w:rPr>
                  </w:pPr>
                  <w:bookmarkStart w:id="71" w:name="_Toc775"/>
                  <w:bookmarkStart w:id="72" w:name="_Toc10985"/>
                  <w:r>
                    <w:rPr>
                      <w:rFonts w:hint="default"/>
                      <w:color w:val="auto"/>
                      <w:highlight w:val="none"/>
                      <w:lang w:val="en-US" w:eastAsia="zh-CN"/>
                    </w:rPr>
                    <w:t>本项目不涉及。</w:t>
                  </w:r>
                  <w:bookmarkEnd w:id="71"/>
                  <w:bookmarkEnd w:id="72"/>
                </w:p>
              </w:tc>
              <w:tc>
                <w:tcPr>
                  <w:tcW w:w="678" w:type="dxa"/>
                  <w:tcBorders>
                    <w:tl2br w:val="nil"/>
                    <w:tr2bl w:val="nil"/>
                  </w:tcBorders>
                  <w:vAlign w:val="center"/>
                </w:tcPr>
                <w:p>
                  <w:pPr>
                    <w:pStyle w:val="34"/>
                    <w:bidi w:val="0"/>
                    <w:rPr>
                      <w:rFonts w:hint="default"/>
                      <w:color w:val="auto"/>
                      <w:highlight w:val="none"/>
                      <w:lang w:val="en-US" w:eastAsia="zh-CN"/>
                    </w:rPr>
                  </w:pPr>
                  <w:bookmarkStart w:id="73" w:name="_Toc28606"/>
                  <w:bookmarkStart w:id="74" w:name="_Toc16720"/>
                  <w:r>
                    <w:rPr>
                      <w:rFonts w:hint="default"/>
                      <w:color w:val="auto"/>
                      <w:highlight w:val="none"/>
                      <w:lang w:val="en-US" w:eastAsia="zh-CN"/>
                    </w:rPr>
                    <w:t>符合</w:t>
                  </w:r>
                  <w:bookmarkEnd w:id="73"/>
                  <w:bookmarkEnd w:id="74"/>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7" w:type="dxa"/>
                  <w:tcBorders>
                    <w:tl2br w:val="nil"/>
                    <w:tr2bl w:val="nil"/>
                  </w:tcBorders>
                  <w:vAlign w:val="center"/>
                </w:tcPr>
                <w:p>
                  <w:pPr>
                    <w:pStyle w:val="34"/>
                    <w:bidi w:val="0"/>
                    <w:rPr>
                      <w:rFonts w:hint="default"/>
                      <w:color w:val="auto"/>
                      <w:highlight w:val="none"/>
                      <w:lang w:val="en-US" w:eastAsia="zh-CN"/>
                    </w:rPr>
                  </w:pPr>
                  <w:bookmarkStart w:id="75" w:name="_Toc23718"/>
                  <w:bookmarkStart w:id="76" w:name="_Toc20094"/>
                  <w:r>
                    <w:rPr>
                      <w:rFonts w:hint="default"/>
                      <w:color w:val="auto"/>
                      <w:highlight w:val="none"/>
                      <w:lang w:val="en-US" w:eastAsia="zh-CN"/>
                    </w:rPr>
                    <w:t>8</w:t>
                  </w:r>
                  <w:bookmarkEnd w:id="75"/>
                  <w:bookmarkEnd w:id="76"/>
                </w:p>
              </w:tc>
              <w:tc>
                <w:tcPr>
                  <w:tcW w:w="3546" w:type="dxa"/>
                  <w:tcBorders>
                    <w:tl2br w:val="nil"/>
                    <w:tr2bl w:val="nil"/>
                  </w:tcBorders>
                  <w:vAlign w:val="center"/>
                </w:tcPr>
                <w:p>
                  <w:pPr>
                    <w:pStyle w:val="34"/>
                    <w:bidi w:val="0"/>
                    <w:rPr>
                      <w:rFonts w:hint="default"/>
                      <w:color w:val="auto"/>
                      <w:highlight w:val="none"/>
                      <w:lang w:val="en-US" w:eastAsia="zh-CN"/>
                    </w:rPr>
                  </w:pPr>
                  <w:bookmarkStart w:id="77" w:name="_Toc28485"/>
                  <w:bookmarkStart w:id="78" w:name="_Toc21555"/>
                  <w:r>
                    <w:rPr>
                      <w:rFonts w:hint="default"/>
                      <w:color w:val="auto"/>
                      <w:highlight w:val="none"/>
                      <w:lang w:val="en-US" w:eastAsia="zh-CN"/>
                    </w:rPr>
                    <w:t>禁止在长江干支流、重要湖泊岸线一公里 范围内新建、扩建化工园区和化工项目。 禁止在长江干流岸线三公里范围内和重要支流岸线一公里范围内新建、改建、扩建尾矿库、冶炼渣库和磷石膏库，以提升安全、生态环境保护水平为目的的改建除外。</w:t>
                  </w:r>
                  <w:bookmarkEnd w:id="77"/>
                  <w:bookmarkEnd w:id="78"/>
                </w:p>
              </w:tc>
              <w:tc>
                <w:tcPr>
                  <w:tcW w:w="2313" w:type="dxa"/>
                  <w:tcBorders>
                    <w:tl2br w:val="nil"/>
                    <w:tr2bl w:val="nil"/>
                  </w:tcBorders>
                  <w:vAlign w:val="center"/>
                </w:tcPr>
                <w:p>
                  <w:pPr>
                    <w:pStyle w:val="34"/>
                    <w:bidi w:val="0"/>
                    <w:rPr>
                      <w:rFonts w:hint="default"/>
                      <w:color w:val="auto"/>
                      <w:highlight w:val="none"/>
                      <w:lang w:val="en-US" w:eastAsia="zh-CN"/>
                    </w:rPr>
                  </w:pPr>
                  <w:bookmarkStart w:id="79" w:name="_Toc5112"/>
                  <w:bookmarkStart w:id="80" w:name="_Toc8231"/>
                  <w:r>
                    <w:rPr>
                      <w:rFonts w:hint="default"/>
                      <w:color w:val="auto"/>
                      <w:highlight w:val="none"/>
                      <w:lang w:val="en-US" w:eastAsia="zh-CN"/>
                    </w:rPr>
                    <w:t>本项目位于云南易门产业园区大椿树片区</w:t>
                  </w:r>
                  <w:r>
                    <w:rPr>
                      <w:rFonts w:hint="eastAsia"/>
                      <w:color w:val="auto"/>
                      <w:highlight w:val="none"/>
                      <w:lang w:val="en-US" w:eastAsia="zh-CN"/>
                    </w:rPr>
                    <w:t>，为</w:t>
                  </w:r>
                  <w:r>
                    <w:rPr>
                      <w:rFonts w:hint="default"/>
                      <w:color w:val="auto"/>
                      <w:highlight w:val="none"/>
                      <w:lang w:val="en-US" w:eastAsia="zh-CN"/>
                    </w:rPr>
                    <w:t>制氧系统技术改造节能项目，属于易门铜业有限公司铜冶炼配套公用工程，不涉及</w:t>
                  </w:r>
                  <w:r>
                    <w:rPr>
                      <w:rFonts w:hint="eastAsia"/>
                      <w:color w:val="auto"/>
                      <w:highlight w:val="none"/>
                      <w:lang w:val="en-US" w:eastAsia="zh-CN"/>
                    </w:rPr>
                    <w:t>上述禁止项目</w:t>
                  </w:r>
                  <w:r>
                    <w:rPr>
                      <w:rFonts w:hint="default"/>
                      <w:color w:val="auto"/>
                      <w:highlight w:val="none"/>
                      <w:lang w:val="en-US" w:eastAsia="zh-CN"/>
                    </w:rPr>
                    <w:t>。</w:t>
                  </w:r>
                  <w:bookmarkEnd w:id="79"/>
                  <w:bookmarkEnd w:id="80"/>
                </w:p>
              </w:tc>
              <w:tc>
                <w:tcPr>
                  <w:tcW w:w="678" w:type="dxa"/>
                  <w:tcBorders>
                    <w:tl2br w:val="nil"/>
                    <w:tr2bl w:val="nil"/>
                  </w:tcBorders>
                  <w:vAlign w:val="center"/>
                </w:tcPr>
                <w:p>
                  <w:pPr>
                    <w:pStyle w:val="34"/>
                    <w:bidi w:val="0"/>
                    <w:rPr>
                      <w:rFonts w:hint="default"/>
                      <w:color w:val="auto"/>
                      <w:highlight w:val="none"/>
                      <w:lang w:val="en-US" w:eastAsia="zh-CN"/>
                    </w:rPr>
                  </w:pPr>
                  <w:bookmarkStart w:id="81" w:name="_Toc12510"/>
                  <w:bookmarkStart w:id="82" w:name="_Toc7230"/>
                  <w:r>
                    <w:rPr>
                      <w:rFonts w:hint="default"/>
                      <w:color w:val="auto"/>
                      <w:highlight w:val="none"/>
                      <w:lang w:val="en-US" w:eastAsia="zh-CN"/>
                    </w:rPr>
                    <w:t>符合</w:t>
                  </w:r>
                  <w:bookmarkEnd w:id="81"/>
                  <w:bookmarkEnd w:id="82"/>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7" w:type="dxa"/>
                  <w:tcBorders>
                    <w:tl2br w:val="nil"/>
                    <w:tr2bl w:val="nil"/>
                  </w:tcBorders>
                  <w:vAlign w:val="center"/>
                </w:tcPr>
                <w:p>
                  <w:pPr>
                    <w:pStyle w:val="34"/>
                    <w:bidi w:val="0"/>
                    <w:rPr>
                      <w:rFonts w:hint="default"/>
                      <w:color w:val="auto"/>
                      <w:highlight w:val="none"/>
                      <w:lang w:val="en-US" w:eastAsia="zh-CN"/>
                    </w:rPr>
                  </w:pPr>
                  <w:bookmarkStart w:id="83" w:name="_Toc25230"/>
                  <w:bookmarkStart w:id="84" w:name="_Toc5919"/>
                  <w:r>
                    <w:rPr>
                      <w:rFonts w:hint="default"/>
                      <w:color w:val="auto"/>
                      <w:highlight w:val="none"/>
                      <w:lang w:val="en-US" w:eastAsia="zh-CN"/>
                    </w:rPr>
                    <w:t>9</w:t>
                  </w:r>
                  <w:bookmarkEnd w:id="83"/>
                  <w:bookmarkEnd w:id="84"/>
                </w:p>
              </w:tc>
              <w:tc>
                <w:tcPr>
                  <w:tcW w:w="3546" w:type="dxa"/>
                  <w:tcBorders>
                    <w:tl2br w:val="nil"/>
                    <w:tr2bl w:val="nil"/>
                  </w:tcBorders>
                  <w:vAlign w:val="center"/>
                </w:tcPr>
                <w:p>
                  <w:pPr>
                    <w:pStyle w:val="34"/>
                    <w:bidi w:val="0"/>
                    <w:rPr>
                      <w:rFonts w:hint="default"/>
                      <w:color w:val="auto"/>
                      <w:highlight w:val="none"/>
                      <w:lang w:val="en-US" w:eastAsia="zh-CN"/>
                    </w:rPr>
                  </w:pPr>
                  <w:bookmarkStart w:id="85" w:name="_Toc4242"/>
                  <w:bookmarkStart w:id="86" w:name="_Toc21424"/>
                  <w:r>
                    <w:rPr>
                      <w:rFonts w:hint="default"/>
                      <w:color w:val="auto"/>
                      <w:highlight w:val="none"/>
                      <w:lang w:val="en-US" w:eastAsia="zh-CN"/>
                    </w:rPr>
                    <w:t>禁止在合规园区外新建、扩建钢铁、石化、 化工、焦化、建材、有色、制浆造纸等高污染项目。</w:t>
                  </w:r>
                  <w:bookmarkEnd w:id="85"/>
                  <w:bookmarkEnd w:id="86"/>
                </w:p>
              </w:tc>
              <w:tc>
                <w:tcPr>
                  <w:tcW w:w="2313" w:type="dxa"/>
                  <w:tcBorders>
                    <w:tl2br w:val="nil"/>
                    <w:tr2bl w:val="nil"/>
                  </w:tcBorders>
                  <w:vAlign w:val="center"/>
                </w:tcPr>
                <w:p>
                  <w:pPr>
                    <w:pStyle w:val="34"/>
                    <w:bidi w:val="0"/>
                    <w:rPr>
                      <w:rFonts w:hint="default"/>
                      <w:color w:val="auto"/>
                      <w:highlight w:val="none"/>
                      <w:lang w:val="en-US" w:eastAsia="zh-CN"/>
                    </w:rPr>
                  </w:pPr>
                  <w:bookmarkStart w:id="87" w:name="_Toc7535"/>
                  <w:r>
                    <w:rPr>
                      <w:rFonts w:hint="default"/>
                      <w:color w:val="auto"/>
                      <w:highlight w:val="none"/>
                      <w:lang w:val="en-US" w:eastAsia="zh-CN"/>
                    </w:rPr>
                    <w:t>本项目位于云南易门产业园区大椿树片区</w:t>
                  </w:r>
                  <w:r>
                    <w:rPr>
                      <w:rFonts w:hint="eastAsia"/>
                      <w:color w:val="auto"/>
                      <w:highlight w:val="none"/>
                      <w:lang w:val="en-US" w:eastAsia="zh-CN"/>
                    </w:rPr>
                    <w:t>，为</w:t>
                  </w:r>
                  <w:r>
                    <w:rPr>
                      <w:rFonts w:hint="default"/>
                      <w:color w:val="auto"/>
                      <w:highlight w:val="none"/>
                      <w:lang w:val="en-US" w:eastAsia="zh-CN"/>
                    </w:rPr>
                    <w:t>制氧系统技术改造节能项目，属于易门铜业有限公司铜冶炼配套公用工程，不涉及</w:t>
                  </w:r>
                  <w:r>
                    <w:rPr>
                      <w:rFonts w:hint="eastAsia"/>
                      <w:color w:val="auto"/>
                      <w:highlight w:val="none"/>
                      <w:lang w:val="en-US" w:eastAsia="zh-CN"/>
                    </w:rPr>
                    <w:t>上述禁止项目</w:t>
                  </w:r>
                  <w:r>
                    <w:rPr>
                      <w:rFonts w:hint="default"/>
                      <w:color w:val="auto"/>
                      <w:highlight w:val="none"/>
                      <w:lang w:val="en-US" w:eastAsia="zh-CN"/>
                    </w:rPr>
                    <w:t>。</w:t>
                  </w:r>
                  <w:bookmarkEnd w:id="87"/>
                </w:p>
              </w:tc>
              <w:tc>
                <w:tcPr>
                  <w:tcW w:w="678" w:type="dxa"/>
                  <w:tcBorders>
                    <w:tl2br w:val="nil"/>
                    <w:tr2bl w:val="nil"/>
                  </w:tcBorders>
                  <w:vAlign w:val="center"/>
                </w:tcPr>
                <w:p>
                  <w:pPr>
                    <w:pStyle w:val="34"/>
                    <w:bidi w:val="0"/>
                    <w:rPr>
                      <w:rFonts w:hint="default"/>
                      <w:color w:val="auto"/>
                      <w:highlight w:val="none"/>
                      <w:lang w:val="en-US" w:eastAsia="zh-CN"/>
                    </w:rPr>
                  </w:pPr>
                  <w:bookmarkStart w:id="88" w:name="_Toc863"/>
                  <w:bookmarkStart w:id="89" w:name="_Toc6539"/>
                  <w:r>
                    <w:rPr>
                      <w:rFonts w:hint="default"/>
                      <w:color w:val="auto"/>
                      <w:highlight w:val="none"/>
                      <w:lang w:val="en-US" w:eastAsia="zh-CN"/>
                    </w:rPr>
                    <w:t>符合</w:t>
                  </w:r>
                  <w:bookmarkEnd w:id="88"/>
                  <w:bookmarkEnd w:id="89"/>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7" w:type="dxa"/>
                  <w:tcBorders>
                    <w:tl2br w:val="nil"/>
                    <w:tr2bl w:val="nil"/>
                  </w:tcBorders>
                  <w:vAlign w:val="center"/>
                </w:tcPr>
                <w:p>
                  <w:pPr>
                    <w:pStyle w:val="34"/>
                    <w:bidi w:val="0"/>
                    <w:rPr>
                      <w:rFonts w:hint="default"/>
                      <w:color w:val="auto"/>
                      <w:highlight w:val="none"/>
                      <w:lang w:val="en-US" w:eastAsia="zh-CN"/>
                    </w:rPr>
                  </w:pPr>
                  <w:bookmarkStart w:id="90" w:name="_Toc21019"/>
                  <w:bookmarkStart w:id="91" w:name="_Toc3285"/>
                  <w:r>
                    <w:rPr>
                      <w:rFonts w:hint="default"/>
                      <w:color w:val="auto"/>
                      <w:highlight w:val="none"/>
                      <w:lang w:val="en-US" w:eastAsia="zh-CN"/>
                    </w:rPr>
                    <w:t>10</w:t>
                  </w:r>
                  <w:bookmarkEnd w:id="90"/>
                  <w:bookmarkEnd w:id="91"/>
                </w:p>
              </w:tc>
              <w:tc>
                <w:tcPr>
                  <w:tcW w:w="3546" w:type="dxa"/>
                  <w:tcBorders>
                    <w:tl2br w:val="nil"/>
                    <w:tr2bl w:val="nil"/>
                  </w:tcBorders>
                  <w:vAlign w:val="center"/>
                </w:tcPr>
                <w:p>
                  <w:pPr>
                    <w:pStyle w:val="34"/>
                    <w:bidi w:val="0"/>
                    <w:rPr>
                      <w:rFonts w:hint="default"/>
                      <w:color w:val="auto"/>
                      <w:highlight w:val="none"/>
                      <w:lang w:val="en-US" w:eastAsia="zh-CN"/>
                    </w:rPr>
                  </w:pPr>
                  <w:bookmarkStart w:id="92" w:name="_Toc23552"/>
                  <w:bookmarkStart w:id="93" w:name="_Toc14065"/>
                  <w:r>
                    <w:rPr>
                      <w:rFonts w:hint="default"/>
                      <w:color w:val="auto"/>
                      <w:highlight w:val="none"/>
                      <w:lang w:val="en-US" w:eastAsia="zh-CN"/>
                    </w:rPr>
                    <w:t>禁止新建、扩建不符合国家石化、现代煤化工等产业布局规划的项目。</w:t>
                  </w:r>
                  <w:bookmarkEnd w:id="92"/>
                  <w:bookmarkEnd w:id="93"/>
                </w:p>
              </w:tc>
              <w:tc>
                <w:tcPr>
                  <w:tcW w:w="2313" w:type="dxa"/>
                  <w:tcBorders>
                    <w:tl2br w:val="nil"/>
                    <w:tr2bl w:val="nil"/>
                  </w:tcBorders>
                  <w:vAlign w:val="center"/>
                </w:tcPr>
                <w:p>
                  <w:pPr>
                    <w:pStyle w:val="34"/>
                    <w:bidi w:val="0"/>
                    <w:rPr>
                      <w:rFonts w:hint="default"/>
                      <w:color w:val="auto"/>
                      <w:highlight w:val="none"/>
                      <w:lang w:val="en-US" w:eastAsia="zh-CN"/>
                    </w:rPr>
                  </w:pPr>
                  <w:bookmarkStart w:id="94" w:name="_Toc13511"/>
                  <w:bookmarkStart w:id="95" w:name="_Toc23887"/>
                  <w:r>
                    <w:rPr>
                      <w:rFonts w:hint="default"/>
                      <w:color w:val="auto"/>
                      <w:highlight w:val="none"/>
                      <w:lang w:val="en-US" w:eastAsia="zh-CN"/>
                    </w:rPr>
                    <w:t>本项目</w:t>
                  </w:r>
                  <w:bookmarkEnd w:id="94"/>
                  <w:r>
                    <w:rPr>
                      <w:rFonts w:hint="eastAsia"/>
                      <w:color w:val="auto"/>
                      <w:highlight w:val="none"/>
                      <w:lang w:val="en-US" w:eastAsia="zh-CN"/>
                    </w:rPr>
                    <w:t>为</w:t>
                  </w:r>
                  <w:r>
                    <w:rPr>
                      <w:rFonts w:hint="default"/>
                      <w:color w:val="auto"/>
                      <w:highlight w:val="none"/>
                      <w:lang w:val="en-US" w:eastAsia="zh-CN"/>
                    </w:rPr>
                    <w:t>制氧系统技术改造节能项目，属于易门铜业有限公司铜冶炼配套公用工程，不涉及</w:t>
                  </w:r>
                  <w:r>
                    <w:rPr>
                      <w:rFonts w:hint="eastAsia"/>
                      <w:color w:val="auto"/>
                      <w:highlight w:val="none"/>
                      <w:lang w:val="en-US" w:eastAsia="zh-CN"/>
                    </w:rPr>
                    <w:t>上述禁止项目</w:t>
                  </w:r>
                  <w:r>
                    <w:rPr>
                      <w:rFonts w:hint="default"/>
                      <w:color w:val="auto"/>
                      <w:highlight w:val="none"/>
                      <w:lang w:val="en-US" w:eastAsia="zh-CN"/>
                    </w:rPr>
                    <w:t>。</w:t>
                  </w:r>
                  <w:bookmarkEnd w:id="95"/>
                </w:p>
              </w:tc>
              <w:tc>
                <w:tcPr>
                  <w:tcW w:w="678" w:type="dxa"/>
                  <w:tcBorders>
                    <w:tl2br w:val="nil"/>
                    <w:tr2bl w:val="nil"/>
                  </w:tcBorders>
                  <w:vAlign w:val="center"/>
                </w:tcPr>
                <w:p>
                  <w:pPr>
                    <w:pStyle w:val="34"/>
                    <w:bidi w:val="0"/>
                    <w:rPr>
                      <w:rFonts w:hint="default"/>
                      <w:color w:val="auto"/>
                      <w:highlight w:val="none"/>
                      <w:lang w:val="en-US" w:eastAsia="zh-CN"/>
                    </w:rPr>
                  </w:pPr>
                  <w:bookmarkStart w:id="96" w:name="_Toc10821"/>
                  <w:bookmarkStart w:id="97" w:name="_Toc31948"/>
                  <w:r>
                    <w:rPr>
                      <w:rFonts w:hint="default"/>
                      <w:color w:val="auto"/>
                      <w:highlight w:val="none"/>
                      <w:lang w:val="en-US" w:eastAsia="zh-CN"/>
                    </w:rPr>
                    <w:t>符合</w:t>
                  </w:r>
                  <w:bookmarkEnd w:id="96"/>
                  <w:bookmarkEnd w:id="97"/>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7" w:type="dxa"/>
                  <w:tcBorders>
                    <w:tl2br w:val="nil"/>
                    <w:tr2bl w:val="nil"/>
                  </w:tcBorders>
                  <w:vAlign w:val="center"/>
                </w:tcPr>
                <w:p>
                  <w:pPr>
                    <w:pStyle w:val="34"/>
                    <w:bidi w:val="0"/>
                    <w:rPr>
                      <w:rFonts w:hint="default"/>
                      <w:color w:val="auto"/>
                      <w:highlight w:val="none"/>
                      <w:lang w:val="en-US" w:eastAsia="zh-CN"/>
                    </w:rPr>
                  </w:pPr>
                  <w:bookmarkStart w:id="98" w:name="_Toc32288"/>
                  <w:bookmarkStart w:id="99" w:name="_Toc1825"/>
                  <w:r>
                    <w:rPr>
                      <w:rFonts w:hint="default"/>
                      <w:color w:val="auto"/>
                      <w:highlight w:val="none"/>
                      <w:lang w:val="en-US" w:eastAsia="zh-CN"/>
                    </w:rPr>
                    <w:t>11</w:t>
                  </w:r>
                  <w:bookmarkEnd w:id="98"/>
                  <w:bookmarkEnd w:id="99"/>
                </w:p>
              </w:tc>
              <w:tc>
                <w:tcPr>
                  <w:tcW w:w="3546" w:type="dxa"/>
                  <w:tcBorders>
                    <w:tl2br w:val="nil"/>
                    <w:tr2bl w:val="nil"/>
                  </w:tcBorders>
                  <w:vAlign w:val="center"/>
                </w:tcPr>
                <w:p>
                  <w:pPr>
                    <w:pStyle w:val="34"/>
                    <w:bidi w:val="0"/>
                    <w:rPr>
                      <w:rFonts w:hint="default"/>
                      <w:color w:val="auto"/>
                      <w:highlight w:val="none"/>
                      <w:lang w:val="en-US" w:eastAsia="zh-CN"/>
                    </w:rPr>
                  </w:pPr>
                  <w:bookmarkStart w:id="100" w:name="_Toc22911"/>
                  <w:bookmarkStart w:id="101" w:name="_Toc15528"/>
                  <w:r>
                    <w:rPr>
                      <w:rFonts w:hint="default"/>
                      <w:color w:val="auto"/>
                      <w:highlight w:val="none"/>
                      <w:lang w:val="en-US" w:eastAsia="zh-CN"/>
                    </w:rPr>
                    <w:t>禁止新建、扩建法律法规和相关政策明令 禁止的落后产能项目。禁止新建、扩建不符合国家产能置换要求的严重过剩产能行业的项目。禁止新建、扩建不符合要求的高耗能高排放项目。</w:t>
                  </w:r>
                  <w:bookmarkEnd w:id="100"/>
                  <w:bookmarkEnd w:id="101"/>
                </w:p>
              </w:tc>
              <w:tc>
                <w:tcPr>
                  <w:tcW w:w="2313" w:type="dxa"/>
                  <w:tcBorders>
                    <w:tl2br w:val="nil"/>
                    <w:tr2bl w:val="nil"/>
                  </w:tcBorders>
                  <w:vAlign w:val="center"/>
                </w:tcPr>
                <w:p>
                  <w:pPr>
                    <w:pStyle w:val="34"/>
                    <w:bidi w:val="0"/>
                    <w:rPr>
                      <w:rFonts w:hint="default"/>
                      <w:color w:val="auto"/>
                      <w:highlight w:val="none"/>
                      <w:lang w:val="en-US" w:eastAsia="zh-CN"/>
                    </w:rPr>
                  </w:pPr>
                  <w:bookmarkStart w:id="102" w:name="_Toc19199"/>
                  <w:bookmarkStart w:id="103" w:name="_Toc3443"/>
                  <w:r>
                    <w:rPr>
                      <w:rFonts w:hint="default"/>
                      <w:color w:val="auto"/>
                      <w:highlight w:val="none"/>
                      <w:lang w:val="en-US" w:eastAsia="zh-CN"/>
                    </w:rPr>
                    <w:t>本项目位于云南易门产业园区大椿树片区</w:t>
                  </w:r>
                  <w:r>
                    <w:rPr>
                      <w:rFonts w:hint="eastAsia"/>
                      <w:color w:val="auto"/>
                      <w:highlight w:val="none"/>
                      <w:lang w:val="en-US" w:eastAsia="zh-CN"/>
                    </w:rPr>
                    <w:t>，为</w:t>
                  </w:r>
                  <w:r>
                    <w:rPr>
                      <w:rFonts w:hint="default"/>
                      <w:color w:val="auto"/>
                      <w:highlight w:val="none"/>
                      <w:lang w:val="en-US" w:eastAsia="zh-CN"/>
                    </w:rPr>
                    <w:t>制氧系统技术改造节能项目，属于易门铜业有限公司铜冶炼配套公用工程，不属于法律法规和相关政策明令禁止的落后产能项目，也不属于国家产能置换要求的严重过剩产能行业的项目以及不符合要求的高耗能高排放项目。</w:t>
                  </w:r>
                  <w:bookmarkEnd w:id="102"/>
                  <w:bookmarkEnd w:id="103"/>
                </w:p>
              </w:tc>
              <w:tc>
                <w:tcPr>
                  <w:tcW w:w="678" w:type="dxa"/>
                  <w:tcBorders>
                    <w:tl2br w:val="nil"/>
                    <w:tr2bl w:val="nil"/>
                  </w:tcBorders>
                  <w:vAlign w:val="center"/>
                </w:tcPr>
                <w:p>
                  <w:pPr>
                    <w:pStyle w:val="34"/>
                    <w:bidi w:val="0"/>
                    <w:rPr>
                      <w:rFonts w:hint="default"/>
                      <w:color w:val="auto"/>
                      <w:highlight w:val="none"/>
                      <w:lang w:val="en-US" w:eastAsia="zh-CN"/>
                    </w:rPr>
                  </w:pPr>
                  <w:bookmarkStart w:id="104" w:name="_Toc4708"/>
                  <w:bookmarkStart w:id="105" w:name="_Toc14874"/>
                  <w:r>
                    <w:rPr>
                      <w:rFonts w:hint="default"/>
                      <w:color w:val="auto"/>
                      <w:highlight w:val="none"/>
                      <w:lang w:val="en-US" w:eastAsia="zh-CN"/>
                    </w:rPr>
                    <w:t>符合</w:t>
                  </w:r>
                  <w:bookmarkEnd w:id="104"/>
                  <w:bookmarkEnd w:id="105"/>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color w:val="auto"/>
                <w:highlight w:val="none"/>
                <w:lang w:val="en-US" w:eastAsia="zh-CN"/>
              </w:rPr>
            </w:pPr>
            <w:r>
              <w:rPr>
                <w:rFonts w:hint="default"/>
                <w:color w:val="auto"/>
                <w:highlight w:val="none"/>
              </w:rPr>
              <w:t>综上所述，项目建设符合《长江经济带发展负面清单指南（试 行，2022年版）》的相关要求。</w:t>
            </w:r>
          </w:p>
          <w:p>
            <w:pPr>
              <w:pStyle w:val="40"/>
              <w:bidi w:val="0"/>
              <w:rPr>
                <w:rFonts w:hint="default"/>
                <w:color w:val="auto"/>
                <w:highlight w:val="none"/>
                <w:lang w:val="en-US" w:eastAsia="zh-CN"/>
              </w:rPr>
            </w:pPr>
            <w:r>
              <w:rPr>
                <w:rFonts w:hint="eastAsia"/>
                <w:color w:val="auto"/>
                <w:highlight w:val="none"/>
                <w:lang w:val="en-US" w:eastAsia="zh-CN"/>
              </w:rPr>
              <w:t>7、</w:t>
            </w:r>
            <w:r>
              <w:rPr>
                <w:rFonts w:hint="default"/>
                <w:color w:val="auto"/>
                <w:highlight w:val="none"/>
                <w:lang w:val="en-US" w:eastAsia="zh-CN"/>
              </w:rPr>
              <w:t>与《云南省长江经济带发展负面清单指南实施细则（试行）》的符合性分析</w:t>
            </w:r>
          </w:p>
          <w:p>
            <w:pPr>
              <w:bidi w:val="0"/>
              <w:rPr>
                <w:rFonts w:hint="default"/>
                <w:color w:val="auto"/>
                <w:highlight w:val="none"/>
                <w:lang w:val="en-US" w:eastAsia="zh-CN"/>
              </w:rPr>
            </w:pPr>
            <w:r>
              <w:rPr>
                <w:rFonts w:hint="default"/>
                <w:color w:val="auto"/>
                <w:highlight w:val="none"/>
                <w:lang w:val="en-US" w:eastAsia="zh-CN"/>
              </w:rPr>
              <w:t>云南省推动长江经济带发展领导小组办公室于2019年11月1日</w:t>
            </w:r>
            <w:r>
              <w:rPr>
                <w:rFonts w:hint="default"/>
                <w:color w:val="auto"/>
                <w:highlight w:val="none"/>
              </w:rPr>
              <w:t>发布了《关于印发云南省长江经济带发展负面清单指南实施细则 （试行）的通知》，本项目与</w:t>
            </w:r>
            <w:r>
              <w:rPr>
                <w:rFonts w:hint="eastAsia"/>
                <w:color w:val="auto"/>
                <w:highlight w:val="none"/>
                <w:lang w:val="en-US" w:eastAsia="zh-CN"/>
              </w:rPr>
              <w:t>该</w:t>
            </w:r>
            <w:r>
              <w:rPr>
                <w:rFonts w:hint="eastAsia"/>
                <w:color w:val="auto"/>
                <w:highlight w:val="none"/>
                <w:lang w:eastAsia="zh-CN"/>
              </w:rPr>
              <w:t>“</w:t>
            </w:r>
            <w:r>
              <w:rPr>
                <w:rFonts w:hint="default"/>
                <w:color w:val="auto"/>
                <w:highlight w:val="none"/>
              </w:rPr>
              <w:t>实施细则</w:t>
            </w:r>
            <w:r>
              <w:rPr>
                <w:rFonts w:hint="eastAsia"/>
                <w:color w:val="auto"/>
                <w:highlight w:val="none"/>
                <w:lang w:eastAsia="zh-CN"/>
              </w:rPr>
              <w:t>”</w:t>
            </w:r>
            <w:r>
              <w:rPr>
                <w:rFonts w:hint="default"/>
                <w:color w:val="auto"/>
                <w:highlight w:val="none"/>
              </w:rPr>
              <w:t>的相符性分析</w:t>
            </w:r>
            <w:r>
              <w:rPr>
                <w:rFonts w:hint="eastAsia"/>
                <w:color w:val="auto"/>
                <w:highlight w:val="none"/>
                <w:lang w:val="en-US" w:eastAsia="zh-CN"/>
              </w:rPr>
              <w:t>详见下表</w:t>
            </w:r>
            <w:r>
              <w:rPr>
                <w:rFonts w:hint="default"/>
                <w:color w:val="auto"/>
                <w:highlight w:val="none"/>
                <w:lang w:val="en-US" w:eastAsia="zh-CN"/>
              </w:rPr>
              <w:t>。</w:t>
            </w:r>
          </w:p>
          <w:p>
            <w:pPr>
              <w:pStyle w:val="35"/>
              <w:bidi w:val="0"/>
              <w:rPr>
                <w:rFonts w:hint="default"/>
                <w:color w:val="auto"/>
                <w:highlight w:val="none"/>
                <w:lang w:val="en-US" w:eastAsia="zh-CN"/>
              </w:rPr>
            </w:pPr>
          </w:p>
          <w:p>
            <w:pPr>
              <w:pStyle w:val="35"/>
              <w:bidi w:val="0"/>
              <w:rPr>
                <w:rFonts w:hint="default"/>
                <w:color w:val="auto"/>
                <w:highlight w:val="none"/>
                <w:lang w:val="en-US" w:eastAsia="zh-CN"/>
              </w:rPr>
            </w:pPr>
          </w:p>
          <w:p>
            <w:pPr>
              <w:pStyle w:val="35"/>
              <w:bidi w:val="0"/>
              <w:rPr>
                <w:rFonts w:hint="default"/>
                <w:color w:val="auto"/>
                <w:highlight w:val="none"/>
                <w:lang w:val="en-US" w:eastAsia="zh-CN"/>
              </w:rPr>
            </w:pPr>
            <w:r>
              <w:rPr>
                <w:rFonts w:hint="default"/>
                <w:color w:val="auto"/>
                <w:highlight w:val="none"/>
                <w:lang w:val="en-US" w:eastAsia="zh-CN"/>
              </w:rPr>
              <w:t>表1-</w:t>
            </w:r>
            <w:r>
              <w:rPr>
                <w:rFonts w:hint="eastAsia"/>
                <w:color w:val="auto"/>
                <w:highlight w:val="none"/>
                <w:lang w:val="en-US" w:eastAsia="zh-CN"/>
              </w:rPr>
              <w:t>11</w:t>
            </w:r>
            <w:r>
              <w:rPr>
                <w:rFonts w:hint="default"/>
                <w:color w:val="auto"/>
                <w:highlight w:val="none"/>
                <w:lang w:val="en-US" w:eastAsia="zh-CN"/>
              </w:rPr>
              <w:t xml:space="preserve"> </w:t>
            </w:r>
            <w:r>
              <w:rPr>
                <w:rFonts w:hint="eastAsia"/>
                <w:color w:val="auto"/>
                <w:highlight w:val="none"/>
                <w:lang w:val="en-US" w:eastAsia="zh-CN"/>
              </w:rPr>
              <w:t xml:space="preserve"> </w:t>
            </w:r>
            <w:r>
              <w:rPr>
                <w:rFonts w:hint="default"/>
                <w:color w:val="auto"/>
                <w:highlight w:val="none"/>
                <w:lang w:val="en-US" w:eastAsia="zh-CN"/>
              </w:rPr>
              <w:t>项目与《实施细则》</w:t>
            </w:r>
            <w:r>
              <w:rPr>
                <w:rFonts w:hint="eastAsia"/>
                <w:color w:val="auto"/>
                <w:highlight w:val="none"/>
                <w:lang w:val="en-US" w:eastAsia="zh-CN"/>
              </w:rPr>
              <w:t>的</w:t>
            </w:r>
            <w:r>
              <w:rPr>
                <w:rFonts w:hint="default"/>
                <w:color w:val="auto"/>
                <w:highlight w:val="none"/>
                <w:lang w:val="en-US" w:eastAsia="zh-CN"/>
              </w:rPr>
              <w:t>符合性分析一览表</w:t>
            </w:r>
          </w:p>
          <w:tbl>
            <w:tblPr>
              <w:tblStyle w:val="24"/>
              <w:tblW w:w="703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7"/>
              <w:gridCol w:w="922"/>
              <w:gridCol w:w="3396"/>
              <w:gridCol w:w="1744"/>
              <w:gridCol w:w="5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tcBorders>
                    <w:tl2br w:val="nil"/>
                    <w:tr2bl w:val="nil"/>
                  </w:tcBorders>
                  <w:vAlign w:val="center"/>
                </w:tcPr>
                <w:p>
                  <w:pPr>
                    <w:pStyle w:val="34"/>
                    <w:bidi w:val="0"/>
                    <w:rPr>
                      <w:rFonts w:hint="default"/>
                      <w:color w:val="auto"/>
                      <w:highlight w:val="none"/>
                      <w:lang w:val="en-US" w:eastAsia="zh-CN"/>
                    </w:rPr>
                  </w:pPr>
                  <w:bookmarkStart w:id="106" w:name="_Toc10107"/>
                  <w:bookmarkStart w:id="107" w:name="_Toc19075"/>
                  <w:r>
                    <w:rPr>
                      <w:rFonts w:hint="default"/>
                      <w:color w:val="auto"/>
                      <w:highlight w:val="none"/>
                      <w:lang w:val="en-US" w:eastAsia="zh-CN"/>
                    </w:rPr>
                    <w:t>序号</w:t>
                  </w:r>
                  <w:bookmarkEnd w:id="106"/>
                  <w:bookmarkEnd w:id="107"/>
                </w:p>
              </w:tc>
              <w:tc>
                <w:tcPr>
                  <w:tcW w:w="4318" w:type="dxa"/>
                  <w:gridSpan w:val="2"/>
                  <w:tcBorders>
                    <w:tl2br w:val="nil"/>
                    <w:tr2bl w:val="nil"/>
                  </w:tcBorders>
                  <w:vAlign w:val="center"/>
                </w:tcPr>
                <w:p>
                  <w:pPr>
                    <w:pStyle w:val="34"/>
                    <w:bidi w:val="0"/>
                    <w:rPr>
                      <w:rFonts w:hint="default"/>
                      <w:color w:val="auto"/>
                      <w:highlight w:val="none"/>
                      <w:lang w:val="en-US" w:eastAsia="zh-CN"/>
                    </w:rPr>
                  </w:pPr>
                  <w:bookmarkStart w:id="108" w:name="_Toc15326"/>
                  <w:bookmarkStart w:id="109" w:name="_Toc10640"/>
                  <w:r>
                    <w:rPr>
                      <w:rFonts w:hint="default"/>
                      <w:color w:val="auto"/>
                      <w:highlight w:val="none"/>
                      <w:lang w:val="en-US" w:eastAsia="zh-CN"/>
                    </w:rPr>
                    <w:t>实施细则内容</w:t>
                  </w:r>
                  <w:bookmarkEnd w:id="108"/>
                  <w:bookmarkEnd w:id="109"/>
                </w:p>
              </w:tc>
              <w:tc>
                <w:tcPr>
                  <w:tcW w:w="1744" w:type="dxa"/>
                  <w:tcBorders>
                    <w:tl2br w:val="nil"/>
                    <w:tr2bl w:val="nil"/>
                  </w:tcBorders>
                  <w:vAlign w:val="center"/>
                </w:tcPr>
                <w:p>
                  <w:pPr>
                    <w:pStyle w:val="34"/>
                    <w:bidi w:val="0"/>
                    <w:rPr>
                      <w:rFonts w:hint="default"/>
                      <w:color w:val="auto"/>
                      <w:highlight w:val="none"/>
                      <w:lang w:val="en-US" w:eastAsia="zh-CN"/>
                    </w:rPr>
                  </w:pPr>
                  <w:bookmarkStart w:id="110" w:name="_Toc5554"/>
                  <w:bookmarkStart w:id="111" w:name="_Toc3832"/>
                  <w:r>
                    <w:rPr>
                      <w:rFonts w:hint="default"/>
                      <w:color w:val="auto"/>
                      <w:highlight w:val="none"/>
                      <w:lang w:val="en-US" w:eastAsia="zh-CN"/>
                    </w:rPr>
                    <w:t>本项目情况</w:t>
                  </w:r>
                  <w:bookmarkEnd w:id="110"/>
                  <w:bookmarkEnd w:id="111"/>
                </w:p>
              </w:tc>
              <w:tc>
                <w:tcPr>
                  <w:tcW w:w="580" w:type="dxa"/>
                  <w:tcBorders>
                    <w:tl2br w:val="nil"/>
                    <w:tr2bl w:val="nil"/>
                  </w:tcBorders>
                  <w:vAlign w:val="center"/>
                </w:tcPr>
                <w:p>
                  <w:pPr>
                    <w:pStyle w:val="34"/>
                    <w:bidi w:val="0"/>
                    <w:rPr>
                      <w:rFonts w:hint="default"/>
                      <w:color w:val="auto"/>
                      <w:highlight w:val="none"/>
                      <w:lang w:val="en-US" w:eastAsia="zh-CN"/>
                    </w:rPr>
                  </w:pPr>
                  <w:bookmarkStart w:id="112" w:name="_Toc13144"/>
                  <w:bookmarkStart w:id="113" w:name="_Toc5853"/>
                  <w:r>
                    <w:rPr>
                      <w:rFonts w:hint="default"/>
                      <w:color w:val="auto"/>
                      <w:highlight w:val="none"/>
                      <w:lang w:val="en-US" w:eastAsia="zh-CN"/>
                    </w:rPr>
                    <w:t>符合</w:t>
                  </w:r>
                </w:p>
                <w:p>
                  <w:pPr>
                    <w:pStyle w:val="34"/>
                    <w:bidi w:val="0"/>
                    <w:rPr>
                      <w:rFonts w:hint="default"/>
                      <w:color w:val="auto"/>
                      <w:highlight w:val="none"/>
                      <w:lang w:val="en-US" w:eastAsia="zh-CN"/>
                    </w:rPr>
                  </w:pPr>
                  <w:r>
                    <w:rPr>
                      <w:rFonts w:hint="default"/>
                      <w:color w:val="auto"/>
                      <w:highlight w:val="none"/>
                      <w:lang w:val="en-US" w:eastAsia="zh-CN"/>
                    </w:rPr>
                    <w:t>情况</w:t>
                  </w:r>
                  <w:bookmarkEnd w:id="112"/>
                  <w:bookmarkEnd w:id="113"/>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tcBorders>
                    <w:tl2br w:val="nil"/>
                    <w:tr2bl w:val="nil"/>
                  </w:tcBorders>
                  <w:vAlign w:val="center"/>
                </w:tcPr>
                <w:p>
                  <w:pPr>
                    <w:pStyle w:val="34"/>
                    <w:bidi w:val="0"/>
                    <w:rPr>
                      <w:rFonts w:hint="default"/>
                      <w:color w:val="auto"/>
                      <w:highlight w:val="none"/>
                      <w:lang w:val="en-US" w:eastAsia="zh-CN"/>
                    </w:rPr>
                  </w:pPr>
                  <w:bookmarkStart w:id="114" w:name="_Toc29597"/>
                  <w:bookmarkStart w:id="115" w:name="_Toc11416"/>
                  <w:r>
                    <w:rPr>
                      <w:rFonts w:hint="default"/>
                      <w:color w:val="auto"/>
                      <w:highlight w:val="none"/>
                      <w:lang w:val="en-US" w:eastAsia="zh-CN"/>
                    </w:rPr>
                    <w:t>1</w:t>
                  </w:r>
                  <w:bookmarkEnd w:id="114"/>
                  <w:bookmarkEnd w:id="115"/>
                </w:p>
              </w:tc>
              <w:tc>
                <w:tcPr>
                  <w:tcW w:w="922" w:type="dxa"/>
                  <w:vMerge w:val="restart"/>
                  <w:tcBorders>
                    <w:tl2br w:val="nil"/>
                    <w:tr2bl w:val="nil"/>
                  </w:tcBorders>
                  <w:vAlign w:val="center"/>
                </w:tcPr>
                <w:p>
                  <w:pPr>
                    <w:pStyle w:val="34"/>
                    <w:bidi w:val="0"/>
                    <w:rPr>
                      <w:rFonts w:hint="default"/>
                      <w:color w:val="auto"/>
                      <w:highlight w:val="none"/>
                      <w:lang w:val="en-US" w:eastAsia="zh-CN"/>
                    </w:rPr>
                  </w:pPr>
                  <w:bookmarkStart w:id="116" w:name="_Toc8678"/>
                  <w:bookmarkStart w:id="117" w:name="_Toc22354"/>
                  <w:r>
                    <w:rPr>
                      <w:rFonts w:hint="default"/>
                      <w:color w:val="auto"/>
                      <w:highlight w:val="none"/>
                      <w:lang w:val="en-US" w:eastAsia="zh-CN"/>
                    </w:rPr>
                    <w:t>各类功</w:t>
                  </w:r>
                  <w:bookmarkEnd w:id="116"/>
                  <w:bookmarkEnd w:id="117"/>
                </w:p>
                <w:p>
                  <w:pPr>
                    <w:pStyle w:val="34"/>
                    <w:bidi w:val="0"/>
                    <w:rPr>
                      <w:rFonts w:hint="default"/>
                      <w:color w:val="auto"/>
                      <w:highlight w:val="none"/>
                      <w:lang w:val="en-US" w:eastAsia="zh-CN"/>
                    </w:rPr>
                  </w:pPr>
                  <w:bookmarkStart w:id="118" w:name="_Toc22508"/>
                  <w:bookmarkStart w:id="119" w:name="_Toc30866"/>
                  <w:r>
                    <w:rPr>
                      <w:rFonts w:hint="default"/>
                      <w:color w:val="auto"/>
                      <w:highlight w:val="none"/>
                      <w:lang w:val="en-US" w:eastAsia="zh-CN"/>
                    </w:rPr>
                    <w:t>能区</w:t>
                  </w:r>
                  <w:bookmarkEnd w:id="118"/>
                  <w:bookmarkEnd w:id="119"/>
                </w:p>
              </w:tc>
              <w:tc>
                <w:tcPr>
                  <w:tcW w:w="3396" w:type="dxa"/>
                  <w:tcBorders>
                    <w:tl2br w:val="nil"/>
                    <w:tr2bl w:val="nil"/>
                  </w:tcBorders>
                  <w:vAlign w:val="center"/>
                </w:tcPr>
                <w:p>
                  <w:pPr>
                    <w:pStyle w:val="34"/>
                    <w:bidi w:val="0"/>
                    <w:rPr>
                      <w:rFonts w:hint="default"/>
                      <w:color w:val="auto"/>
                      <w:highlight w:val="none"/>
                      <w:lang w:val="en-US" w:eastAsia="zh-CN"/>
                    </w:rPr>
                  </w:pPr>
                  <w:bookmarkStart w:id="120" w:name="_Toc1976"/>
                  <w:bookmarkStart w:id="121" w:name="_Toc16871"/>
                  <w:r>
                    <w:rPr>
                      <w:rFonts w:hint="default"/>
                      <w:color w:val="auto"/>
                      <w:highlight w:val="none"/>
                      <w:lang w:val="en-US" w:eastAsia="zh-CN"/>
                    </w:rPr>
                    <w:t>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禁止在 《全国重要江河湖泊水功能区划》划定的河段保护区、保留区内投资建设不利于水资源及自然生态保护的项目。</w:t>
                  </w:r>
                  <w:bookmarkEnd w:id="120"/>
                  <w:bookmarkEnd w:id="121"/>
                </w:p>
              </w:tc>
              <w:tc>
                <w:tcPr>
                  <w:tcW w:w="1744" w:type="dxa"/>
                  <w:tcBorders>
                    <w:tl2br w:val="nil"/>
                    <w:tr2bl w:val="nil"/>
                  </w:tcBorders>
                  <w:vAlign w:val="center"/>
                </w:tcPr>
                <w:p>
                  <w:pPr>
                    <w:pStyle w:val="34"/>
                    <w:bidi w:val="0"/>
                    <w:rPr>
                      <w:rFonts w:hint="default"/>
                      <w:color w:val="auto"/>
                      <w:highlight w:val="none"/>
                      <w:lang w:val="en-US" w:eastAsia="zh-CN"/>
                    </w:rPr>
                  </w:pPr>
                  <w:bookmarkStart w:id="122" w:name="_Toc1966"/>
                  <w:bookmarkStart w:id="123" w:name="_Toc26653"/>
                  <w:r>
                    <w:rPr>
                      <w:rFonts w:hint="default"/>
                      <w:color w:val="auto"/>
                      <w:highlight w:val="none"/>
                      <w:lang w:val="en-US" w:eastAsia="zh-CN"/>
                    </w:rPr>
                    <w:t>本项目位于云南易门产业园区大椿树片区</w:t>
                  </w:r>
                  <w:r>
                    <w:rPr>
                      <w:rFonts w:hint="eastAsia"/>
                      <w:color w:val="auto"/>
                      <w:highlight w:val="none"/>
                      <w:lang w:val="en-US" w:eastAsia="zh-CN"/>
                    </w:rPr>
                    <w:t>，为</w:t>
                  </w:r>
                  <w:r>
                    <w:rPr>
                      <w:rFonts w:hint="default"/>
                      <w:color w:val="auto"/>
                      <w:highlight w:val="none"/>
                      <w:lang w:val="en-US" w:eastAsia="zh-CN"/>
                    </w:rPr>
                    <w:t>制氧系统技术改造节能项目，属于易门铜业有限公司铜冶炼配套公用工程，不在《长江岸线保护和开发利用总体规划》划定的岸线保护区</w:t>
                  </w:r>
                  <w:r>
                    <w:rPr>
                      <w:rFonts w:hint="eastAsia"/>
                      <w:color w:val="auto"/>
                      <w:highlight w:val="none"/>
                      <w:lang w:val="en-US" w:eastAsia="zh-CN"/>
                    </w:rPr>
                    <w:t>范围</w:t>
                  </w:r>
                  <w:r>
                    <w:rPr>
                      <w:rFonts w:hint="default"/>
                      <w:color w:val="auto"/>
                      <w:highlight w:val="none"/>
                      <w:lang w:val="en-US" w:eastAsia="zh-CN"/>
                    </w:rPr>
                    <w:t>。</w:t>
                  </w:r>
                  <w:bookmarkEnd w:id="122"/>
                  <w:bookmarkEnd w:id="123"/>
                </w:p>
              </w:tc>
              <w:tc>
                <w:tcPr>
                  <w:tcW w:w="580" w:type="dxa"/>
                  <w:tcBorders>
                    <w:tl2br w:val="nil"/>
                    <w:tr2bl w:val="nil"/>
                  </w:tcBorders>
                  <w:vAlign w:val="center"/>
                </w:tcPr>
                <w:p>
                  <w:pPr>
                    <w:pStyle w:val="34"/>
                    <w:bidi w:val="0"/>
                    <w:rPr>
                      <w:rFonts w:hint="default"/>
                      <w:color w:val="auto"/>
                      <w:highlight w:val="none"/>
                      <w:lang w:val="en-US" w:eastAsia="zh-CN"/>
                    </w:rPr>
                  </w:pPr>
                  <w:bookmarkStart w:id="124" w:name="_Toc4746"/>
                  <w:bookmarkStart w:id="125" w:name="_Toc2796"/>
                  <w:r>
                    <w:rPr>
                      <w:rFonts w:hint="default"/>
                      <w:color w:val="auto"/>
                      <w:highlight w:val="none"/>
                      <w:lang w:val="en-US" w:eastAsia="zh-CN"/>
                    </w:rPr>
                    <w:t>符合</w:t>
                  </w:r>
                  <w:bookmarkEnd w:id="124"/>
                  <w:bookmarkEnd w:id="125"/>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tcBorders>
                    <w:tl2br w:val="nil"/>
                    <w:tr2bl w:val="nil"/>
                  </w:tcBorders>
                  <w:vAlign w:val="center"/>
                </w:tcPr>
                <w:p>
                  <w:pPr>
                    <w:pStyle w:val="34"/>
                    <w:bidi w:val="0"/>
                    <w:rPr>
                      <w:rFonts w:hint="default"/>
                      <w:color w:val="auto"/>
                      <w:highlight w:val="none"/>
                      <w:lang w:val="en-US" w:eastAsia="zh-CN"/>
                    </w:rPr>
                  </w:pPr>
                  <w:bookmarkStart w:id="126" w:name="_Toc9282"/>
                  <w:bookmarkStart w:id="127" w:name="_Toc4355"/>
                  <w:r>
                    <w:rPr>
                      <w:rFonts w:hint="default"/>
                      <w:color w:val="auto"/>
                      <w:highlight w:val="none"/>
                      <w:lang w:val="en-US" w:eastAsia="zh-CN"/>
                    </w:rPr>
                    <w:t>2</w:t>
                  </w:r>
                  <w:bookmarkEnd w:id="126"/>
                  <w:bookmarkEnd w:id="127"/>
                </w:p>
              </w:tc>
              <w:tc>
                <w:tcPr>
                  <w:tcW w:w="922" w:type="dxa"/>
                  <w:vMerge w:val="continue"/>
                  <w:tcBorders>
                    <w:tl2br w:val="nil"/>
                    <w:tr2bl w:val="nil"/>
                  </w:tcBorders>
                  <w:vAlign w:val="center"/>
                </w:tcPr>
                <w:p>
                  <w:pPr>
                    <w:pStyle w:val="34"/>
                    <w:bidi w:val="0"/>
                    <w:rPr>
                      <w:rFonts w:hint="default"/>
                      <w:color w:val="auto"/>
                      <w:highlight w:val="none"/>
                      <w:lang w:val="en-US" w:eastAsia="zh-CN"/>
                    </w:rPr>
                  </w:pPr>
                </w:p>
              </w:tc>
              <w:tc>
                <w:tcPr>
                  <w:tcW w:w="3396" w:type="dxa"/>
                  <w:tcBorders>
                    <w:tl2br w:val="nil"/>
                    <w:tr2bl w:val="nil"/>
                  </w:tcBorders>
                  <w:vAlign w:val="center"/>
                </w:tcPr>
                <w:p>
                  <w:pPr>
                    <w:pStyle w:val="34"/>
                    <w:bidi w:val="0"/>
                    <w:rPr>
                      <w:rFonts w:hint="default"/>
                      <w:color w:val="auto"/>
                      <w:highlight w:val="none"/>
                      <w:lang w:val="en-US" w:eastAsia="zh-CN"/>
                    </w:rPr>
                  </w:pPr>
                  <w:bookmarkStart w:id="128" w:name="_Toc23948"/>
                  <w:bookmarkStart w:id="129" w:name="_Toc10692"/>
                  <w:r>
                    <w:rPr>
                      <w:rFonts w:hint="default"/>
                      <w:color w:val="auto"/>
                      <w:highlight w:val="none"/>
                      <w:lang w:val="en-US" w:eastAsia="zh-CN"/>
                    </w:rPr>
                    <w:t>禁止在生态保护红线范围内投资建设除国家重大战略资源勘查项目、生态保护修复和环境治理项目、重大基础设施项目、军事国防项目以及农牧民基本生产生活等必要的民生项目以外的项目。生态保护红线原则上按禁止开发区域的要求进行管理。</w:t>
                  </w:r>
                  <w:bookmarkEnd w:id="128"/>
                  <w:bookmarkEnd w:id="129"/>
                </w:p>
              </w:tc>
              <w:tc>
                <w:tcPr>
                  <w:tcW w:w="1744" w:type="dxa"/>
                  <w:tcBorders>
                    <w:tl2br w:val="nil"/>
                    <w:tr2bl w:val="nil"/>
                  </w:tcBorders>
                  <w:vAlign w:val="center"/>
                </w:tcPr>
                <w:p>
                  <w:pPr>
                    <w:pStyle w:val="34"/>
                    <w:bidi w:val="0"/>
                    <w:rPr>
                      <w:rFonts w:hint="default"/>
                      <w:color w:val="auto"/>
                      <w:highlight w:val="none"/>
                      <w:lang w:val="en-US" w:eastAsia="zh-CN"/>
                    </w:rPr>
                  </w:pPr>
                  <w:bookmarkStart w:id="130" w:name="_Toc13475"/>
                  <w:bookmarkStart w:id="131" w:name="_Toc7301"/>
                  <w:r>
                    <w:rPr>
                      <w:rFonts w:hint="default"/>
                      <w:color w:val="auto"/>
                      <w:highlight w:val="none"/>
                      <w:lang w:val="en-US" w:eastAsia="zh-CN"/>
                    </w:rPr>
                    <w:t>本项目位于云南易门产业园区大椿树片区，</w:t>
                  </w:r>
                  <w:r>
                    <w:rPr>
                      <w:rFonts w:hint="eastAsia"/>
                      <w:color w:val="auto"/>
                      <w:highlight w:val="none"/>
                      <w:lang w:val="en-US" w:eastAsia="zh-CN"/>
                    </w:rPr>
                    <w:t>项目用地范围不</w:t>
                  </w:r>
                  <w:r>
                    <w:rPr>
                      <w:rFonts w:hint="default"/>
                      <w:color w:val="auto"/>
                      <w:highlight w:val="none"/>
                      <w:lang w:val="en-US" w:eastAsia="zh-CN"/>
                    </w:rPr>
                    <w:t>涉及</w:t>
                  </w:r>
                  <w:r>
                    <w:rPr>
                      <w:rFonts w:hint="eastAsia"/>
                      <w:color w:val="auto"/>
                      <w:highlight w:val="none"/>
                      <w:lang w:val="en-US" w:eastAsia="zh-CN"/>
                    </w:rPr>
                    <w:t>玉溪市</w:t>
                  </w:r>
                  <w:r>
                    <w:rPr>
                      <w:rFonts w:hint="default"/>
                      <w:color w:val="auto"/>
                      <w:highlight w:val="none"/>
                      <w:lang w:val="en-US" w:eastAsia="zh-CN"/>
                    </w:rPr>
                    <w:t>生态保护红线</w:t>
                  </w:r>
                  <w:r>
                    <w:rPr>
                      <w:rFonts w:hint="eastAsia"/>
                      <w:color w:val="auto"/>
                      <w:highlight w:val="none"/>
                      <w:lang w:val="en-US" w:eastAsia="zh-CN"/>
                    </w:rPr>
                    <w:t>划定范围</w:t>
                  </w:r>
                  <w:r>
                    <w:rPr>
                      <w:rFonts w:hint="default"/>
                      <w:color w:val="auto"/>
                      <w:highlight w:val="none"/>
                      <w:lang w:val="en-US" w:eastAsia="zh-CN"/>
                    </w:rPr>
                    <w:t>。</w:t>
                  </w:r>
                  <w:bookmarkEnd w:id="130"/>
                  <w:bookmarkEnd w:id="131"/>
                </w:p>
              </w:tc>
              <w:tc>
                <w:tcPr>
                  <w:tcW w:w="580" w:type="dxa"/>
                  <w:tcBorders>
                    <w:tl2br w:val="nil"/>
                    <w:tr2bl w:val="nil"/>
                  </w:tcBorders>
                  <w:vAlign w:val="center"/>
                </w:tcPr>
                <w:p>
                  <w:pPr>
                    <w:pStyle w:val="34"/>
                    <w:bidi w:val="0"/>
                    <w:rPr>
                      <w:rFonts w:hint="default"/>
                      <w:color w:val="auto"/>
                      <w:highlight w:val="none"/>
                      <w:lang w:val="en-US" w:eastAsia="zh-CN"/>
                    </w:rPr>
                  </w:pPr>
                  <w:bookmarkStart w:id="132" w:name="_Toc15503"/>
                  <w:bookmarkStart w:id="133" w:name="_Toc20993"/>
                  <w:r>
                    <w:rPr>
                      <w:rFonts w:hint="default"/>
                      <w:color w:val="auto"/>
                      <w:highlight w:val="none"/>
                      <w:lang w:val="en-US" w:eastAsia="zh-CN"/>
                    </w:rPr>
                    <w:t>符合</w:t>
                  </w:r>
                  <w:bookmarkEnd w:id="132"/>
                  <w:bookmarkEnd w:id="133"/>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tcBorders>
                    <w:tl2br w:val="nil"/>
                    <w:tr2bl w:val="nil"/>
                  </w:tcBorders>
                  <w:vAlign w:val="center"/>
                </w:tcPr>
                <w:p>
                  <w:pPr>
                    <w:pStyle w:val="34"/>
                    <w:bidi w:val="0"/>
                    <w:rPr>
                      <w:rFonts w:hint="default"/>
                      <w:color w:val="auto"/>
                      <w:highlight w:val="none"/>
                      <w:lang w:val="en-US" w:eastAsia="zh-CN"/>
                    </w:rPr>
                  </w:pPr>
                  <w:bookmarkStart w:id="134" w:name="_Toc9597"/>
                  <w:bookmarkStart w:id="135" w:name="_Toc20321"/>
                  <w:r>
                    <w:rPr>
                      <w:rFonts w:hint="default"/>
                      <w:color w:val="auto"/>
                      <w:highlight w:val="none"/>
                      <w:lang w:val="en-US" w:eastAsia="zh-CN"/>
                    </w:rPr>
                    <w:t>3</w:t>
                  </w:r>
                  <w:bookmarkEnd w:id="134"/>
                  <w:bookmarkEnd w:id="135"/>
                </w:p>
              </w:tc>
              <w:tc>
                <w:tcPr>
                  <w:tcW w:w="922" w:type="dxa"/>
                  <w:vMerge w:val="continue"/>
                  <w:tcBorders>
                    <w:tl2br w:val="nil"/>
                    <w:tr2bl w:val="nil"/>
                  </w:tcBorders>
                  <w:vAlign w:val="center"/>
                </w:tcPr>
                <w:p>
                  <w:pPr>
                    <w:pStyle w:val="34"/>
                    <w:bidi w:val="0"/>
                    <w:rPr>
                      <w:rFonts w:hint="default"/>
                      <w:color w:val="auto"/>
                      <w:highlight w:val="none"/>
                      <w:lang w:val="en-US" w:eastAsia="zh-CN"/>
                    </w:rPr>
                  </w:pPr>
                </w:p>
              </w:tc>
              <w:tc>
                <w:tcPr>
                  <w:tcW w:w="3396" w:type="dxa"/>
                  <w:tcBorders>
                    <w:tl2br w:val="nil"/>
                    <w:tr2bl w:val="nil"/>
                  </w:tcBorders>
                  <w:vAlign w:val="center"/>
                </w:tcPr>
                <w:p>
                  <w:pPr>
                    <w:pStyle w:val="34"/>
                    <w:bidi w:val="0"/>
                    <w:rPr>
                      <w:rFonts w:hint="default"/>
                      <w:color w:val="auto"/>
                      <w:highlight w:val="none"/>
                      <w:lang w:val="en-US" w:eastAsia="zh-CN"/>
                    </w:rPr>
                  </w:pPr>
                  <w:bookmarkStart w:id="136" w:name="_Toc12227"/>
                  <w:bookmarkStart w:id="137" w:name="_Toc26761"/>
                  <w:r>
                    <w:rPr>
                      <w:rFonts w:hint="default"/>
                      <w:color w:val="auto"/>
                      <w:highlight w:val="none"/>
                      <w:lang w:val="en-US" w:eastAsia="zh-CN"/>
                    </w:rPr>
                    <w:t>禁止在永久基本农田范围内投资建设除国家重大战略资源勘查项目、生态保护修复和环境治理项目、重大基础设施项目、军事国防项目以及农牧民基本生产生活等必要的民生项目以外的项目，重大建设项目选址确实难以避让永久基本农田的，需依法依规办理农用地转用和土地征收，并按照</w:t>
                  </w:r>
                  <w:r>
                    <w:rPr>
                      <w:rFonts w:hint="eastAsia"/>
                      <w:color w:val="auto"/>
                      <w:highlight w:val="none"/>
                      <w:lang w:val="en-US" w:eastAsia="zh-CN"/>
                    </w:rPr>
                    <w:t>“</w:t>
                  </w:r>
                  <w:r>
                    <w:rPr>
                      <w:rFonts w:hint="default"/>
                      <w:color w:val="auto"/>
                      <w:highlight w:val="none"/>
                      <w:lang w:val="en-US" w:eastAsia="zh-CN"/>
                    </w:rPr>
                    <w:t>数量不减、质量不降、布局稳定</w:t>
                  </w:r>
                  <w:r>
                    <w:rPr>
                      <w:rFonts w:hint="eastAsia"/>
                      <w:color w:val="auto"/>
                      <w:highlight w:val="none"/>
                      <w:lang w:val="en-US" w:eastAsia="zh-CN"/>
                    </w:rPr>
                    <w:t>”</w:t>
                  </w:r>
                  <w:r>
                    <w:rPr>
                      <w:rFonts w:hint="default"/>
                      <w:color w:val="auto"/>
                      <w:highlight w:val="none"/>
                      <w:lang w:val="en-US" w:eastAsia="zh-CN"/>
                    </w:rPr>
                    <w:t>的要求进行补划和法定程序修改相应的土地利用总体规划。</w:t>
                  </w:r>
                  <w:bookmarkEnd w:id="136"/>
                  <w:bookmarkEnd w:id="137"/>
                </w:p>
              </w:tc>
              <w:tc>
                <w:tcPr>
                  <w:tcW w:w="1744" w:type="dxa"/>
                  <w:tcBorders>
                    <w:tl2br w:val="nil"/>
                    <w:tr2bl w:val="nil"/>
                  </w:tcBorders>
                  <w:vAlign w:val="center"/>
                </w:tcPr>
                <w:p>
                  <w:pPr>
                    <w:pStyle w:val="34"/>
                    <w:bidi w:val="0"/>
                    <w:rPr>
                      <w:rFonts w:hint="default"/>
                      <w:color w:val="auto"/>
                      <w:highlight w:val="none"/>
                      <w:lang w:val="en-US" w:eastAsia="zh-CN"/>
                    </w:rPr>
                  </w:pPr>
                  <w:bookmarkStart w:id="138" w:name="_Toc29742"/>
                  <w:bookmarkStart w:id="139" w:name="_Toc8495"/>
                  <w:r>
                    <w:rPr>
                      <w:rFonts w:hint="default"/>
                      <w:color w:val="auto"/>
                      <w:highlight w:val="none"/>
                      <w:lang w:val="en-US" w:eastAsia="zh-CN"/>
                    </w:rPr>
                    <w:t>本项目位于云南易门产业园区大椿树片区，项目用地</w:t>
                  </w:r>
                  <w:r>
                    <w:rPr>
                      <w:rFonts w:hint="eastAsia"/>
                      <w:color w:val="auto"/>
                      <w:highlight w:val="none"/>
                      <w:lang w:val="en-US" w:eastAsia="zh-CN"/>
                    </w:rPr>
                    <w:t>类型</w:t>
                  </w:r>
                  <w:r>
                    <w:rPr>
                      <w:rFonts w:hint="default"/>
                      <w:color w:val="auto"/>
                      <w:highlight w:val="none"/>
                      <w:lang w:val="en-US" w:eastAsia="zh-CN"/>
                    </w:rPr>
                    <w:t>为</w:t>
                  </w:r>
                  <w:r>
                    <w:rPr>
                      <w:rFonts w:hint="eastAsia"/>
                      <w:color w:val="auto"/>
                      <w:highlight w:val="none"/>
                      <w:lang w:val="en-US" w:eastAsia="zh-CN"/>
                    </w:rPr>
                    <w:t>工业用地</w:t>
                  </w:r>
                  <w:r>
                    <w:rPr>
                      <w:rFonts w:hint="default"/>
                      <w:color w:val="auto"/>
                      <w:highlight w:val="none"/>
                      <w:lang w:val="en-US" w:eastAsia="zh-CN"/>
                    </w:rPr>
                    <w:t>，</w:t>
                  </w:r>
                  <w:r>
                    <w:rPr>
                      <w:rFonts w:hint="eastAsia"/>
                      <w:color w:val="auto"/>
                      <w:highlight w:val="none"/>
                      <w:lang w:val="en-US" w:eastAsia="zh-CN"/>
                    </w:rPr>
                    <w:t>根据“三区三线”查询结果，</w:t>
                  </w:r>
                  <w:r>
                    <w:rPr>
                      <w:rFonts w:hint="default"/>
                      <w:color w:val="auto"/>
                      <w:highlight w:val="none"/>
                      <w:lang w:val="en-US" w:eastAsia="zh-CN"/>
                    </w:rPr>
                    <w:t>项目占地不涉及永久基本农田。</w:t>
                  </w:r>
                  <w:bookmarkEnd w:id="138"/>
                  <w:bookmarkEnd w:id="139"/>
                </w:p>
              </w:tc>
              <w:tc>
                <w:tcPr>
                  <w:tcW w:w="580" w:type="dxa"/>
                  <w:tcBorders>
                    <w:tl2br w:val="nil"/>
                    <w:tr2bl w:val="nil"/>
                  </w:tcBorders>
                  <w:vAlign w:val="center"/>
                </w:tcPr>
                <w:p>
                  <w:pPr>
                    <w:pStyle w:val="34"/>
                    <w:bidi w:val="0"/>
                    <w:rPr>
                      <w:rFonts w:hint="default"/>
                      <w:color w:val="auto"/>
                      <w:highlight w:val="none"/>
                      <w:lang w:val="en-US" w:eastAsia="zh-CN"/>
                    </w:rPr>
                  </w:pPr>
                  <w:bookmarkStart w:id="140" w:name="_Toc15846"/>
                  <w:bookmarkStart w:id="141" w:name="_Toc27412"/>
                  <w:r>
                    <w:rPr>
                      <w:rFonts w:hint="default"/>
                      <w:color w:val="auto"/>
                      <w:highlight w:val="none"/>
                      <w:lang w:val="en-US" w:eastAsia="zh-CN"/>
                    </w:rPr>
                    <w:t>符合</w:t>
                  </w:r>
                  <w:bookmarkEnd w:id="140"/>
                  <w:bookmarkEnd w:id="141"/>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tcBorders>
                    <w:tl2br w:val="nil"/>
                    <w:tr2bl w:val="nil"/>
                  </w:tcBorders>
                  <w:vAlign w:val="center"/>
                </w:tcPr>
                <w:p>
                  <w:pPr>
                    <w:pStyle w:val="34"/>
                    <w:bidi w:val="0"/>
                    <w:rPr>
                      <w:rFonts w:hint="default"/>
                      <w:color w:val="auto"/>
                      <w:highlight w:val="none"/>
                      <w:lang w:val="en-US" w:eastAsia="zh-CN"/>
                    </w:rPr>
                  </w:pPr>
                  <w:bookmarkStart w:id="142" w:name="_Toc6993"/>
                  <w:bookmarkStart w:id="143" w:name="_Toc28610"/>
                  <w:r>
                    <w:rPr>
                      <w:rFonts w:hint="default"/>
                      <w:color w:val="auto"/>
                      <w:highlight w:val="none"/>
                      <w:lang w:val="en-US" w:eastAsia="zh-CN"/>
                    </w:rPr>
                    <w:t>4</w:t>
                  </w:r>
                  <w:bookmarkEnd w:id="142"/>
                  <w:bookmarkEnd w:id="143"/>
                </w:p>
              </w:tc>
              <w:tc>
                <w:tcPr>
                  <w:tcW w:w="922" w:type="dxa"/>
                  <w:vMerge w:val="continue"/>
                  <w:tcBorders>
                    <w:tl2br w:val="nil"/>
                    <w:tr2bl w:val="nil"/>
                  </w:tcBorders>
                  <w:vAlign w:val="center"/>
                </w:tcPr>
                <w:p>
                  <w:pPr>
                    <w:pStyle w:val="34"/>
                    <w:bidi w:val="0"/>
                    <w:rPr>
                      <w:rFonts w:hint="default"/>
                      <w:color w:val="auto"/>
                      <w:highlight w:val="none"/>
                      <w:lang w:val="en-US" w:eastAsia="zh-CN"/>
                    </w:rPr>
                  </w:pPr>
                </w:p>
              </w:tc>
              <w:tc>
                <w:tcPr>
                  <w:tcW w:w="3396" w:type="dxa"/>
                  <w:tcBorders>
                    <w:tl2br w:val="nil"/>
                    <w:tr2bl w:val="nil"/>
                  </w:tcBorders>
                  <w:vAlign w:val="center"/>
                </w:tcPr>
                <w:p>
                  <w:pPr>
                    <w:pStyle w:val="34"/>
                    <w:bidi w:val="0"/>
                    <w:rPr>
                      <w:rFonts w:hint="default"/>
                      <w:color w:val="auto"/>
                      <w:highlight w:val="none"/>
                      <w:lang w:val="en-US" w:eastAsia="zh-CN"/>
                    </w:rPr>
                  </w:pPr>
                  <w:bookmarkStart w:id="144" w:name="_Toc25726"/>
                  <w:bookmarkStart w:id="145" w:name="_Toc29014"/>
                  <w:r>
                    <w:rPr>
                      <w:rFonts w:hint="default"/>
                      <w:color w:val="auto"/>
                      <w:highlight w:val="none"/>
                      <w:lang w:val="en-US" w:eastAsia="zh-CN"/>
                    </w:rPr>
                    <w:t>禁止在金沙江、长江一级支流建设除党中央、国务院、国家投资主管部门、省级有关部门批复同意以外的过江基础设施项目。</w:t>
                  </w:r>
                  <w:bookmarkEnd w:id="144"/>
                  <w:bookmarkEnd w:id="145"/>
                </w:p>
              </w:tc>
              <w:tc>
                <w:tcPr>
                  <w:tcW w:w="1744" w:type="dxa"/>
                  <w:tcBorders>
                    <w:tl2br w:val="nil"/>
                    <w:tr2bl w:val="nil"/>
                  </w:tcBorders>
                  <w:vAlign w:val="center"/>
                </w:tcPr>
                <w:p>
                  <w:pPr>
                    <w:pStyle w:val="34"/>
                    <w:bidi w:val="0"/>
                    <w:rPr>
                      <w:rFonts w:hint="default"/>
                      <w:color w:val="auto"/>
                      <w:highlight w:val="none"/>
                      <w:lang w:val="en-US" w:eastAsia="zh-CN"/>
                    </w:rPr>
                  </w:pPr>
                  <w:bookmarkStart w:id="146" w:name="_Toc22925"/>
                  <w:bookmarkStart w:id="147" w:name="_Toc28986"/>
                  <w:r>
                    <w:rPr>
                      <w:rFonts w:hint="default"/>
                      <w:color w:val="auto"/>
                      <w:highlight w:val="none"/>
                      <w:lang w:val="en-US" w:eastAsia="zh-CN"/>
                    </w:rPr>
                    <w:t>本项目位于云南易门产业园区大椿树片区</w:t>
                  </w:r>
                  <w:r>
                    <w:rPr>
                      <w:rFonts w:hint="eastAsia"/>
                      <w:color w:val="auto"/>
                      <w:highlight w:val="none"/>
                      <w:lang w:val="en-US" w:eastAsia="zh-CN"/>
                    </w:rPr>
                    <w:t>，不在</w:t>
                  </w:r>
                  <w:r>
                    <w:rPr>
                      <w:rFonts w:hint="default"/>
                      <w:color w:val="auto"/>
                      <w:highlight w:val="none"/>
                      <w:lang w:val="en-US" w:eastAsia="zh-CN"/>
                    </w:rPr>
                    <w:t>金沙江、长江一级支流</w:t>
                  </w:r>
                  <w:r>
                    <w:rPr>
                      <w:rFonts w:hint="eastAsia"/>
                      <w:color w:val="auto"/>
                      <w:highlight w:val="none"/>
                      <w:lang w:val="en-US" w:eastAsia="zh-CN"/>
                    </w:rPr>
                    <w:t>范围内，且项目为</w:t>
                  </w:r>
                  <w:r>
                    <w:rPr>
                      <w:rFonts w:hint="default"/>
                      <w:color w:val="auto"/>
                      <w:highlight w:val="none"/>
                      <w:lang w:val="en-US" w:eastAsia="zh-CN"/>
                    </w:rPr>
                    <w:t>制氧系统技术改造节能项目，属于易门铜业有限公司铜冶炼配套公用工程，不涉及过江基础设施项目。</w:t>
                  </w:r>
                  <w:bookmarkEnd w:id="146"/>
                  <w:bookmarkEnd w:id="147"/>
                </w:p>
              </w:tc>
              <w:tc>
                <w:tcPr>
                  <w:tcW w:w="580" w:type="dxa"/>
                  <w:tcBorders>
                    <w:tl2br w:val="nil"/>
                    <w:tr2bl w:val="nil"/>
                  </w:tcBorders>
                  <w:vAlign w:val="center"/>
                </w:tcPr>
                <w:p>
                  <w:pPr>
                    <w:pStyle w:val="34"/>
                    <w:bidi w:val="0"/>
                    <w:rPr>
                      <w:rFonts w:hint="default"/>
                      <w:color w:val="auto"/>
                      <w:highlight w:val="none"/>
                      <w:lang w:val="en-US" w:eastAsia="zh-CN"/>
                    </w:rPr>
                  </w:pPr>
                  <w:bookmarkStart w:id="148" w:name="_Toc705"/>
                  <w:bookmarkStart w:id="149" w:name="_Toc28785"/>
                  <w:r>
                    <w:rPr>
                      <w:rFonts w:hint="default"/>
                      <w:color w:val="auto"/>
                      <w:highlight w:val="none"/>
                      <w:lang w:val="en-US" w:eastAsia="zh-CN"/>
                    </w:rPr>
                    <w:t>符合</w:t>
                  </w:r>
                  <w:bookmarkEnd w:id="148"/>
                  <w:bookmarkEnd w:id="149"/>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tcBorders>
                    <w:tl2br w:val="nil"/>
                    <w:tr2bl w:val="nil"/>
                  </w:tcBorders>
                  <w:vAlign w:val="center"/>
                </w:tcPr>
                <w:p>
                  <w:pPr>
                    <w:pStyle w:val="34"/>
                    <w:bidi w:val="0"/>
                    <w:rPr>
                      <w:rFonts w:hint="default"/>
                      <w:color w:val="auto"/>
                      <w:highlight w:val="none"/>
                      <w:lang w:val="en-US" w:eastAsia="zh-CN"/>
                    </w:rPr>
                  </w:pPr>
                  <w:bookmarkStart w:id="150" w:name="_Toc10235"/>
                  <w:bookmarkStart w:id="151" w:name="_Toc10122"/>
                  <w:r>
                    <w:rPr>
                      <w:rFonts w:hint="default"/>
                      <w:color w:val="auto"/>
                      <w:highlight w:val="none"/>
                      <w:lang w:val="en-US" w:eastAsia="zh-CN"/>
                    </w:rPr>
                    <w:t>5</w:t>
                  </w:r>
                  <w:bookmarkEnd w:id="150"/>
                  <w:bookmarkEnd w:id="151"/>
                </w:p>
              </w:tc>
              <w:tc>
                <w:tcPr>
                  <w:tcW w:w="922" w:type="dxa"/>
                  <w:vMerge w:val="restart"/>
                  <w:tcBorders>
                    <w:tl2br w:val="nil"/>
                    <w:tr2bl w:val="nil"/>
                  </w:tcBorders>
                  <w:vAlign w:val="center"/>
                </w:tcPr>
                <w:p>
                  <w:pPr>
                    <w:pStyle w:val="34"/>
                    <w:bidi w:val="0"/>
                    <w:rPr>
                      <w:rFonts w:hint="default"/>
                      <w:color w:val="auto"/>
                      <w:highlight w:val="none"/>
                      <w:lang w:val="en-US" w:eastAsia="zh-CN"/>
                    </w:rPr>
                  </w:pPr>
                  <w:bookmarkStart w:id="152" w:name="_Toc17967"/>
                  <w:bookmarkStart w:id="153" w:name="_Toc12668"/>
                  <w:r>
                    <w:rPr>
                      <w:rFonts w:hint="default"/>
                      <w:color w:val="auto"/>
                      <w:highlight w:val="none"/>
                      <w:lang w:val="en-US" w:eastAsia="zh-CN"/>
                    </w:rPr>
                    <w:t>各类保护区</w:t>
                  </w:r>
                  <w:bookmarkEnd w:id="152"/>
                  <w:bookmarkEnd w:id="153"/>
                </w:p>
              </w:tc>
              <w:tc>
                <w:tcPr>
                  <w:tcW w:w="3396" w:type="dxa"/>
                  <w:tcBorders>
                    <w:tl2br w:val="nil"/>
                    <w:tr2bl w:val="nil"/>
                  </w:tcBorders>
                  <w:vAlign w:val="center"/>
                </w:tcPr>
                <w:p>
                  <w:pPr>
                    <w:pStyle w:val="34"/>
                    <w:bidi w:val="0"/>
                    <w:rPr>
                      <w:rFonts w:hint="default"/>
                      <w:color w:val="auto"/>
                      <w:highlight w:val="none"/>
                      <w:lang w:val="en-US" w:eastAsia="zh-CN"/>
                    </w:rPr>
                  </w:pPr>
                  <w:bookmarkStart w:id="154" w:name="_Toc14516"/>
                  <w:bookmarkStart w:id="155" w:name="_Toc21899"/>
                  <w:r>
                    <w:rPr>
                      <w:rFonts w:hint="default"/>
                      <w:color w:val="auto"/>
                      <w:highlight w:val="none"/>
                      <w:lang w:val="en-US" w:eastAsia="zh-CN"/>
                    </w:rPr>
                    <w:t xml:space="preserve">禁止在自然保护区核心区、缓冲区建设任何生产设施。禁止在自然保护区的实验区内建设污染环境、破坏资源或者景观的生产设施和污染物排放超过国家和地方规定的污染物排放标准的其他项目。禁止在自然保护区内进行砍伐、放牧、狩猎、捕捞、 采药、开垦、烧荒、开矿、采石、 </w:t>
                  </w:r>
                  <w:r>
                    <w:rPr>
                      <w:rFonts w:hint="eastAsia"/>
                      <w:color w:val="auto"/>
                      <w:highlight w:val="none"/>
                      <w:lang w:val="en-US" w:eastAsia="zh-CN"/>
                    </w:rPr>
                    <w:t>挖掘</w:t>
                  </w:r>
                  <w:r>
                    <w:rPr>
                      <w:rFonts w:hint="default"/>
                      <w:color w:val="auto"/>
                      <w:highlight w:val="none"/>
                      <w:lang w:val="en-US" w:eastAsia="zh-CN"/>
                    </w:rPr>
                    <w:t xml:space="preserve"> 等活动，法律、行政法规另有规定的除外。</w:t>
                  </w:r>
                  <w:bookmarkEnd w:id="154"/>
                  <w:bookmarkEnd w:id="155"/>
                </w:p>
              </w:tc>
              <w:tc>
                <w:tcPr>
                  <w:tcW w:w="1744" w:type="dxa"/>
                  <w:tcBorders>
                    <w:tl2br w:val="nil"/>
                    <w:tr2bl w:val="nil"/>
                  </w:tcBorders>
                  <w:vAlign w:val="center"/>
                </w:tcPr>
                <w:p>
                  <w:pPr>
                    <w:pStyle w:val="34"/>
                    <w:bidi w:val="0"/>
                    <w:rPr>
                      <w:rFonts w:hint="default"/>
                      <w:color w:val="auto"/>
                      <w:highlight w:val="none"/>
                      <w:lang w:val="en-US" w:eastAsia="zh-CN"/>
                    </w:rPr>
                  </w:pPr>
                  <w:bookmarkStart w:id="156" w:name="_Toc29914"/>
                  <w:bookmarkStart w:id="157" w:name="_Toc21879"/>
                  <w:r>
                    <w:rPr>
                      <w:rFonts w:hint="default"/>
                      <w:color w:val="auto"/>
                      <w:highlight w:val="none"/>
                      <w:lang w:val="en-US" w:eastAsia="zh-CN"/>
                    </w:rPr>
                    <w:t>本项目位于云南易门产业园区大椿树片区</w:t>
                  </w:r>
                  <w:r>
                    <w:rPr>
                      <w:rFonts w:hint="eastAsia"/>
                      <w:color w:val="auto"/>
                      <w:highlight w:val="none"/>
                      <w:lang w:val="en-US" w:eastAsia="zh-CN"/>
                    </w:rPr>
                    <w:t>，</w:t>
                  </w:r>
                  <w:r>
                    <w:rPr>
                      <w:rFonts w:hint="default"/>
                      <w:color w:val="auto"/>
                      <w:highlight w:val="none"/>
                      <w:lang w:val="en-US" w:eastAsia="zh-CN"/>
                    </w:rPr>
                    <w:t>不在自然保护区核心区、缓冲区、试验区范围内。</w:t>
                  </w:r>
                  <w:bookmarkEnd w:id="156"/>
                  <w:bookmarkEnd w:id="157"/>
                </w:p>
              </w:tc>
              <w:tc>
                <w:tcPr>
                  <w:tcW w:w="580" w:type="dxa"/>
                  <w:tcBorders>
                    <w:tl2br w:val="nil"/>
                    <w:tr2bl w:val="nil"/>
                  </w:tcBorders>
                  <w:vAlign w:val="center"/>
                </w:tcPr>
                <w:p>
                  <w:pPr>
                    <w:pStyle w:val="34"/>
                    <w:bidi w:val="0"/>
                    <w:rPr>
                      <w:rFonts w:hint="default"/>
                      <w:color w:val="auto"/>
                      <w:highlight w:val="none"/>
                      <w:lang w:val="en-US" w:eastAsia="zh-CN"/>
                    </w:rPr>
                  </w:pPr>
                  <w:bookmarkStart w:id="158" w:name="_Toc19689"/>
                  <w:bookmarkStart w:id="159" w:name="_Toc17189"/>
                  <w:r>
                    <w:rPr>
                      <w:rFonts w:hint="default"/>
                      <w:color w:val="auto"/>
                      <w:highlight w:val="none"/>
                      <w:lang w:val="en-US" w:eastAsia="zh-CN"/>
                    </w:rPr>
                    <w:t>符合</w:t>
                  </w:r>
                  <w:bookmarkEnd w:id="158"/>
                  <w:bookmarkEnd w:id="159"/>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tcBorders>
                    <w:tl2br w:val="nil"/>
                    <w:tr2bl w:val="nil"/>
                  </w:tcBorders>
                  <w:vAlign w:val="center"/>
                </w:tcPr>
                <w:p>
                  <w:pPr>
                    <w:pStyle w:val="34"/>
                    <w:bidi w:val="0"/>
                    <w:rPr>
                      <w:rFonts w:hint="default"/>
                      <w:color w:val="auto"/>
                      <w:highlight w:val="none"/>
                      <w:lang w:val="en-US" w:eastAsia="zh-CN"/>
                    </w:rPr>
                  </w:pPr>
                  <w:bookmarkStart w:id="160" w:name="_Toc2922"/>
                  <w:bookmarkStart w:id="161" w:name="_Toc22899"/>
                  <w:r>
                    <w:rPr>
                      <w:rFonts w:hint="default"/>
                      <w:color w:val="auto"/>
                      <w:highlight w:val="none"/>
                      <w:lang w:val="en-US" w:eastAsia="zh-CN"/>
                    </w:rPr>
                    <w:t>6</w:t>
                  </w:r>
                  <w:bookmarkEnd w:id="160"/>
                  <w:bookmarkEnd w:id="161"/>
                </w:p>
              </w:tc>
              <w:tc>
                <w:tcPr>
                  <w:tcW w:w="922" w:type="dxa"/>
                  <w:vMerge w:val="continue"/>
                  <w:tcBorders>
                    <w:tl2br w:val="nil"/>
                    <w:tr2bl w:val="nil"/>
                  </w:tcBorders>
                  <w:vAlign w:val="center"/>
                </w:tcPr>
                <w:p>
                  <w:pPr>
                    <w:pStyle w:val="34"/>
                    <w:bidi w:val="0"/>
                    <w:rPr>
                      <w:rFonts w:hint="default"/>
                      <w:color w:val="auto"/>
                      <w:highlight w:val="none"/>
                      <w:lang w:val="en-US" w:eastAsia="zh-CN"/>
                    </w:rPr>
                  </w:pPr>
                </w:p>
              </w:tc>
              <w:tc>
                <w:tcPr>
                  <w:tcW w:w="3396" w:type="dxa"/>
                  <w:tcBorders>
                    <w:tl2br w:val="nil"/>
                    <w:tr2bl w:val="nil"/>
                  </w:tcBorders>
                  <w:vAlign w:val="center"/>
                </w:tcPr>
                <w:p>
                  <w:pPr>
                    <w:pStyle w:val="34"/>
                    <w:bidi w:val="0"/>
                    <w:rPr>
                      <w:rFonts w:hint="default"/>
                      <w:color w:val="auto"/>
                      <w:highlight w:val="none"/>
                      <w:lang w:val="en-US" w:eastAsia="zh-CN"/>
                    </w:rPr>
                  </w:pPr>
                  <w:bookmarkStart w:id="162" w:name="_Toc10012"/>
                  <w:bookmarkStart w:id="163" w:name="_Toc4515"/>
                  <w:r>
                    <w:rPr>
                      <w:rFonts w:hint="default"/>
                      <w:color w:val="auto"/>
                      <w:highlight w:val="none"/>
                      <w:lang w:val="en-US" w:eastAsia="zh-CN"/>
                    </w:rPr>
                    <w:t>禁止风景名胜区规划未经批准前或者违反经批准的风景名胜区规划进行各类建设活动。禁止在风景名胜区内设立各类开发区和在核心景区内投资建设宾馆、招待所、培训中心、养老院以及与风景名</w:t>
                  </w:r>
                  <w:r>
                    <w:rPr>
                      <w:rFonts w:hint="eastAsia"/>
                      <w:color w:val="auto"/>
                      <w:highlight w:val="none"/>
                      <w:lang w:val="en-US" w:eastAsia="zh-CN"/>
                    </w:rPr>
                    <w:t>胜区</w:t>
                  </w:r>
                  <w:r>
                    <w:rPr>
                      <w:rFonts w:hint="default"/>
                      <w:color w:val="auto"/>
                      <w:highlight w:val="none"/>
                      <w:lang w:val="en-US" w:eastAsia="zh-CN"/>
                    </w:rPr>
                    <w:t>资源保护无关的其他建筑物。禁止在风景名胜区内进行开山、采石、开矿、开荒、修坟立碑等破坏景观、植被和地形地貌的活动；禁止修建储存爆炸性、易燃性、放射性、毒害性、腐蚀性物品的设施。</w:t>
                  </w:r>
                  <w:bookmarkEnd w:id="162"/>
                  <w:bookmarkEnd w:id="163"/>
                </w:p>
              </w:tc>
              <w:tc>
                <w:tcPr>
                  <w:tcW w:w="1744" w:type="dxa"/>
                  <w:tcBorders>
                    <w:tl2br w:val="nil"/>
                    <w:tr2bl w:val="nil"/>
                  </w:tcBorders>
                  <w:vAlign w:val="center"/>
                </w:tcPr>
                <w:p>
                  <w:pPr>
                    <w:pStyle w:val="34"/>
                    <w:bidi w:val="0"/>
                    <w:rPr>
                      <w:rFonts w:hint="default"/>
                      <w:color w:val="auto"/>
                      <w:highlight w:val="none"/>
                      <w:lang w:val="en-US" w:eastAsia="zh-CN"/>
                    </w:rPr>
                  </w:pPr>
                  <w:bookmarkStart w:id="164" w:name="_Toc15322"/>
                  <w:bookmarkStart w:id="165" w:name="_Toc15666"/>
                  <w:r>
                    <w:rPr>
                      <w:rFonts w:hint="default"/>
                      <w:color w:val="auto"/>
                      <w:highlight w:val="none"/>
                      <w:lang w:val="en-US" w:eastAsia="zh-CN"/>
                    </w:rPr>
                    <w:t>本项目位于云南易门产业园区大椿树片区</w:t>
                  </w:r>
                  <w:r>
                    <w:rPr>
                      <w:rFonts w:hint="eastAsia"/>
                      <w:color w:val="auto"/>
                      <w:highlight w:val="none"/>
                      <w:lang w:val="en-US" w:eastAsia="zh-CN"/>
                    </w:rPr>
                    <w:t>，</w:t>
                  </w:r>
                  <w:r>
                    <w:rPr>
                      <w:rFonts w:hint="default"/>
                      <w:color w:val="auto"/>
                      <w:highlight w:val="none"/>
                      <w:lang w:val="en-US" w:eastAsia="zh-CN"/>
                    </w:rPr>
                    <w:t>不在风景名胜区范围内。</w:t>
                  </w:r>
                  <w:bookmarkEnd w:id="164"/>
                  <w:bookmarkEnd w:id="165"/>
                </w:p>
              </w:tc>
              <w:tc>
                <w:tcPr>
                  <w:tcW w:w="580" w:type="dxa"/>
                  <w:tcBorders>
                    <w:tl2br w:val="nil"/>
                    <w:tr2bl w:val="nil"/>
                  </w:tcBorders>
                  <w:vAlign w:val="center"/>
                </w:tcPr>
                <w:p>
                  <w:pPr>
                    <w:pStyle w:val="34"/>
                    <w:bidi w:val="0"/>
                    <w:rPr>
                      <w:rFonts w:hint="default"/>
                      <w:color w:val="auto"/>
                      <w:highlight w:val="none"/>
                      <w:lang w:val="en-US" w:eastAsia="zh-CN"/>
                    </w:rPr>
                  </w:pPr>
                  <w:bookmarkStart w:id="166" w:name="_Toc11105"/>
                  <w:bookmarkStart w:id="167" w:name="_Toc16462"/>
                  <w:r>
                    <w:rPr>
                      <w:rFonts w:hint="default"/>
                      <w:color w:val="auto"/>
                      <w:highlight w:val="none"/>
                      <w:lang w:val="en-US" w:eastAsia="zh-CN"/>
                    </w:rPr>
                    <w:t>符合</w:t>
                  </w:r>
                  <w:bookmarkEnd w:id="166"/>
                  <w:bookmarkEnd w:id="167"/>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tcBorders>
                    <w:tl2br w:val="nil"/>
                    <w:tr2bl w:val="nil"/>
                  </w:tcBorders>
                  <w:vAlign w:val="center"/>
                </w:tcPr>
                <w:p>
                  <w:pPr>
                    <w:pStyle w:val="34"/>
                    <w:bidi w:val="0"/>
                    <w:rPr>
                      <w:rFonts w:hint="default"/>
                      <w:color w:val="auto"/>
                      <w:highlight w:val="none"/>
                      <w:lang w:val="en-US" w:eastAsia="zh-CN"/>
                    </w:rPr>
                  </w:pPr>
                  <w:bookmarkStart w:id="168" w:name="_Toc19375"/>
                  <w:bookmarkStart w:id="169" w:name="_Toc30556"/>
                  <w:r>
                    <w:rPr>
                      <w:rFonts w:hint="default"/>
                      <w:color w:val="auto"/>
                      <w:highlight w:val="none"/>
                      <w:lang w:val="en-US" w:eastAsia="zh-CN"/>
                    </w:rPr>
                    <w:t>7</w:t>
                  </w:r>
                  <w:bookmarkEnd w:id="168"/>
                  <w:bookmarkEnd w:id="169"/>
                </w:p>
              </w:tc>
              <w:tc>
                <w:tcPr>
                  <w:tcW w:w="922" w:type="dxa"/>
                  <w:vMerge w:val="continue"/>
                  <w:tcBorders>
                    <w:tl2br w:val="nil"/>
                    <w:tr2bl w:val="nil"/>
                  </w:tcBorders>
                  <w:vAlign w:val="center"/>
                </w:tcPr>
                <w:p>
                  <w:pPr>
                    <w:pStyle w:val="34"/>
                    <w:bidi w:val="0"/>
                    <w:rPr>
                      <w:rFonts w:hint="default"/>
                      <w:color w:val="auto"/>
                      <w:highlight w:val="none"/>
                      <w:lang w:val="en-US" w:eastAsia="zh-CN"/>
                    </w:rPr>
                  </w:pPr>
                </w:p>
              </w:tc>
              <w:tc>
                <w:tcPr>
                  <w:tcW w:w="3396" w:type="dxa"/>
                  <w:tcBorders>
                    <w:tl2br w:val="nil"/>
                    <w:tr2bl w:val="nil"/>
                  </w:tcBorders>
                  <w:vAlign w:val="center"/>
                </w:tcPr>
                <w:p>
                  <w:pPr>
                    <w:pStyle w:val="34"/>
                    <w:bidi w:val="0"/>
                    <w:rPr>
                      <w:rFonts w:hint="default"/>
                      <w:color w:val="auto"/>
                      <w:highlight w:val="none"/>
                      <w:lang w:val="en-US" w:eastAsia="zh-CN"/>
                    </w:rPr>
                  </w:pPr>
                  <w:bookmarkStart w:id="170" w:name="_Toc30113"/>
                  <w:bookmarkStart w:id="171" w:name="_Toc19542"/>
                  <w:r>
                    <w:rPr>
                      <w:rFonts w:hint="default"/>
                      <w:color w:val="auto"/>
                      <w:highlight w:val="none"/>
                      <w:lang w:val="en-US" w:eastAsia="zh-CN"/>
                    </w:rPr>
                    <w:t>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bookmarkEnd w:id="170"/>
                  <w:bookmarkEnd w:id="171"/>
                </w:p>
              </w:tc>
              <w:tc>
                <w:tcPr>
                  <w:tcW w:w="1744" w:type="dxa"/>
                  <w:tcBorders>
                    <w:tl2br w:val="nil"/>
                    <w:tr2bl w:val="nil"/>
                  </w:tcBorders>
                  <w:vAlign w:val="center"/>
                </w:tcPr>
                <w:p>
                  <w:pPr>
                    <w:pStyle w:val="34"/>
                    <w:bidi w:val="0"/>
                    <w:rPr>
                      <w:rFonts w:hint="default"/>
                      <w:color w:val="auto"/>
                      <w:highlight w:val="none"/>
                      <w:lang w:val="en-US" w:eastAsia="zh-CN"/>
                    </w:rPr>
                  </w:pPr>
                  <w:bookmarkStart w:id="172" w:name="_Toc13543"/>
                  <w:bookmarkStart w:id="173" w:name="_Toc12102"/>
                  <w:r>
                    <w:rPr>
                      <w:rFonts w:hint="default"/>
                      <w:color w:val="auto"/>
                      <w:highlight w:val="none"/>
                      <w:lang w:val="en-US" w:eastAsia="zh-CN"/>
                    </w:rPr>
                    <w:t>本项目位于云南易门产业园区大椿树片区</w:t>
                  </w:r>
                  <w:r>
                    <w:rPr>
                      <w:rFonts w:hint="eastAsia"/>
                      <w:color w:val="auto"/>
                      <w:highlight w:val="none"/>
                      <w:lang w:val="en-US" w:eastAsia="zh-CN"/>
                    </w:rPr>
                    <w:t>，</w:t>
                  </w:r>
                  <w:r>
                    <w:rPr>
                      <w:rFonts w:hint="default"/>
                      <w:color w:val="auto"/>
                      <w:highlight w:val="none"/>
                      <w:lang w:val="en-US" w:eastAsia="zh-CN"/>
                    </w:rPr>
                    <w:t>不涉及饮用水水源一级保护区、二级保护区。</w:t>
                  </w:r>
                  <w:bookmarkEnd w:id="172"/>
                  <w:bookmarkEnd w:id="173"/>
                </w:p>
              </w:tc>
              <w:tc>
                <w:tcPr>
                  <w:tcW w:w="580" w:type="dxa"/>
                  <w:tcBorders>
                    <w:tl2br w:val="nil"/>
                    <w:tr2bl w:val="nil"/>
                  </w:tcBorders>
                  <w:vAlign w:val="center"/>
                </w:tcPr>
                <w:p>
                  <w:pPr>
                    <w:pStyle w:val="34"/>
                    <w:bidi w:val="0"/>
                    <w:rPr>
                      <w:rFonts w:hint="default"/>
                      <w:color w:val="auto"/>
                      <w:highlight w:val="none"/>
                      <w:lang w:val="en-US" w:eastAsia="zh-CN"/>
                    </w:rPr>
                  </w:pPr>
                  <w:bookmarkStart w:id="174" w:name="_Toc26286"/>
                  <w:bookmarkStart w:id="175" w:name="_Toc32366"/>
                  <w:r>
                    <w:rPr>
                      <w:rFonts w:hint="default"/>
                      <w:color w:val="auto"/>
                      <w:highlight w:val="none"/>
                      <w:lang w:val="en-US" w:eastAsia="zh-CN"/>
                    </w:rPr>
                    <w:t>符合</w:t>
                  </w:r>
                  <w:bookmarkEnd w:id="174"/>
                  <w:bookmarkEnd w:id="175"/>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tcBorders>
                    <w:tl2br w:val="nil"/>
                    <w:tr2bl w:val="nil"/>
                  </w:tcBorders>
                  <w:vAlign w:val="center"/>
                </w:tcPr>
                <w:p>
                  <w:pPr>
                    <w:pStyle w:val="34"/>
                    <w:bidi w:val="0"/>
                    <w:rPr>
                      <w:rFonts w:hint="default"/>
                      <w:color w:val="auto"/>
                      <w:highlight w:val="none"/>
                      <w:lang w:val="en-US" w:eastAsia="zh-CN"/>
                    </w:rPr>
                  </w:pPr>
                  <w:bookmarkStart w:id="176" w:name="_Toc11006"/>
                  <w:bookmarkStart w:id="177" w:name="_Toc19903"/>
                  <w:r>
                    <w:rPr>
                      <w:rFonts w:hint="default"/>
                      <w:color w:val="auto"/>
                      <w:highlight w:val="none"/>
                      <w:lang w:val="en-US" w:eastAsia="zh-CN"/>
                    </w:rPr>
                    <w:t>8</w:t>
                  </w:r>
                  <w:bookmarkEnd w:id="176"/>
                  <w:bookmarkEnd w:id="177"/>
                </w:p>
              </w:tc>
              <w:tc>
                <w:tcPr>
                  <w:tcW w:w="922" w:type="dxa"/>
                  <w:vMerge w:val="continue"/>
                  <w:tcBorders>
                    <w:tl2br w:val="nil"/>
                    <w:tr2bl w:val="nil"/>
                  </w:tcBorders>
                  <w:vAlign w:val="center"/>
                </w:tcPr>
                <w:p>
                  <w:pPr>
                    <w:pStyle w:val="34"/>
                    <w:bidi w:val="0"/>
                    <w:rPr>
                      <w:rFonts w:hint="default"/>
                      <w:color w:val="auto"/>
                      <w:highlight w:val="none"/>
                      <w:lang w:val="en-US" w:eastAsia="zh-CN"/>
                    </w:rPr>
                  </w:pPr>
                </w:p>
              </w:tc>
              <w:tc>
                <w:tcPr>
                  <w:tcW w:w="3396" w:type="dxa"/>
                  <w:tcBorders>
                    <w:tl2br w:val="nil"/>
                    <w:tr2bl w:val="nil"/>
                  </w:tcBorders>
                  <w:vAlign w:val="center"/>
                </w:tcPr>
                <w:p>
                  <w:pPr>
                    <w:pStyle w:val="34"/>
                    <w:bidi w:val="0"/>
                    <w:rPr>
                      <w:rFonts w:hint="default"/>
                      <w:color w:val="auto"/>
                      <w:highlight w:val="none"/>
                      <w:lang w:val="en-US" w:eastAsia="zh-CN"/>
                    </w:rPr>
                  </w:pPr>
                  <w:bookmarkStart w:id="178" w:name="_Toc4453"/>
                  <w:bookmarkStart w:id="179" w:name="_Toc462"/>
                  <w:r>
                    <w:rPr>
                      <w:rFonts w:hint="default"/>
                      <w:color w:val="auto"/>
                      <w:highlight w:val="none"/>
                      <w:lang w:val="en-US" w:eastAsia="zh-CN"/>
                    </w:rPr>
                    <w:t>禁止在水产种质资源保护区的岸线和河段范围内新建排污口，以及围湖造田、围湖造地或围垦河道等工程。禁止在国家湿地公园范围内从事房地产、度假村、高尔夫球场、风力发电、光伏发电等任何不符合主体功能定位的建设项目和开发活动；禁止开（围）垦、填埋或者排干湿地； 禁止截断湿地水源、挖沙、采矿、引入外来物种；禁止擅自放牧、捕捞、取土、取水、排污、</w:t>
                  </w:r>
                  <w:r>
                    <w:rPr>
                      <w:rFonts w:hint="eastAsia"/>
                      <w:color w:val="auto"/>
                      <w:highlight w:val="none"/>
                      <w:lang w:val="en-US" w:eastAsia="zh-CN"/>
                    </w:rPr>
                    <w:t>生产</w:t>
                  </w:r>
                  <w:r>
                    <w:rPr>
                      <w:rFonts w:hint="default"/>
                      <w:color w:val="auto"/>
                      <w:highlight w:val="none"/>
                      <w:lang w:val="en-US" w:eastAsia="zh-CN"/>
                    </w:rPr>
                    <w:t>；禁止其他破坏湿地及其生态功能的活动。</w:t>
                  </w:r>
                  <w:bookmarkEnd w:id="178"/>
                  <w:bookmarkEnd w:id="179"/>
                </w:p>
              </w:tc>
              <w:tc>
                <w:tcPr>
                  <w:tcW w:w="1744" w:type="dxa"/>
                  <w:tcBorders>
                    <w:tl2br w:val="nil"/>
                    <w:tr2bl w:val="nil"/>
                  </w:tcBorders>
                  <w:vAlign w:val="center"/>
                </w:tcPr>
                <w:p>
                  <w:pPr>
                    <w:pStyle w:val="34"/>
                    <w:bidi w:val="0"/>
                    <w:rPr>
                      <w:rFonts w:hint="default"/>
                      <w:color w:val="auto"/>
                      <w:highlight w:val="none"/>
                      <w:lang w:val="en-US" w:eastAsia="zh-CN"/>
                    </w:rPr>
                  </w:pPr>
                  <w:bookmarkStart w:id="180" w:name="_Toc20108"/>
                  <w:bookmarkStart w:id="181" w:name="_Toc11102"/>
                  <w:r>
                    <w:rPr>
                      <w:rFonts w:hint="default"/>
                      <w:color w:val="auto"/>
                      <w:highlight w:val="none"/>
                      <w:lang w:val="en-US" w:eastAsia="zh-CN"/>
                    </w:rPr>
                    <w:t>本项目位于云南易门产业园区大椿树片区</w:t>
                  </w:r>
                  <w:r>
                    <w:rPr>
                      <w:rFonts w:hint="eastAsia"/>
                      <w:color w:val="auto"/>
                      <w:highlight w:val="none"/>
                      <w:lang w:val="en-US" w:eastAsia="zh-CN"/>
                    </w:rPr>
                    <w:t>，</w:t>
                  </w:r>
                  <w:r>
                    <w:rPr>
                      <w:rFonts w:hint="default"/>
                      <w:color w:val="auto"/>
                      <w:highlight w:val="none"/>
                      <w:lang w:val="en-US" w:eastAsia="zh-CN"/>
                    </w:rPr>
                    <w:t>不涉及水产种质资源保护区，不涉及国家湿地公园。</w:t>
                  </w:r>
                  <w:bookmarkEnd w:id="180"/>
                  <w:bookmarkEnd w:id="181"/>
                </w:p>
              </w:tc>
              <w:tc>
                <w:tcPr>
                  <w:tcW w:w="580" w:type="dxa"/>
                  <w:tcBorders>
                    <w:tl2br w:val="nil"/>
                    <w:tr2bl w:val="nil"/>
                  </w:tcBorders>
                  <w:vAlign w:val="center"/>
                </w:tcPr>
                <w:p>
                  <w:pPr>
                    <w:pStyle w:val="34"/>
                    <w:bidi w:val="0"/>
                    <w:rPr>
                      <w:rFonts w:hint="default"/>
                      <w:color w:val="auto"/>
                      <w:highlight w:val="none"/>
                      <w:lang w:val="en-US" w:eastAsia="zh-CN"/>
                    </w:rPr>
                  </w:pPr>
                  <w:bookmarkStart w:id="182" w:name="_Toc405"/>
                  <w:bookmarkStart w:id="183" w:name="_Toc32640"/>
                  <w:r>
                    <w:rPr>
                      <w:rFonts w:hint="default"/>
                      <w:color w:val="auto"/>
                      <w:highlight w:val="none"/>
                      <w:lang w:val="en-US" w:eastAsia="zh-CN"/>
                    </w:rPr>
                    <w:t>符合</w:t>
                  </w:r>
                  <w:bookmarkEnd w:id="182"/>
                  <w:bookmarkEnd w:id="183"/>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tcBorders>
                    <w:tl2br w:val="nil"/>
                    <w:tr2bl w:val="nil"/>
                  </w:tcBorders>
                  <w:vAlign w:val="center"/>
                </w:tcPr>
                <w:p>
                  <w:pPr>
                    <w:pStyle w:val="34"/>
                    <w:bidi w:val="0"/>
                    <w:rPr>
                      <w:rFonts w:hint="default"/>
                      <w:color w:val="auto"/>
                      <w:highlight w:val="none"/>
                      <w:lang w:val="en-US" w:eastAsia="zh-CN"/>
                    </w:rPr>
                  </w:pPr>
                  <w:bookmarkStart w:id="184" w:name="_Toc29004"/>
                  <w:bookmarkStart w:id="185" w:name="_Toc12154"/>
                  <w:r>
                    <w:rPr>
                      <w:rFonts w:hint="default"/>
                      <w:color w:val="auto"/>
                      <w:highlight w:val="none"/>
                      <w:lang w:val="en-US" w:eastAsia="zh-CN"/>
                    </w:rPr>
                    <w:t>9</w:t>
                  </w:r>
                  <w:bookmarkEnd w:id="184"/>
                  <w:bookmarkEnd w:id="185"/>
                </w:p>
              </w:tc>
              <w:tc>
                <w:tcPr>
                  <w:tcW w:w="922" w:type="dxa"/>
                  <w:vMerge w:val="restart"/>
                  <w:tcBorders>
                    <w:tl2br w:val="nil"/>
                    <w:tr2bl w:val="nil"/>
                  </w:tcBorders>
                  <w:vAlign w:val="center"/>
                </w:tcPr>
                <w:p>
                  <w:pPr>
                    <w:pStyle w:val="34"/>
                    <w:bidi w:val="0"/>
                    <w:rPr>
                      <w:rFonts w:hint="default"/>
                      <w:color w:val="auto"/>
                      <w:highlight w:val="none"/>
                      <w:lang w:val="en-US" w:eastAsia="zh-CN"/>
                    </w:rPr>
                  </w:pPr>
                  <w:bookmarkStart w:id="186" w:name="_Toc32098"/>
                  <w:bookmarkStart w:id="187" w:name="_Toc28507"/>
                  <w:r>
                    <w:rPr>
                      <w:rFonts w:hint="default"/>
                      <w:color w:val="auto"/>
                      <w:highlight w:val="none"/>
                      <w:lang w:val="en-US" w:eastAsia="zh-CN"/>
                    </w:rPr>
                    <w:t>工业</w:t>
                  </w:r>
                  <w:bookmarkEnd w:id="186"/>
                  <w:bookmarkEnd w:id="187"/>
                </w:p>
                <w:p>
                  <w:pPr>
                    <w:pStyle w:val="34"/>
                    <w:bidi w:val="0"/>
                    <w:rPr>
                      <w:rFonts w:hint="default"/>
                      <w:color w:val="auto"/>
                      <w:highlight w:val="none"/>
                      <w:lang w:val="en-US" w:eastAsia="zh-CN"/>
                    </w:rPr>
                  </w:pPr>
                  <w:bookmarkStart w:id="188" w:name="_Toc4439"/>
                  <w:bookmarkStart w:id="189" w:name="_Toc5765"/>
                  <w:r>
                    <w:rPr>
                      <w:rFonts w:hint="default"/>
                      <w:color w:val="auto"/>
                      <w:highlight w:val="none"/>
                      <w:lang w:val="en-US" w:eastAsia="zh-CN"/>
                    </w:rPr>
                    <w:t>布局</w:t>
                  </w:r>
                  <w:bookmarkEnd w:id="188"/>
                  <w:bookmarkEnd w:id="189"/>
                </w:p>
              </w:tc>
              <w:tc>
                <w:tcPr>
                  <w:tcW w:w="3396" w:type="dxa"/>
                  <w:tcBorders>
                    <w:tl2br w:val="nil"/>
                    <w:tr2bl w:val="nil"/>
                  </w:tcBorders>
                  <w:vAlign w:val="center"/>
                </w:tcPr>
                <w:p>
                  <w:pPr>
                    <w:pStyle w:val="34"/>
                    <w:bidi w:val="0"/>
                    <w:rPr>
                      <w:rFonts w:hint="default"/>
                      <w:color w:val="auto"/>
                      <w:highlight w:val="none"/>
                      <w:lang w:val="en-US" w:eastAsia="zh-CN"/>
                    </w:rPr>
                  </w:pPr>
                  <w:bookmarkStart w:id="190" w:name="_Toc3872"/>
                  <w:bookmarkStart w:id="191" w:name="_Toc10741"/>
                  <w:r>
                    <w:rPr>
                      <w:rFonts w:hint="default"/>
                      <w:color w:val="auto"/>
                      <w:highlight w:val="none"/>
                      <w:lang w:val="en-US" w:eastAsia="zh-CN"/>
                    </w:rPr>
                    <w:t>禁止在金沙江、长江一级支流岸线边界1 公里范围内新建、扩建化工园区和化工项目。新建化工园区充分留足与周边城镇未来 扩张发展的安全距离，立足于生态工业园区建设方向，推广绿色化学和绿色化工发展模式。化工园区设立及园区产业发展规划由省级业务主管部门牵头组织专家论证后审定。</w:t>
                  </w:r>
                  <w:bookmarkEnd w:id="190"/>
                  <w:bookmarkEnd w:id="191"/>
                </w:p>
              </w:tc>
              <w:tc>
                <w:tcPr>
                  <w:tcW w:w="1744" w:type="dxa"/>
                  <w:tcBorders>
                    <w:tl2br w:val="nil"/>
                    <w:tr2bl w:val="nil"/>
                  </w:tcBorders>
                  <w:vAlign w:val="center"/>
                </w:tcPr>
                <w:p>
                  <w:pPr>
                    <w:pStyle w:val="34"/>
                    <w:bidi w:val="0"/>
                    <w:rPr>
                      <w:rFonts w:hint="default"/>
                      <w:color w:val="auto"/>
                      <w:highlight w:val="none"/>
                      <w:lang w:val="en-US" w:eastAsia="zh-CN"/>
                    </w:rPr>
                  </w:pPr>
                  <w:bookmarkStart w:id="192" w:name="_Toc4282"/>
                  <w:bookmarkStart w:id="193" w:name="_Toc19982"/>
                  <w:r>
                    <w:rPr>
                      <w:rFonts w:hint="default"/>
                      <w:color w:val="auto"/>
                      <w:highlight w:val="none"/>
                      <w:lang w:val="en-US" w:eastAsia="zh-CN"/>
                    </w:rPr>
                    <w:t>本项目位于云南易门产业园区大椿树片区</w:t>
                  </w:r>
                  <w:r>
                    <w:rPr>
                      <w:rFonts w:hint="eastAsia"/>
                      <w:color w:val="auto"/>
                      <w:highlight w:val="none"/>
                      <w:lang w:val="en-US" w:eastAsia="zh-CN"/>
                    </w:rPr>
                    <w:t>，不在</w:t>
                  </w:r>
                  <w:r>
                    <w:rPr>
                      <w:rFonts w:hint="default"/>
                      <w:color w:val="auto"/>
                      <w:highlight w:val="none"/>
                      <w:lang w:val="en-US" w:eastAsia="zh-CN"/>
                    </w:rPr>
                    <w:t>金沙江、长江一级支流</w:t>
                  </w:r>
                  <w:r>
                    <w:rPr>
                      <w:rFonts w:hint="eastAsia"/>
                      <w:color w:val="auto"/>
                      <w:highlight w:val="none"/>
                      <w:lang w:val="en-US" w:eastAsia="zh-CN"/>
                    </w:rPr>
                    <w:t>岸线范围内，且项目为</w:t>
                  </w:r>
                  <w:r>
                    <w:rPr>
                      <w:rFonts w:hint="default"/>
                      <w:color w:val="auto"/>
                      <w:highlight w:val="none"/>
                      <w:lang w:val="en-US" w:eastAsia="zh-CN"/>
                    </w:rPr>
                    <w:t>制氧系统技术改造节能项目，属于易门铜业有限公司铜冶炼配套公用工程，不属于化工园区和化工项目范畴。</w:t>
                  </w:r>
                  <w:bookmarkEnd w:id="192"/>
                  <w:bookmarkEnd w:id="193"/>
                </w:p>
              </w:tc>
              <w:tc>
                <w:tcPr>
                  <w:tcW w:w="580" w:type="dxa"/>
                  <w:tcBorders>
                    <w:tl2br w:val="nil"/>
                    <w:tr2bl w:val="nil"/>
                  </w:tcBorders>
                  <w:vAlign w:val="center"/>
                </w:tcPr>
                <w:p>
                  <w:pPr>
                    <w:pStyle w:val="34"/>
                    <w:bidi w:val="0"/>
                    <w:rPr>
                      <w:rFonts w:hint="default"/>
                      <w:color w:val="auto"/>
                      <w:highlight w:val="none"/>
                      <w:lang w:val="en-US" w:eastAsia="zh-CN"/>
                    </w:rPr>
                  </w:pPr>
                  <w:bookmarkStart w:id="194" w:name="_Toc6900"/>
                  <w:bookmarkStart w:id="195" w:name="_Toc25407"/>
                  <w:r>
                    <w:rPr>
                      <w:rFonts w:hint="default"/>
                      <w:color w:val="auto"/>
                      <w:highlight w:val="none"/>
                      <w:lang w:val="en-US" w:eastAsia="zh-CN"/>
                    </w:rPr>
                    <w:t>符合</w:t>
                  </w:r>
                  <w:bookmarkEnd w:id="194"/>
                  <w:bookmarkEnd w:id="195"/>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tcBorders>
                    <w:tl2br w:val="nil"/>
                    <w:tr2bl w:val="nil"/>
                  </w:tcBorders>
                  <w:vAlign w:val="center"/>
                </w:tcPr>
                <w:p>
                  <w:pPr>
                    <w:pStyle w:val="34"/>
                    <w:bidi w:val="0"/>
                    <w:rPr>
                      <w:rFonts w:hint="default"/>
                      <w:color w:val="auto"/>
                      <w:highlight w:val="none"/>
                      <w:lang w:val="en-US" w:eastAsia="zh-CN"/>
                    </w:rPr>
                  </w:pPr>
                  <w:bookmarkStart w:id="196" w:name="_Toc19295"/>
                  <w:bookmarkStart w:id="197" w:name="_Toc19751"/>
                  <w:r>
                    <w:rPr>
                      <w:rFonts w:hint="default"/>
                      <w:color w:val="auto"/>
                      <w:highlight w:val="none"/>
                      <w:lang w:val="en-US" w:eastAsia="zh-CN"/>
                    </w:rPr>
                    <w:t>10</w:t>
                  </w:r>
                  <w:bookmarkEnd w:id="196"/>
                  <w:bookmarkEnd w:id="197"/>
                </w:p>
              </w:tc>
              <w:tc>
                <w:tcPr>
                  <w:tcW w:w="922" w:type="dxa"/>
                  <w:vMerge w:val="continue"/>
                  <w:tcBorders>
                    <w:tl2br w:val="nil"/>
                    <w:tr2bl w:val="nil"/>
                  </w:tcBorders>
                  <w:vAlign w:val="center"/>
                </w:tcPr>
                <w:p>
                  <w:pPr>
                    <w:pStyle w:val="34"/>
                    <w:bidi w:val="0"/>
                    <w:rPr>
                      <w:rFonts w:hint="default"/>
                      <w:color w:val="auto"/>
                      <w:highlight w:val="none"/>
                      <w:lang w:val="en-US" w:eastAsia="zh-CN"/>
                    </w:rPr>
                  </w:pPr>
                </w:p>
              </w:tc>
              <w:tc>
                <w:tcPr>
                  <w:tcW w:w="3396" w:type="dxa"/>
                  <w:tcBorders>
                    <w:tl2br w:val="nil"/>
                    <w:tr2bl w:val="nil"/>
                  </w:tcBorders>
                  <w:vAlign w:val="center"/>
                </w:tcPr>
                <w:p>
                  <w:pPr>
                    <w:pStyle w:val="34"/>
                    <w:bidi w:val="0"/>
                    <w:rPr>
                      <w:rFonts w:hint="default"/>
                      <w:color w:val="auto"/>
                      <w:highlight w:val="none"/>
                      <w:lang w:val="en-US" w:eastAsia="zh-CN"/>
                    </w:rPr>
                  </w:pPr>
                  <w:bookmarkStart w:id="198" w:name="_Toc29881"/>
                  <w:bookmarkStart w:id="199" w:name="_Toc27832"/>
                  <w:r>
                    <w:rPr>
                      <w:rFonts w:hint="default"/>
                      <w:color w:val="auto"/>
                      <w:highlight w:val="none"/>
                      <w:lang w:val="en-US" w:eastAsia="zh-CN"/>
                    </w:rPr>
                    <w:t>禁止新建不符合非煤矿山转型升级有关准入标准的非煤矿山。 禁止在金沙江岸线3公里、长江一级支流岸线1公里范围内新建、改建、扩建尾矿库。</w:t>
                  </w:r>
                  <w:bookmarkEnd w:id="198"/>
                  <w:bookmarkEnd w:id="199"/>
                </w:p>
              </w:tc>
              <w:tc>
                <w:tcPr>
                  <w:tcW w:w="1744" w:type="dxa"/>
                  <w:tcBorders>
                    <w:tl2br w:val="nil"/>
                    <w:tr2bl w:val="nil"/>
                  </w:tcBorders>
                  <w:vAlign w:val="center"/>
                </w:tcPr>
                <w:p>
                  <w:pPr>
                    <w:pStyle w:val="34"/>
                    <w:bidi w:val="0"/>
                    <w:rPr>
                      <w:rFonts w:hint="default"/>
                      <w:color w:val="auto"/>
                      <w:highlight w:val="none"/>
                      <w:lang w:val="en-US" w:eastAsia="zh-CN"/>
                    </w:rPr>
                  </w:pPr>
                  <w:bookmarkStart w:id="200" w:name="_Toc28942"/>
                  <w:bookmarkStart w:id="201" w:name="_Toc18707"/>
                  <w:r>
                    <w:rPr>
                      <w:rFonts w:hint="default"/>
                      <w:color w:val="auto"/>
                      <w:highlight w:val="none"/>
                      <w:lang w:val="en-US" w:eastAsia="zh-CN"/>
                    </w:rPr>
                    <w:t>本项目为制氧系统技术改造节能项目，属于易门铜业有限公司铜冶炼配套公用工程，不涉及非煤矿山及尾矿库建设。</w:t>
                  </w:r>
                  <w:bookmarkEnd w:id="200"/>
                  <w:bookmarkEnd w:id="201"/>
                </w:p>
              </w:tc>
              <w:tc>
                <w:tcPr>
                  <w:tcW w:w="580" w:type="dxa"/>
                  <w:tcBorders>
                    <w:tl2br w:val="nil"/>
                    <w:tr2bl w:val="nil"/>
                  </w:tcBorders>
                  <w:vAlign w:val="center"/>
                </w:tcPr>
                <w:p>
                  <w:pPr>
                    <w:pStyle w:val="34"/>
                    <w:bidi w:val="0"/>
                    <w:rPr>
                      <w:rFonts w:hint="default"/>
                      <w:color w:val="auto"/>
                      <w:highlight w:val="none"/>
                      <w:lang w:val="en-US" w:eastAsia="zh-CN"/>
                    </w:rPr>
                  </w:pPr>
                  <w:bookmarkStart w:id="202" w:name="_Toc31259"/>
                  <w:bookmarkStart w:id="203" w:name="_Toc10813"/>
                  <w:r>
                    <w:rPr>
                      <w:rFonts w:hint="default"/>
                      <w:color w:val="auto"/>
                      <w:highlight w:val="none"/>
                      <w:lang w:val="en-US" w:eastAsia="zh-CN"/>
                    </w:rPr>
                    <w:t>符合</w:t>
                  </w:r>
                  <w:bookmarkEnd w:id="202"/>
                  <w:bookmarkEnd w:id="203"/>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tcBorders>
                    <w:tl2br w:val="nil"/>
                    <w:tr2bl w:val="nil"/>
                  </w:tcBorders>
                  <w:vAlign w:val="center"/>
                </w:tcPr>
                <w:p>
                  <w:pPr>
                    <w:pStyle w:val="34"/>
                    <w:bidi w:val="0"/>
                    <w:rPr>
                      <w:rFonts w:hint="default"/>
                      <w:color w:val="auto"/>
                      <w:highlight w:val="none"/>
                      <w:lang w:val="en-US" w:eastAsia="zh-CN"/>
                    </w:rPr>
                  </w:pPr>
                  <w:bookmarkStart w:id="204" w:name="_Toc15808"/>
                  <w:bookmarkStart w:id="205" w:name="_Toc8001"/>
                  <w:r>
                    <w:rPr>
                      <w:rFonts w:hint="default"/>
                      <w:color w:val="auto"/>
                      <w:highlight w:val="none"/>
                      <w:lang w:val="en-US" w:eastAsia="zh-CN"/>
                    </w:rPr>
                    <w:t>11</w:t>
                  </w:r>
                  <w:bookmarkEnd w:id="204"/>
                  <w:bookmarkEnd w:id="205"/>
                </w:p>
              </w:tc>
              <w:tc>
                <w:tcPr>
                  <w:tcW w:w="922" w:type="dxa"/>
                  <w:vMerge w:val="continue"/>
                  <w:tcBorders>
                    <w:tl2br w:val="nil"/>
                    <w:tr2bl w:val="nil"/>
                  </w:tcBorders>
                  <w:vAlign w:val="center"/>
                </w:tcPr>
                <w:p>
                  <w:pPr>
                    <w:pStyle w:val="34"/>
                    <w:bidi w:val="0"/>
                    <w:rPr>
                      <w:rFonts w:hint="default"/>
                      <w:color w:val="auto"/>
                      <w:highlight w:val="none"/>
                      <w:lang w:val="en-US" w:eastAsia="zh-CN"/>
                    </w:rPr>
                  </w:pPr>
                </w:p>
              </w:tc>
              <w:tc>
                <w:tcPr>
                  <w:tcW w:w="3396" w:type="dxa"/>
                  <w:tcBorders>
                    <w:tl2br w:val="nil"/>
                    <w:tr2bl w:val="nil"/>
                  </w:tcBorders>
                  <w:vAlign w:val="center"/>
                </w:tcPr>
                <w:p>
                  <w:pPr>
                    <w:pStyle w:val="34"/>
                    <w:bidi w:val="0"/>
                    <w:rPr>
                      <w:rFonts w:hint="default"/>
                      <w:color w:val="auto"/>
                      <w:highlight w:val="none"/>
                      <w:lang w:val="en-US" w:eastAsia="zh-CN"/>
                    </w:rPr>
                  </w:pPr>
                  <w:bookmarkStart w:id="206" w:name="_Toc20773"/>
                  <w:bookmarkStart w:id="207" w:name="_Toc32667"/>
                  <w:r>
                    <w:rPr>
                      <w:rFonts w:hint="default"/>
                      <w:color w:val="auto"/>
                      <w:highlight w:val="none"/>
                      <w:lang w:val="en-US" w:eastAsia="zh-CN"/>
                    </w:rPr>
                    <w:t>禁止在合规园区外新建、扩建钢铁、石化、化工、焦化、建材、有色等高污染项目。禁止新建钢铁、水泥、平板玻璃等行业建设产能，确有必要建设的，应按规定实施产能等量或减量置换。</w:t>
                  </w:r>
                  <w:bookmarkEnd w:id="206"/>
                  <w:bookmarkEnd w:id="207"/>
                </w:p>
              </w:tc>
              <w:tc>
                <w:tcPr>
                  <w:tcW w:w="1744" w:type="dxa"/>
                  <w:tcBorders>
                    <w:tl2br w:val="nil"/>
                    <w:tr2bl w:val="nil"/>
                  </w:tcBorders>
                  <w:vAlign w:val="center"/>
                </w:tcPr>
                <w:p>
                  <w:pPr>
                    <w:pStyle w:val="34"/>
                    <w:bidi w:val="0"/>
                    <w:rPr>
                      <w:rFonts w:hint="default"/>
                      <w:color w:val="auto"/>
                      <w:highlight w:val="none"/>
                      <w:lang w:val="en-US" w:eastAsia="zh-CN"/>
                    </w:rPr>
                  </w:pPr>
                  <w:bookmarkStart w:id="208" w:name="_Toc32029"/>
                  <w:bookmarkStart w:id="209" w:name="_Toc5207"/>
                  <w:r>
                    <w:rPr>
                      <w:rFonts w:hint="default"/>
                      <w:color w:val="auto"/>
                      <w:highlight w:val="none"/>
                      <w:lang w:val="en-US" w:eastAsia="zh-CN"/>
                    </w:rPr>
                    <w:t>本项目为制氧系统技术改造节能项目，属于易门铜业有限公司铜冶炼配套公用工程，不涉及</w:t>
                  </w:r>
                  <w:r>
                    <w:rPr>
                      <w:rFonts w:hint="eastAsia"/>
                      <w:color w:val="auto"/>
                      <w:highlight w:val="none"/>
                      <w:lang w:val="en-US" w:eastAsia="zh-CN"/>
                    </w:rPr>
                    <w:t>上述</w:t>
                  </w:r>
                  <w:r>
                    <w:rPr>
                      <w:rFonts w:hint="default"/>
                      <w:color w:val="auto"/>
                      <w:highlight w:val="none"/>
                      <w:lang w:val="en-US" w:eastAsia="zh-CN"/>
                    </w:rPr>
                    <w:t>禁止类项目。</w:t>
                  </w:r>
                  <w:bookmarkEnd w:id="208"/>
                  <w:bookmarkEnd w:id="209"/>
                </w:p>
              </w:tc>
              <w:tc>
                <w:tcPr>
                  <w:tcW w:w="580" w:type="dxa"/>
                  <w:tcBorders>
                    <w:tl2br w:val="nil"/>
                    <w:tr2bl w:val="nil"/>
                  </w:tcBorders>
                  <w:vAlign w:val="center"/>
                </w:tcPr>
                <w:p>
                  <w:pPr>
                    <w:pStyle w:val="34"/>
                    <w:bidi w:val="0"/>
                    <w:rPr>
                      <w:rFonts w:hint="default"/>
                      <w:color w:val="auto"/>
                      <w:highlight w:val="none"/>
                      <w:lang w:val="en-US" w:eastAsia="zh-CN"/>
                    </w:rPr>
                  </w:pPr>
                  <w:bookmarkStart w:id="210" w:name="_Toc23826"/>
                  <w:bookmarkStart w:id="211" w:name="_Toc16151"/>
                  <w:r>
                    <w:rPr>
                      <w:rFonts w:hint="default"/>
                      <w:color w:val="auto"/>
                      <w:highlight w:val="none"/>
                      <w:lang w:val="en-US" w:eastAsia="zh-CN"/>
                    </w:rPr>
                    <w:t>符合</w:t>
                  </w:r>
                  <w:bookmarkEnd w:id="210"/>
                  <w:bookmarkEnd w:id="211"/>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tcBorders>
                    <w:tl2br w:val="nil"/>
                    <w:tr2bl w:val="nil"/>
                  </w:tcBorders>
                  <w:vAlign w:val="center"/>
                </w:tcPr>
                <w:p>
                  <w:pPr>
                    <w:pStyle w:val="34"/>
                    <w:bidi w:val="0"/>
                    <w:rPr>
                      <w:rFonts w:hint="default"/>
                      <w:color w:val="auto"/>
                      <w:highlight w:val="none"/>
                      <w:lang w:val="en-US" w:eastAsia="zh-CN"/>
                    </w:rPr>
                  </w:pPr>
                  <w:bookmarkStart w:id="212" w:name="_Toc18198"/>
                  <w:bookmarkStart w:id="213" w:name="_Toc27806"/>
                  <w:r>
                    <w:rPr>
                      <w:rFonts w:hint="default"/>
                      <w:color w:val="auto"/>
                      <w:highlight w:val="none"/>
                      <w:lang w:val="en-US" w:eastAsia="zh-CN"/>
                    </w:rPr>
                    <w:t>12</w:t>
                  </w:r>
                  <w:bookmarkEnd w:id="212"/>
                  <w:bookmarkEnd w:id="213"/>
                </w:p>
              </w:tc>
              <w:tc>
                <w:tcPr>
                  <w:tcW w:w="922" w:type="dxa"/>
                  <w:vMerge w:val="continue"/>
                  <w:tcBorders>
                    <w:tl2br w:val="nil"/>
                    <w:tr2bl w:val="nil"/>
                  </w:tcBorders>
                  <w:vAlign w:val="center"/>
                </w:tcPr>
                <w:p>
                  <w:pPr>
                    <w:pStyle w:val="34"/>
                    <w:bidi w:val="0"/>
                    <w:rPr>
                      <w:rFonts w:hint="default"/>
                      <w:color w:val="auto"/>
                      <w:highlight w:val="none"/>
                      <w:lang w:val="en-US" w:eastAsia="zh-CN"/>
                    </w:rPr>
                  </w:pPr>
                </w:p>
              </w:tc>
              <w:tc>
                <w:tcPr>
                  <w:tcW w:w="3396" w:type="dxa"/>
                  <w:tcBorders>
                    <w:tl2br w:val="nil"/>
                    <w:tr2bl w:val="nil"/>
                  </w:tcBorders>
                  <w:vAlign w:val="center"/>
                </w:tcPr>
                <w:p>
                  <w:pPr>
                    <w:pStyle w:val="34"/>
                    <w:bidi w:val="0"/>
                    <w:rPr>
                      <w:rFonts w:hint="default"/>
                      <w:color w:val="auto"/>
                      <w:highlight w:val="none"/>
                      <w:lang w:val="en-US" w:eastAsia="zh-CN"/>
                    </w:rPr>
                  </w:pPr>
                  <w:bookmarkStart w:id="214" w:name="_Toc24238"/>
                  <w:bookmarkStart w:id="215" w:name="_Toc3327"/>
                  <w:r>
                    <w:rPr>
                      <w:rFonts w:hint="default"/>
                      <w:color w:val="auto"/>
                      <w:highlight w:val="none"/>
                      <w:lang w:val="en-US" w:eastAsia="zh-CN"/>
                    </w:rPr>
                    <w:t>禁止新建、扩建不符合国家石化、现代煤化等产业布局规划的项目。</w:t>
                  </w:r>
                  <w:bookmarkEnd w:id="214"/>
                  <w:bookmarkEnd w:id="215"/>
                </w:p>
              </w:tc>
              <w:tc>
                <w:tcPr>
                  <w:tcW w:w="1744" w:type="dxa"/>
                  <w:tcBorders>
                    <w:tl2br w:val="nil"/>
                    <w:tr2bl w:val="nil"/>
                  </w:tcBorders>
                  <w:vAlign w:val="center"/>
                </w:tcPr>
                <w:p>
                  <w:pPr>
                    <w:pStyle w:val="34"/>
                    <w:bidi w:val="0"/>
                    <w:rPr>
                      <w:rFonts w:hint="default"/>
                      <w:color w:val="auto"/>
                      <w:highlight w:val="none"/>
                      <w:lang w:val="en-US" w:eastAsia="zh-CN"/>
                    </w:rPr>
                  </w:pPr>
                  <w:bookmarkStart w:id="216" w:name="_Toc19604"/>
                  <w:bookmarkStart w:id="217" w:name="_Toc2692"/>
                  <w:r>
                    <w:rPr>
                      <w:rFonts w:hint="default"/>
                      <w:color w:val="auto"/>
                      <w:highlight w:val="none"/>
                      <w:lang w:val="en-US" w:eastAsia="zh-CN"/>
                    </w:rPr>
                    <w:t>本项目</w:t>
                  </w:r>
                  <w:r>
                    <w:rPr>
                      <w:rFonts w:hint="eastAsia"/>
                      <w:color w:val="auto"/>
                      <w:highlight w:val="none"/>
                      <w:lang w:val="en-US" w:eastAsia="zh-CN"/>
                    </w:rPr>
                    <w:t>为</w:t>
                  </w:r>
                  <w:r>
                    <w:rPr>
                      <w:rFonts w:hint="default"/>
                      <w:color w:val="auto"/>
                      <w:highlight w:val="none"/>
                      <w:lang w:val="en-US" w:eastAsia="zh-CN"/>
                    </w:rPr>
                    <w:t>制氧系统技术改造节能项目，属于易门铜业有限公司铜冶炼配套公用工程，不涉及石化、现代煤化工行业范畴。</w:t>
                  </w:r>
                  <w:bookmarkEnd w:id="216"/>
                  <w:bookmarkEnd w:id="217"/>
                </w:p>
              </w:tc>
              <w:tc>
                <w:tcPr>
                  <w:tcW w:w="580" w:type="dxa"/>
                  <w:tcBorders>
                    <w:tl2br w:val="nil"/>
                    <w:tr2bl w:val="nil"/>
                  </w:tcBorders>
                  <w:vAlign w:val="center"/>
                </w:tcPr>
                <w:p>
                  <w:pPr>
                    <w:pStyle w:val="34"/>
                    <w:bidi w:val="0"/>
                    <w:rPr>
                      <w:rFonts w:hint="default"/>
                      <w:color w:val="auto"/>
                      <w:highlight w:val="none"/>
                      <w:lang w:val="en-US" w:eastAsia="zh-CN"/>
                    </w:rPr>
                  </w:pPr>
                  <w:bookmarkStart w:id="218" w:name="_Toc1043"/>
                  <w:bookmarkStart w:id="219" w:name="_Toc10598"/>
                  <w:r>
                    <w:rPr>
                      <w:rFonts w:hint="default"/>
                      <w:color w:val="auto"/>
                      <w:highlight w:val="none"/>
                      <w:lang w:val="en-US" w:eastAsia="zh-CN"/>
                    </w:rPr>
                    <w:t>符合</w:t>
                  </w:r>
                  <w:bookmarkEnd w:id="218"/>
                  <w:bookmarkEnd w:id="219"/>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tcBorders>
                    <w:tl2br w:val="nil"/>
                    <w:tr2bl w:val="nil"/>
                  </w:tcBorders>
                  <w:vAlign w:val="center"/>
                </w:tcPr>
                <w:p>
                  <w:pPr>
                    <w:pStyle w:val="34"/>
                    <w:bidi w:val="0"/>
                    <w:rPr>
                      <w:rFonts w:hint="default"/>
                      <w:color w:val="auto"/>
                      <w:highlight w:val="none"/>
                      <w:lang w:val="en-US" w:eastAsia="zh-CN"/>
                    </w:rPr>
                  </w:pPr>
                  <w:bookmarkStart w:id="220" w:name="_Toc14044"/>
                  <w:bookmarkStart w:id="221" w:name="_Toc12720"/>
                  <w:r>
                    <w:rPr>
                      <w:rFonts w:hint="default"/>
                      <w:color w:val="auto"/>
                      <w:highlight w:val="none"/>
                      <w:lang w:val="en-US" w:eastAsia="zh-CN"/>
                    </w:rPr>
                    <w:t>13</w:t>
                  </w:r>
                  <w:bookmarkEnd w:id="220"/>
                  <w:bookmarkEnd w:id="221"/>
                </w:p>
              </w:tc>
              <w:tc>
                <w:tcPr>
                  <w:tcW w:w="922" w:type="dxa"/>
                  <w:vMerge w:val="continue"/>
                  <w:tcBorders>
                    <w:tl2br w:val="nil"/>
                    <w:tr2bl w:val="nil"/>
                  </w:tcBorders>
                  <w:vAlign w:val="center"/>
                </w:tcPr>
                <w:p>
                  <w:pPr>
                    <w:pStyle w:val="34"/>
                    <w:bidi w:val="0"/>
                    <w:rPr>
                      <w:rFonts w:hint="default"/>
                      <w:color w:val="auto"/>
                      <w:highlight w:val="none"/>
                      <w:lang w:val="en-US" w:eastAsia="zh-CN"/>
                    </w:rPr>
                  </w:pPr>
                </w:p>
              </w:tc>
              <w:tc>
                <w:tcPr>
                  <w:tcW w:w="3396" w:type="dxa"/>
                  <w:tcBorders>
                    <w:tl2br w:val="nil"/>
                    <w:tr2bl w:val="nil"/>
                  </w:tcBorders>
                  <w:vAlign w:val="center"/>
                </w:tcPr>
                <w:p>
                  <w:pPr>
                    <w:pStyle w:val="34"/>
                    <w:bidi w:val="0"/>
                    <w:rPr>
                      <w:rFonts w:hint="default"/>
                      <w:color w:val="auto"/>
                      <w:highlight w:val="none"/>
                      <w:lang w:val="en-US" w:eastAsia="zh-CN"/>
                    </w:rPr>
                  </w:pPr>
                  <w:bookmarkStart w:id="222" w:name="_Toc32471"/>
                  <w:bookmarkStart w:id="223" w:name="_Toc25981"/>
                  <w:r>
                    <w:rPr>
                      <w:rFonts w:hint="default"/>
                      <w:color w:val="auto"/>
                      <w:highlight w:val="none"/>
                      <w:lang w:val="en-US" w:eastAsia="zh-CN"/>
                    </w:rPr>
                    <w:t>禁止新建、扩建法律法规和相关政策明令禁止的落后产能项目，依法依规淘汰不符合要求的电石炉及开放式电石炉、无化产回收的单一炼焦生产设施，依法依规淘汰不符合要求的硫铁矿制酸、硫磺制酸、黄磷生产、有钙焙烧铬化合物生产装置和有机—无机复混肥料、过磷酸钙和钙镁磷肥生产线。</w:t>
                  </w:r>
                  <w:bookmarkEnd w:id="222"/>
                  <w:bookmarkEnd w:id="223"/>
                </w:p>
              </w:tc>
              <w:tc>
                <w:tcPr>
                  <w:tcW w:w="1744" w:type="dxa"/>
                  <w:tcBorders>
                    <w:tl2br w:val="nil"/>
                    <w:tr2bl w:val="nil"/>
                  </w:tcBorders>
                  <w:vAlign w:val="center"/>
                </w:tcPr>
                <w:p>
                  <w:pPr>
                    <w:pStyle w:val="34"/>
                    <w:bidi w:val="0"/>
                    <w:rPr>
                      <w:rFonts w:hint="default"/>
                      <w:color w:val="auto"/>
                      <w:highlight w:val="none"/>
                      <w:lang w:val="en-US" w:eastAsia="zh-CN"/>
                    </w:rPr>
                  </w:pPr>
                  <w:bookmarkStart w:id="224" w:name="_Toc10587"/>
                  <w:bookmarkStart w:id="225" w:name="_Toc2496"/>
                  <w:r>
                    <w:rPr>
                      <w:rFonts w:hint="default"/>
                      <w:color w:val="auto"/>
                      <w:highlight w:val="none"/>
                      <w:lang w:val="en-US" w:eastAsia="zh-CN"/>
                    </w:rPr>
                    <w:t>本项目</w:t>
                  </w:r>
                  <w:r>
                    <w:rPr>
                      <w:rFonts w:hint="eastAsia"/>
                      <w:color w:val="auto"/>
                      <w:highlight w:val="none"/>
                      <w:lang w:val="en-US" w:eastAsia="zh-CN"/>
                    </w:rPr>
                    <w:t>为</w:t>
                  </w:r>
                  <w:r>
                    <w:rPr>
                      <w:rFonts w:hint="default"/>
                      <w:color w:val="auto"/>
                      <w:highlight w:val="none"/>
                      <w:lang w:val="en-US" w:eastAsia="zh-CN"/>
                    </w:rPr>
                    <w:t>制氧系统技术改造节能项目，属于易门铜业有限公司铜冶炼配套公用工程，不属于落后产能项目，不涉及上述不符合要求的生产设施及生产线。</w:t>
                  </w:r>
                  <w:bookmarkEnd w:id="224"/>
                  <w:bookmarkEnd w:id="225"/>
                </w:p>
              </w:tc>
              <w:tc>
                <w:tcPr>
                  <w:tcW w:w="580" w:type="dxa"/>
                  <w:tcBorders>
                    <w:tl2br w:val="nil"/>
                    <w:tr2bl w:val="nil"/>
                  </w:tcBorders>
                  <w:vAlign w:val="center"/>
                </w:tcPr>
                <w:p>
                  <w:pPr>
                    <w:pStyle w:val="34"/>
                    <w:bidi w:val="0"/>
                    <w:rPr>
                      <w:rFonts w:hint="default"/>
                      <w:color w:val="auto"/>
                      <w:highlight w:val="none"/>
                      <w:lang w:val="en-US" w:eastAsia="zh-CN"/>
                    </w:rPr>
                  </w:pPr>
                  <w:bookmarkStart w:id="226" w:name="_Toc25764"/>
                  <w:bookmarkStart w:id="227" w:name="_Toc16480"/>
                  <w:r>
                    <w:rPr>
                      <w:rFonts w:hint="default"/>
                      <w:color w:val="auto"/>
                      <w:highlight w:val="none"/>
                      <w:lang w:val="en-US" w:eastAsia="zh-CN"/>
                    </w:rPr>
                    <w:t>符合</w:t>
                  </w:r>
                  <w:bookmarkEnd w:id="226"/>
                  <w:bookmarkEnd w:id="227"/>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tcBorders>
                    <w:tl2br w:val="nil"/>
                    <w:tr2bl w:val="nil"/>
                  </w:tcBorders>
                  <w:vAlign w:val="center"/>
                </w:tcPr>
                <w:p>
                  <w:pPr>
                    <w:pStyle w:val="34"/>
                    <w:bidi w:val="0"/>
                    <w:rPr>
                      <w:rFonts w:hint="default"/>
                      <w:color w:val="auto"/>
                      <w:highlight w:val="none"/>
                      <w:lang w:val="en-US" w:eastAsia="zh-CN"/>
                    </w:rPr>
                  </w:pPr>
                  <w:bookmarkStart w:id="228" w:name="_Toc4642"/>
                  <w:bookmarkStart w:id="229" w:name="_Toc13454"/>
                  <w:r>
                    <w:rPr>
                      <w:rFonts w:hint="default"/>
                      <w:color w:val="auto"/>
                      <w:highlight w:val="none"/>
                      <w:lang w:val="en-US" w:eastAsia="zh-CN"/>
                    </w:rPr>
                    <w:t>14</w:t>
                  </w:r>
                  <w:bookmarkEnd w:id="228"/>
                  <w:bookmarkEnd w:id="229"/>
                </w:p>
              </w:tc>
              <w:tc>
                <w:tcPr>
                  <w:tcW w:w="922" w:type="dxa"/>
                  <w:vMerge w:val="continue"/>
                  <w:tcBorders>
                    <w:tl2br w:val="nil"/>
                    <w:tr2bl w:val="nil"/>
                  </w:tcBorders>
                  <w:vAlign w:val="center"/>
                </w:tcPr>
                <w:p>
                  <w:pPr>
                    <w:pStyle w:val="34"/>
                    <w:bidi w:val="0"/>
                    <w:rPr>
                      <w:rFonts w:hint="default"/>
                      <w:color w:val="auto"/>
                      <w:highlight w:val="none"/>
                      <w:lang w:val="en-US" w:eastAsia="zh-CN"/>
                    </w:rPr>
                  </w:pPr>
                </w:p>
              </w:tc>
              <w:tc>
                <w:tcPr>
                  <w:tcW w:w="3396" w:type="dxa"/>
                  <w:tcBorders>
                    <w:tl2br w:val="nil"/>
                    <w:tr2bl w:val="nil"/>
                  </w:tcBorders>
                  <w:vAlign w:val="center"/>
                </w:tcPr>
                <w:p>
                  <w:pPr>
                    <w:pStyle w:val="34"/>
                    <w:bidi w:val="0"/>
                    <w:rPr>
                      <w:rFonts w:hint="default"/>
                      <w:color w:val="auto"/>
                      <w:highlight w:val="none"/>
                      <w:lang w:val="en-US" w:eastAsia="zh-CN"/>
                    </w:rPr>
                  </w:pPr>
                  <w:bookmarkStart w:id="230" w:name="_Toc26815"/>
                  <w:bookmarkStart w:id="231" w:name="_Toc23642"/>
                  <w:r>
                    <w:rPr>
                      <w:rFonts w:hint="default"/>
                      <w:color w:val="auto"/>
                      <w:highlight w:val="none"/>
                      <w:lang w:val="en-US" w:eastAsia="zh-CN"/>
                    </w:rPr>
                    <w:t>禁止建设高毒高残留以及对环境影响大的农药、原药生产装置，严格控制尿素、磷铵、电石、焦炭、黄磷、烧碱、纯碱、聚氯乙烯等行业新增产能。</w:t>
                  </w:r>
                  <w:bookmarkEnd w:id="230"/>
                  <w:bookmarkEnd w:id="231"/>
                </w:p>
              </w:tc>
              <w:tc>
                <w:tcPr>
                  <w:tcW w:w="1744" w:type="dxa"/>
                  <w:tcBorders>
                    <w:tl2br w:val="nil"/>
                    <w:tr2bl w:val="nil"/>
                  </w:tcBorders>
                  <w:vAlign w:val="center"/>
                </w:tcPr>
                <w:p>
                  <w:pPr>
                    <w:pStyle w:val="34"/>
                    <w:bidi w:val="0"/>
                    <w:rPr>
                      <w:rFonts w:hint="default"/>
                      <w:color w:val="auto"/>
                      <w:highlight w:val="none"/>
                      <w:lang w:val="en-US" w:eastAsia="zh-CN"/>
                    </w:rPr>
                  </w:pPr>
                  <w:bookmarkStart w:id="232" w:name="_Toc20302"/>
                  <w:bookmarkStart w:id="233" w:name="_Toc29540"/>
                  <w:r>
                    <w:rPr>
                      <w:rFonts w:hint="default"/>
                      <w:color w:val="auto"/>
                      <w:highlight w:val="none"/>
                      <w:lang w:val="en-US" w:eastAsia="zh-CN"/>
                    </w:rPr>
                    <w:t>本项目</w:t>
                  </w:r>
                  <w:r>
                    <w:rPr>
                      <w:rFonts w:hint="eastAsia"/>
                      <w:color w:val="auto"/>
                      <w:highlight w:val="none"/>
                      <w:lang w:val="en-US" w:eastAsia="zh-CN"/>
                    </w:rPr>
                    <w:t>为</w:t>
                  </w:r>
                  <w:r>
                    <w:rPr>
                      <w:rFonts w:hint="default"/>
                      <w:color w:val="auto"/>
                      <w:highlight w:val="none"/>
                      <w:lang w:val="en-US" w:eastAsia="zh-CN"/>
                    </w:rPr>
                    <w:t>制氧系统技术改造节能项目，属于易门铜业有限公司铜冶炼配套公用工程，不属于</w:t>
                  </w:r>
                  <w:r>
                    <w:rPr>
                      <w:rFonts w:hint="eastAsia"/>
                      <w:color w:val="auto"/>
                      <w:highlight w:val="none"/>
                      <w:lang w:val="en-US" w:eastAsia="zh-CN"/>
                    </w:rPr>
                    <w:t>上述</w:t>
                  </w:r>
                  <w:r>
                    <w:rPr>
                      <w:rFonts w:hint="default"/>
                      <w:color w:val="auto"/>
                      <w:highlight w:val="none"/>
                      <w:lang w:val="en-US" w:eastAsia="zh-CN"/>
                    </w:rPr>
                    <w:t>所禁止的建设行业。</w:t>
                  </w:r>
                  <w:bookmarkEnd w:id="232"/>
                  <w:bookmarkEnd w:id="233"/>
                </w:p>
              </w:tc>
              <w:tc>
                <w:tcPr>
                  <w:tcW w:w="580" w:type="dxa"/>
                  <w:tcBorders>
                    <w:tl2br w:val="nil"/>
                    <w:tr2bl w:val="nil"/>
                  </w:tcBorders>
                  <w:vAlign w:val="center"/>
                </w:tcPr>
                <w:p>
                  <w:pPr>
                    <w:pStyle w:val="34"/>
                    <w:bidi w:val="0"/>
                    <w:rPr>
                      <w:rFonts w:hint="default"/>
                      <w:color w:val="auto"/>
                      <w:highlight w:val="none"/>
                      <w:lang w:val="en-US" w:eastAsia="zh-CN"/>
                    </w:rPr>
                  </w:pPr>
                  <w:bookmarkStart w:id="234" w:name="_Toc28833"/>
                  <w:bookmarkStart w:id="235" w:name="_Toc1385"/>
                  <w:r>
                    <w:rPr>
                      <w:rFonts w:hint="default"/>
                      <w:color w:val="auto"/>
                      <w:highlight w:val="none"/>
                      <w:lang w:val="en-US" w:eastAsia="zh-CN"/>
                    </w:rPr>
                    <w:t>符合</w:t>
                  </w:r>
                  <w:bookmarkEnd w:id="234"/>
                  <w:bookmarkEnd w:id="235"/>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auto"/>
                <w:highlight w:val="none"/>
                <w:lang w:val="en-US" w:eastAsia="zh-CN"/>
              </w:rPr>
            </w:pPr>
            <w:r>
              <w:rPr>
                <w:rFonts w:hint="default"/>
                <w:color w:val="auto"/>
                <w:highlight w:val="none"/>
              </w:rPr>
              <w:t>综上所述，项目建设符合《云南省长江经济带发展负面清单指 南实施细则（试行）》的相关要求。</w:t>
            </w:r>
          </w:p>
          <w:bookmarkEnd w:id="11"/>
          <w:p>
            <w:pPr>
              <w:pStyle w:val="40"/>
              <w:bidi w:val="0"/>
              <w:rPr>
                <w:rFonts w:hint="default"/>
                <w:color w:val="auto"/>
                <w:highlight w:val="none"/>
                <w:lang w:val="en-US" w:eastAsia="zh-CN"/>
              </w:rPr>
            </w:pPr>
            <w:bookmarkStart w:id="236" w:name="_Toc12928"/>
            <w:r>
              <w:rPr>
                <w:rFonts w:hint="eastAsia"/>
                <w:color w:val="auto"/>
                <w:highlight w:val="none"/>
                <w:lang w:val="en-US" w:eastAsia="zh-CN"/>
              </w:rPr>
              <w:t>8、与《空气质量持续改善行动计划》（国发〔2023〕24号）的符合性分析</w:t>
            </w:r>
          </w:p>
          <w:p>
            <w:pPr>
              <w:bidi w:val="0"/>
              <w:rPr>
                <w:rFonts w:hint="eastAsia"/>
                <w:color w:val="auto"/>
                <w:highlight w:val="none"/>
                <w:lang w:val="en-US" w:eastAsia="zh-CN"/>
              </w:rPr>
            </w:pPr>
            <w:r>
              <w:rPr>
                <w:rFonts w:hint="eastAsia"/>
                <w:color w:val="auto"/>
                <w:highlight w:val="none"/>
                <w:lang w:val="en-US" w:eastAsia="zh-CN"/>
              </w:rPr>
              <w:t>本项目与《空气质量持续改善行动计划》（国发〔2023〕24号）的符合性分析见下表：</w:t>
            </w:r>
          </w:p>
          <w:p>
            <w:pPr>
              <w:pStyle w:val="35"/>
              <w:bidi w:val="0"/>
              <w:rPr>
                <w:rFonts w:hint="default"/>
                <w:color w:val="auto"/>
                <w:highlight w:val="none"/>
                <w:lang w:val="en-US" w:eastAsia="zh-CN"/>
              </w:rPr>
            </w:pPr>
            <w:r>
              <w:rPr>
                <w:rFonts w:hint="eastAsia"/>
                <w:color w:val="auto"/>
                <w:highlight w:val="none"/>
                <w:lang w:val="en-US" w:eastAsia="zh-CN"/>
              </w:rPr>
              <w:t>表1-12  项目与“国发〔2023〕24号”的符合性一览表</w:t>
            </w:r>
          </w:p>
          <w:tbl>
            <w:tblPr>
              <w:tblStyle w:val="23"/>
              <w:tblW w:w="699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5"/>
              <w:gridCol w:w="3480"/>
              <w:gridCol w:w="2129"/>
              <w:gridCol w:w="6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546"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序号</w:t>
                  </w:r>
                </w:p>
              </w:tc>
              <w:tc>
                <w:tcPr>
                  <w:tcW w:w="2488" w:type="pct"/>
                  <w:tcBorders>
                    <w:tl2br w:val="nil"/>
                    <w:tr2bl w:val="nil"/>
                  </w:tcBorders>
                  <w:noWrap w:val="0"/>
                  <w:vAlign w:val="center"/>
                </w:tcPr>
                <w:p>
                  <w:pPr>
                    <w:pStyle w:val="34"/>
                    <w:bidi w:val="0"/>
                    <w:rPr>
                      <w:rFonts w:hint="default"/>
                      <w:color w:val="auto"/>
                      <w:highlight w:val="none"/>
                    </w:rPr>
                  </w:pPr>
                  <w:r>
                    <w:rPr>
                      <w:rFonts w:hint="eastAsia"/>
                      <w:color w:val="auto"/>
                      <w:highlight w:val="none"/>
                      <w:lang w:val="en-US" w:eastAsia="zh-CN"/>
                    </w:rPr>
                    <w:t>“国发〔2023〕24号”要求</w:t>
                  </w:r>
                </w:p>
              </w:tc>
              <w:tc>
                <w:tcPr>
                  <w:tcW w:w="1522"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本项目情况</w:t>
                  </w:r>
                </w:p>
              </w:tc>
              <w:tc>
                <w:tcPr>
                  <w:tcW w:w="442" w:type="pct"/>
                  <w:tcBorders>
                    <w:tl2br w:val="nil"/>
                    <w:tr2bl w:val="nil"/>
                  </w:tcBorders>
                  <w:noWrap w:val="0"/>
                  <w:vAlign w:val="center"/>
                </w:tcPr>
                <w:p>
                  <w:pPr>
                    <w:pStyle w:val="34"/>
                    <w:bidi w:val="0"/>
                    <w:rPr>
                      <w:rFonts w:hint="default"/>
                      <w:color w:val="auto"/>
                      <w:highlight w:val="none"/>
                    </w:rPr>
                  </w:pPr>
                  <w:r>
                    <w:rPr>
                      <w:rFonts w:hint="eastAsia"/>
                      <w:color w:val="auto"/>
                      <w:highlight w:val="none"/>
                      <w:lang w:val="en-US" w:eastAsia="zh-CN"/>
                    </w:rPr>
                    <w:t>符合</w:t>
                  </w:r>
                  <w:r>
                    <w:rPr>
                      <w:rFonts w:hint="default"/>
                      <w:color w:val="auto"/>
                      <w:highlight w:val="none"/>
                    </w:rPr>
                    <w:t>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546"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二、优化产业结构，促进产业产品绿色升级</w:t>
                  </w:r>
                </w:p>
              </w:tc>
              <w:tc>
                <w:tcPr>
                  <w:tcW w:w="2488" w:type="pct"/>
                  <w:tcBorders>
                    <w:tl2br w:val="nil"/>
                    <w:tr2bl w:val="nil"/>
                  </w:tcBorders>
                  <w:noWrap w:val="0"/>
                  <w:vAlign w:val="center"/>
                </w:tcPr>
                <w:p>
                  <w:pPr>
                    <w:pStyle w:val="34"/>
                    <w:bidi w:val="0"/>
                    <w:rPr>
                      <w:rFonts w:hint="eastAsia"/>
                      <w:color w:val="auto"/>
                      <w:highlight w:val="none"/>
                      <w:lang w:val="en-US" w:eastAsia="zh-CN"/>
                    </w:rPr>
                  </w:pPr>
                  <w:r>
                    <w:rPr>
                      <w:rFonts w:hint="eastAsia"/>
                      <w:color w:val="auto"/>
                      <w:highlight w:val="none"/>
                      <w:lang w:val="en-US" w:eastAsia="zh-CN"/>
                    </w:rPr>
                    <w:t>（四）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w:t>
                  </w:r>
                </w:p>
              </w:tc>
              <w:tc>
                <w:tcPr>
                  <w:tcW w:w="1522"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本项目为</w:t>
                  </w:r>
                  <w:r>
                    <w:rPr>
                      <w:rFonts w:hint="default"/>
                      <w:color w:val="auto"/>
                      <w:highlight w:val="none"/>
                      <w:lang w:val="en-US" w:eastAsia="zh-CN"/>
                    </w:rPr>
                    <w:t>制氧系统技术改造节能项目，属于易门铜业有限公司铜冶炼配套公用工程，</w:t>
                  </w:r>
                  <w:r>
                    <w:rPr>
                      <w:rFonts w:hint="eastAsia"/>
                      <w:color w:val="auto"/>
                      <w:highlight w:val="none"/>
                      <w:lang w:val="en-US" w:eastAsia="zh-CN"/>
                    </w:rPr>
                    <w:t>不属于高耗能、高排放、低水平项目；项目建设符合国家产业政策及生态环境分区管控要求，项目产品为氧气，采用管道输送。</w:t>
                  </w:r>
                </w:p>
              </w:tc>
              <w:tc>
                <w:tcPr>
                  <w:tcW w:w="442"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546"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三、优化能源结构，加速能源清洁低碳高效发展</w:t>
                  </w:r>
                </w:p>
              </w:tc>
              <w:tc>
                <w:tcPr>
                  <w:tcW w:w="2488" w:type="pct"/>
                  <w:tcBorders>
                    <w:tl2br w:val="nil"/>
                    <w:tr2bl w:val="nil"/>
                  </w:tcBorders>
                  <w:noWrap w:val="0"/>
                  <w:vAlign w:val="center"/>
                </w:tcPr>
                <w:p>
                  <w:pPr>
                    <w:pStyle w:val="34"/>
                    <w:bidi w:val="0"/>
                    <w:rPr>
                      <w:rFonts w:hint="eastAsia"/>
                      <w:color w:val="auto"/>
                      <w:highlight w:val="none"/>
                      <w:lang w:val="en-US" w:eastAsia="zh-CN"/>
                    </w:rPr>
                  </w:pPr>
                  <w:r>
                    <w:rPr>
                      <w:rFonts w:hint="eastAsia"/>
                      <w:color w:val="auto"/>
                      <w:highlight w:val="none"/>
                      <w:lang w:val="en-US" w:eastAsia="zh-CN"/>
                    </w:rPr>
                    <w:t>（十二）实施工业炉窑清洁能源替代。有序推进以电代煤，积极稳妥推进以气代煤。重点区域不再新增燃料类煤气发生炉，新改扩建加热炉、热处理炉、干燥炉、熔化炉原则上采用清洁低碳能源；安全稳妥推进使用高污染燃料的工业炉窑改用工业余热、电能、天然气等；燃料类煤气发生炉实行清洁能源替代，或因地制宜采取园区（集群）集中供气、分散使用方式；逐步淘汰固定床间歇式煤气发生炉。</w:t>
                  </w:r>
                </w:p>
              </w:tc>
              <w:tc>
                <w:tcPr>
                  <w:tcW w:w="1522" w:type="pct"/>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lang w:val="en-US" w:eastAsia="zh-CN"/>
                    </w:rPr>
                    <w:t>项目不在重点区域范围内，生产过程中</w:t>
                  </w:r>
                  <w:r>
                    <w:rPr>
                      <w:rFonts w:hint="eastAsia"/>
                      <w:color w:val="auto"/>
                      <w:highlight w:val="none"/>
                      <w:lang w:val="en-US" w:eastAsia="zh-CN"/>
                    </w:rPr>
                    <w:t>仅使用少量电能、水资源、空气，不使用煤等燃料</w:t>
                  </w:r>
                  <w:r>
                    <w:rPr>
                      <w:rFonts w:hint="default"/>
                      <w:color w:val="auto"/>
                      <w:highlight w:val="none"/>
                      <w:lang w:val="en-US" w:eastAsia="zh-CN"/>
                    </w:rPr>
                    <w:t>。</w:t>
                  </w:r>
                </w:p>
              </w:tc>
              <w:tc>
                <w:tcPr>
                  <w:tcW w:w="442" w:type="pct"/>
                  <w:tcBorders>
                    <w:tl2br w:val="nil"/>
                    <w:tr2bl w:val="nil"/>
                  </w:tcBorders>
                  <w:noWrap w:val="0"/>
                  <w:vAlign w:val="center"/>
                </w:tcPr>
                <w:p>
                  <w:pPr>
                    <w:pStyle w:val="34"/>
                    <w:bidi w:val="0"/>
                    <w:rPr>
                      <w:rFonts w:hint="eastAsia"/>
                      <w:color w:val="auto"/>
                      <w:highlight w:val="none"/>
                      <w:lang w:val="en-US" w:eastAsia="zh-CN"/>
                    </w:rPr>
                  </w:pPr>
                  <w:r>
                    <w:rPr>
                      <w:rFonts w:hint="eastAsia"/>
                      <w:color w:val="auto"/>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546"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四、优化交通结构，大力发展绿色运输体系</w:t>
                  </w:r>
                </w:p>
              </w:tc>
              <w:tc>
                <w:tcPr>
                  <w:tcW w:w="2488" w:type="pct"/>
                  <w:tcBorders>
                    <w:tl2br w:val="nil"/>
                    <w:tr2bl w:val="nil"/>
                  </w:tcBorders>
                  <w:noWrap w:val="0"/>
                  <w:vAlign w:val="center"/>
                </w:tcPr>
                <w:p>
                  <w:pPr>
                    <w:pStyle w:val="34"/>
                    <w:bidi w:val="0"/>
                    <w:rPr>
                      <w:rFonts w:hint="eastAsia"/>
                      <w:color w:val="auto"/>
                      <w:highlight w:val="none"/>
                      <w:lang w:val="en-US" w:eastAsia="zh-CN"/>
                    </w:rPr>
                  </w:pPr>
                  <w:r>
                    <w:rPr>
                      <w:rFonts w:hint="eastAsia"/>
                      <w:color w:val="auto"/>
                      <w:highlight w:val="none"/>
                      <w:lang w:val="en-US" w:eastAsia="zh-CN"/>
                    </w:rPr>
                    <w:t>（十四）持续优化调整货物运输结构。大宗货物中长距离运输优先采用铁路、水路运输，短距离运输优先采用封闭式皮带廊道或新能源车船。探索将清洁运输作为煤矿、钢铁、火电、有色、焦化、煤化工等行业新改扩建项目审核和监管重点。重点区域内直辖市、省会城市采取公铁联运等“外集内配”物流方式。到2025年，铁路、水路货运量比 2020 年分别增长10%和 12%左右；晋陕蒙新煤炭主产区中长距离运输（运距500公里以上）的煤炭和焦炭中，铁路运输比例力争达到 90%；重点区域和粤港澳大湾区沿海主要港口铁矿石、焦炭等清洁运输（含新能源车）比例力争达到80%</w:t>
                  </w:r>
                </w:p>
              </w:tc>
              <w:tc>
                <w:tcPr>
                  <w:tcW w:w="1522" w:type="pct"/>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lang w:val="en-US" w:eastAsia="zh-CN"/>
                    </w:rPr>
                    <w:t>本</w:t>
                  </w:r>
                  <w:r>
                    <w:rPr>
                      <w:rFonts w:hint="eastAsia"/>
                      <w:color w:val="auto"/>
                      <w:highlight w:val="none"/>
                      <w:lang w:val="en-US" w:eastAsia="zh-CN"/>
                    </w:rPr>
                    <w:t>项目的产品为氧气，采用管道输送。</w:t>
                  </w:r>
                </w:p>
              </w:tc>
              <w:tc>
                <w:tcPr>
                  <w:tcW w:w="442"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546"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五、强化面源污染治理，提升精细化管理水平</w:t>
                  </w:r>
                </w:p>
              </w:tc>
              <w:tc>
                <w:tcPr>
                  <w:tcW w:w="2488" w:type="pct"/>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lang w:val="en-US" w:eastAsia="zh-CN"/>
                    </w:rPr>
                    <w:t>（十八）深化扬尘污染综合治理。鼓励经济发达地区5000平方米及以上建筑工地安装视频监控并接入当地监管平台；重点区域道路、水务等长距离线性工程实行分段施工。将防治扬尘污染费用纳入工程造价。</w:t>
                  </w:r>
                </w:p>
              </w:tc>
              <w:tc>
                <w:tcPr>
                  <w:tcW w:w="1522" w:type="pct"/>
                  <w:tcBorders>
                    <w:tl2br w:val="nil"/>
                    <w:tr2bl w:val="nil"/>
                  </w:tcBorders>
                  <w:noWrap w:val="0"/>
                  <w:vAlign w:val="center"/>
                </w:tcPr>
                <w:p>
                  <w:pPr>
                    <w:pStyle w:val="34"/>
                    <w:bidi w:val="0"/>
                    <w:rPr>
                      <w:rFonts w:hint="default"/>
                      <w:color w:val="auto"/>
                      <w:highlight w:val="none"/>
                    </w:rPr>
                  </w:pPr>
                  <w:r>
                    <w:rPr>
                      <w:rFonts w:hint="eastAsia"/>
                      <w:color w:val="auto"/>
                      <w:highlight w:val="none"/>
                      <w:lang w:val="en-US" w:eastAsia="zh-CN"/>
                    </w:rPr>
                    <w:t>本次评价针对施工期扬尘影响提出遮盖防尘网、洒水降尘等污染防治措施，减少扬尘污染。</w:t>
                  </w:r>
                </w:p>
              </w:tc>
              <w:tc>
                <w:tcPr>
                  <w:tcW w:w="442"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符合</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color w:val="auto"/>
                <w:highlight w:val="none"/>
                <w:lang w:val="en-US" w:eastAsia="zh-CN"/>
              </w:rPr>
            </w:pPr>
            <w:r>
              <w:rPr>
                <w:rFonts w:hint="eastAsia"/>
                <w:color w:val="auto"/>
                <w:highlight w:val="none"/>
                <w:lang w:val="en-US" w:eastAsia="zh-CN"/>
              </w:rPr>
              <w:t>综上，本项目的建设符合《空气质量持续改善行动计划》（国发〔2023〕24号）的相关要求。</w:t>
            </w:r>
          </w:p>
          <w:p>
            <w:pPr>
              <w:pStyle w:val="40"/>
              <w:bidi w:val="0"/>
              <w:rPr>
                <w:rFonts w:hint="default"/>
                <w:color w:val="auto"/>
                <w:highlight w:val="none"/>
                <w:lang w:val="en-US" w:eastAsia="zh-CN"/>
              </w:rPr>
            </w:pPr>
            <w:r>
              <w:rPr>
                <w:rFonts w:hint="eastAsia"/>
                <w:color w:val="auto"/>
                <w:highlight w:val="none"/>
                <w:lang w:val="en-US" w:eastAsia="zh-CN"/>
              </w:rPr>
              <w:t>9、与《云南省大气污染防治条例（2018）》的符合性分析</w:t>
            </w:r>
          </w:p>
          <w:p>
            <w:pPr>
              <w:bidi w:val="0"/>
              <w:rPr>
                <w:rFonts w:hint="default" w:ascii="Times New Roman" w:hAnsi="Times New Roman" w:eastAsia="黑体" w:cs="Times New Roman"/>
                <w:b w:val="0"/>
                <w:bCs/>
                <w:color w:val="auto"/>
                <w:highlight w:val="none"/>
                <w:lang w:val="en-US" w:eastAsia="zh-CN"/>
              </w:rPr>
            </w:pPr>
            <w:r>
              <w:rPr>
                <w:rFonts w:hint="eastAsia"/>
                <w:color w:val="auto"/>
                <w:highlight w:val="none"/>
                <w:lang w:val="en-US" w:eastAsia="zh-CN"/>
              </w:rPr>
              <w:t>本项目与《云南省大气污染防治条例（2018）》的符合性分析见下表：</w:t>
            </w:r>
          </w:p>
          <w:p>
            <w:pPr>
              <w:pStyle w:val="35"/>
              <w:bidi w:val="0"/>
              <w:rPr>
                <w:rFonts w:hint="default"/>
                <w:color w:val="auto"/>
                <w:highlight w:val="none"/>
                <w:lang w:val="en-US" w:eastAsia="zh-CN"/>
              </w:rPr>
            </w:pPr>
            <w:r>
              <w:rPr>
                <w:rFonts w:hint="eastAsia"/>
                <w:color w:val="auto"/>
                <w:highlight w:val="none"/>
                <w:lang w:val="en-US" w:eastAsia="zh-CN"/>
              </w:rPr>
              <w:t>表1-13  项目与《云南省大气污染防治条例（2018）》的符合性一览表</w:t>
            </w:r>
          </w:p>
          <w:tbl>
            <w:tblPr>
              <w:tblStyle w:val="23"/>
              <w:tblW w:w="705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7"/>
              <w:gridCol w:w="3843"/>
              <w:gridCol w:w="1823"/>
              <w:gridCol w:w="6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550" w:type="pct"/>
                  <w:tcBorders>
                    <w:tl2br w:val="nil"/>
                    <w:tr2bl w:val="nil"/>
                  </w:tcBorders>
                  <w:noWrap w:val="0"/>
                  <w:vAlign w:val="center"/>
                </w:tcPr>
                <w:p>
                  <w:pPr>
                    <w:pStyle w:val="34"/>
                    <w:keepNext w:val="0"/>
                    <w:keepLines w:val="0"/>
                    <w:pageBreakBefore w:val="0"/>
                    <w:widowControl w:val="0"/>
                    <w:kinsoku/>
                    <w:wordWrap/>
                    <w:overflowPunct w:val="0"/>
                    <w:topLinePunct w:val="0"/>
                    <w:autoSpaceDE/>
                    <w:autoSpaceDN/>
                    <w:bidi w:val="0"/>
                    <w:adjustRightInd/>
                    <w:snapToGrid/>
                    <w:textAlignment w:val="auto"/>
                    <w:rPr>
                      <w:rFonts w:hint="default"/>
                      <w:color w:val="auto"/>
                      <w:highlight w:val="none"/>
                    </w:rPr>
                  </w:pPr>
                  <w:r>
                    <w:rPr>
                      <w:rFonts w:hint="default"/>
                      <w:color w:val="auto"/>
                      <w:highlight w:val="none"/>
                    </w:rPr>
                    <w:t>序号</w:t>
                  </w:r>
                </w:p>
              </w:tc>
              <w:tc>
                <w:tcPr>
                  <w:tcW w:w="2725" w:type="pct"/>
                  <w:tcBorders>
                    <w:tl2br w:val="nil"/>
                    <w:tr2bl w:val="nil"/>
                  </w:tcBorders>
                  <w:noWrap w:val="0"/>
                  <w:vAlign w:val="center"/>
                </w:tcPr>
                <w:p>
                  <w:pPr>
                    <w:pStyle w:val="34"/>
                    <w:keepNext w:val="0"/>
                    <w:keepLines w:val="0"/>
                    <w:pageBreakBefore w:val="0"/>
                    <w:widowControl w:val="0"/>
                    <w:kinsoku/>
                    <w:wordWrap/>
                    <w:overflowPunct w:val="0"/>
                    <w:topLinePunct w:val="0"/>
                    <w:autoSpaceDE/>
                    <w:autoSpaceDN/>
                    <w:bidi w:val="0"/>
                    <w:adjustRightInd/>
                    <w:snapToGrid/>
                    <w:textAlignment w:val="auto"/>
                    <w:rPr>
                      <w:rFonts w:hint="default"/>
                      <w:color w:val="auto"/>
                      <w:highlight w:val="none"/>
                    </w:rPr>
                  </w:pPr>
                  <w:r>
                    <w:rPr>
                      <w:rFonts w:hint="eastAsia"/>
                      <w:color w:val="auto"/>
                      <w:highlight w:val="none"/>
                      <w:lang w:val="en-US" w:eastAsia="zh-CN"/>
                    </w:rPr>
                    <w:t>“条例”要求</w:t>
                  </w:r>
                </w:p>
              </w:tc>
              <w:tc>
                <w:tcPr>
                  <w:tcW w:w="1292" w:type="pct"/>
                  <w:tcBorders>
                    <w:tl2br w:val="nil"/>
                    <w:tr2bl w:val="nil"/>
                  </w:tcBorders>
                  <w:noWrap w:val="0"/>
                  <w:vAlign w:val="center"/>
                </w:tcPr>
                <w:p>
                  <w:pPr>
                    <w:pStyle w:val="34"/>
                    <w:keepNext w:val="0"/>
                    <w:keepLines w:val="0"/>
                    <w:pageBreakBefore w:val="0"/>
                    <w:widowControl w:val="0"/>
                    <w:kinsoku/>
                    <w:wordWrap/>
                    <w:overflowPunct w:val="0"/>
                    <w:topLinePunct w:val="0"/>
                    <w:autoSpaceDE/>
                    <w:autoSpaceDN/>
                    <w:bidi w:val="0"/>
                    <w:adjustRightInd/>
                    <w:snapToGrid/>
                    <w:textAlignment w:val="auto"/>
                    <w:rPr>
                      <w:rFonts w:hint="default"/>
                      <w:color w:val="auto"/>
                      <w:highlight w:val="none"/>
                    </w:rPr>
                  </w:pPr>
                  <w:r>
                    <w:rPr>
                      <w:rFonts w:hint="default"/>
                      <w:color w:val="auto"/>
                      <w:highlight w:val="none"/>
                    </w:rPr>
                    <w:t>本项目情况</w:t>
                  </w:r>
                </w:p>
              </w:tc>
              <w:tc>
                <w:tcPr>
                  <w:tcW w:w="431" w:type="pct"/>
                  <w:tcBorders>
                    <w:tl2br w:val="nil"/>
                    <w:tr2bl w:val="nil"/>
                  </w:tcBorders>
                  <w:noWrap w:val="0"/>
                  <w:vAlign w:val="center"/>
                </w:tcPr>
                <w:p>
                  <w:pPr>
                    <w:pStyle w:val="34"/>
                    <w:keepNext w:val="0"/>
                    <w:keepLines w:val="0"/>
                    <w:pageBreakBefore w:val="0"/>
                    <w:widowControl w:val="0"/>
                    <w:kinsoku/>
                    <w:wordWrap/>
                    <w:overflowPunct w:val="0"/>
                    <w:topLinePunct w:val="0"/>
                    <w:autoSpaceDE/>
                    <w:autoSpaceDN/>
                    <w:bidi w:val="0"/>
                    <w:adjustRightInd/>
                    <w:snapToGrid/>
                    <w:textAlignment w:val="auto"/>
                    <w:rPr>
                      <w:rFonts w:hint="default"/>
                      <w:color w:val="auto"/>
                      <w:highlight w:val="none"/>
                    </w:rPr>
                  </w:pPr>
                  <w:r>
                    <w:rPr>
                      <w:rFonts w:hint="eastAsia"/>
                      <w:color w:val="auto"/>
                      <w:highlight w:val="none"/>
                      <w:lang w:val="en-US" w:eastAsia="zh-CN"/>
                    </w:rPr>
                    <w:t>符合</w:t>
                  </w:r>
                  <w:r>
                    <w:rPr>
                      <w:rFonts w:hint="default"/>
                      <w:color w:val="auto"/>
                      <w:highlight w:val="none"/>
                    </w:rPr>
                    <w:t>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550" w:type="pct"/>
                  <w:vMerge w:val="restart"/>
                  <w:tcBorders>
                    <w:tl2br w:val="nil"/>
                    <w:tr2bl w:val="nil"/>
                  </w:tcBorders>
                  <w:noWrap w:val="0"/>
                  <w:vAlign w:val="center"/>
                </w:tcPr>
                <w:p>
                  <w:pPr>
                    <w:pStyle w:val="34"/>
                    <w:keepNext w:val="0"/>
                    <w:keepLines w:val="0"/>
                    <w:pageBreakBefore w:val="0"/>
                    <w:widowControl w:val="0"/>
                    <w:kinsoku/>
                    <w:wordWrap/>
                    <w:overflowPunct w:val="0"/>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第三章大气污染防治措施</w:t>
                  </w:r>
                </w:p>
                <w:p>
                  <w:pPr>
                    <w:pStyle w:val="34"/>
                    <w:keepNext w:val="0"/>
                    <w:keepLines w:val="0"/>
                    <w:pageBreakBefore w:val="0"/>
                    <w:widowControl w:val="0"/>
                    <w:kinsoku/>
                    <w:wordWrap/>
                    <w:overflowPunct w:val="0"/>
                    <w:topLinePunct w:val="0"/>
                    <w:autoSpaceDE/>
                    <w:autoSpaceDN/>
                    <w:bidi w:val="0"/>
                    <w:adjustRightInd/>
                    <w:snapToGrid/>
                    <w:textAlignment w:val="auto"/>
                    <w:rPr>
                      <w:rFonts w:hint="eastAsia"/>
                      <w:color w:val="auto"/>
                      <w:highlight w:val="none"/>
                      <w:lang w:val="en-US" w:eastAsia="zh-CN"/>
                    </w:rPr>
                  </w:pPr>
                  <w:r>
                    <w:rPr>
                      <w:rFonts w:hint="default"/>
                      <w:color w:val="auto"/>
                      <w:highlight w:val="none"/>
                    </w:rPr>
                    <w:t xml:space="preserve"> </w:t>
                  </w:r>
                </w:p>
              </w:tc>
              <w:tc>
                <w:tcPr>
                  <w:tcW w:w="2725" w:type="pct"/>
                  <w:tcBorders>
                    <w:tl2br w:val="nil"/>
                    <w:tr2bl w:val="nil"/>
                  </w:tcBorders>
                  <w:noWrap w:val="0"/>
                  <w:vAlign w:val="top"/>
                </w:tcPr>
                <w:p>
                  <w:pPr>
                    <w:pStyle w:val="34"/>
                    <w:keepNext w:val="0"/>
                    <w:keepLines w:val="0"/>
                    <w:pageBreakBefore w:val="0"/>
                    <w:widowControl w:val="0"/>
                    <w:kinsoku/>
                    <w:wordWrap/>
                    <w:overflowPunct w:val="0"/>
                    <w:topLinePunct w:val="0"/>
                    <w:autoSpaceDE/>
                    <w:autoSpaceDN/>
                    <w:bidi w:val="0"/>
                    <w:adjustRightInd/>
                    <w:snapToGrid/>
                    <w:textAlignment w:val="auto"/>
                    <w:rPr>
                      <w:rFonts w:hint="default"/>
                      <w:color w:val="auto"/>
                      <w:highlight w:val="none"/>
                    </w:rPr>
                  </w:pPr>
                  <w:r>
                    <w:rPr>
                      <w:rFonts w:hint="default"/>
                      <w:color w:val="auto"/>
                      <w:highlight w:val="none"/>
                    </w:rPr>
                    <w:t>第十九条 县级以上人民政府应当采取措施优化能源结构，推广利用清洁能源。推进生产和生活领域的以气代煤、以电代煤、以电代柴。加快天然气基础设施建设，增加天然气使用量，实现煤炭减量替代。</w:t>
                  </w:r>
                </w:p>
              </w:tc>
              <w:tc>
                <w:tcPr>
                  <w:tcW w:w="1292" w:type="pct"/>
                  <w:tcBorders>
                    <w:tl2br w:val="nil"/>
                    <w:tr2bl w:val="nil"/>
                  </w:tcBorders>
                  <w:noWrap w:val="0"/>
                  <w:vAlign w:val="center"/>
                </w:tcPr>
                <w:p>
                  <w:pPr>
                    <w:pStyle w:val="34"/>
                    <w:keepNext w:val="0"/>
                    <w:keepLines w:val="0"/>
                    <w:pageBreakBefore w:val="0"/>
                    <w:widowControl w:val="0"/>
                    <w:kinsoku/>
                    <w:wordWrap/>
                    <w:overflowPunct w:val="0"/>
                    <w:topLinePunct w:val="0"/>
                    <w:autoSpaceDE/>
                    <w:autoSpaceDN/>
                    <w:bidi w:val="0"/>
                    <w:adjustRightInd/>
                    <w:snapToGrid/>
                    <w:textAlignment w:val="auto"/>
                    <w:rPr>
                      <w:rFonts w:hint="default"/>
                      <w:color w:val="auto"/>
                      <w:highlight w:val="none"/>
                      <w:lang w:val="en-US" w:eastAsia="zh-CN"/>
                    </w:rPr>
                  </w:pPr>
                  <w:r>
                    <w:rPr>
                      <w:rFonts w:hint="eastAsia"/>
                      <w:color w:val="auto"/>
                      <w:highlight w:val="none"/>
                      <w:lang w:val="en-US" w:eastAsia="zh-CN"/>
                    </w:rPr>
                    <w:t>本项目生产过程中仅使用少量电能、水资源、空气等清洁能源。</w:t>
                  </w:r>
                </w:p>
              </w:tc>
              <w:tc>
                <w:tcPr>
                  <w:tcW w:w="431" w:type="pct"/>
                  <w:tcBorders>
                    <w:tl2br w:val="nil"/>
                    <w:tr2bl w:val="nil"/>
                  </w:tcBorders>
                  <w:noWrap w:val="0"/>
                  <w:vAlign w:val="center"/>
                </w:tcPr>
                <w:p>
                  <w:pPr>
                    <w:pStyle w:val="34"/>
                    <w:keepNext w:val="0"/>
                    <w:keepLines w:val="0"/>
                    <w:pageBreakBefore w:val="0"/>
                    <w:widowControl w:val="0"/>
                    <w:kinsoku/>
                    <w:wordWrap/>
                    <w:overflowPunct w:val="0"/>
                    <w:topLinePunct w:val="0"/>
                    <w:autoSpaceDE/>
                    <w:autoSpaceDN/>
                    <w:bidi w:val="0"/>
                    <w:adjustRightInd/>
                    <w:snapToGrid/>
                    <w:textAlignment w:val="auto"/>
                    <w:rPr>
                      <w:rFonts w:hint="default"/>
                      <w:color w:val="auto"/>
                      <w:highlight w:val="none"/>
                      <w:lang w:val="en-US" w:eastAsia="zh-CN"/>
                    </w:rPr>
                  </w:pPr>
                  <w:r>
                    <w:rPr>
                      <w:rFonts w:hint="eastAsia"/>
                      <w:color w:val="auto"/>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550" w:type="pct"/>
                  <w:vMerge w:val="continue"/>
                  <w:tcBorders>
                    <w:tl2br w:val="nil"/>
                    <w:tr2bl w:val="nil"/>
                  </w:tcBorders>
                  <w:noWrap w:val="0"/>
                  <w:vAlign w:val="center"/>
                </w:tcPr>
                <w:p>
                  <w:pPr>
                    <w:pStyle w:val="34"/>
                    <w:keepNext w:val="0"/>
                    <w:keepLines w:val="0"/>
                    <w:pageBreakBefore w:val="0"/>
                    <w:widowControl w:val="0"/>
                    <w:kinsoku/>
                    <w:wordWrap/>
                    <w:overflowPunct w:val="0"/>
                    <w:topLinePunct w:val="0"/>
                    <w:autoSpaceDE/>
                    <w:autoSpaceDN/>
                    <w:bidi w:val="0"/>
                    <w:adjustRightInd/>
                    <w:snapToGrid/>
                    <w:textAlignment w:val="auto"/>
                    <w:rPr>
                      <w:rFonts w:hint="eastAsia"/>
                      <w:color w:val="auto"/>
                      <w:highlight w:val="none"/>
                      <w:lang w:val="en-US" w:eastAsia="zh-CN"/>
                    </w:rPr>
                  </w:pPr>
                </w:p>
              </w:tc>
              <w:tc>
                <w:tcPr>
                  <w:tcW w:w="2725" w:type="pct"/>
                  <w:tcBorders>
                    <w:tl2br w:val="nil"/>
                    <w:tr2bl w:val="nil"/>
                  </w:tcBorders>
                  <w:noWrap w:val="0"/>
                  <w:vAlign w:val="center"/>
                </w:tcPr>
                <w:p>
                  <w:pPr>
                    <w:pStyle w:val="34"/>
                    <w:keepNext w:val="0"/>
                    <w:keepLines w:val="0"/>
                    <w:pageBreakBefore w:val="0"/>
                    <w:widowControl w:val="0"/>
                    <w:kinsoku/>
                    <w:wordWrap/>
                    <w:overflowPunct w:val="0"/>
                    <w:topLinePunct w:val="0"/>
                    <w:autoSpaceDE/>
                    <w:autoSpaceDN/>
                    <w:bidi w:val="0"/>
                    <w:adjustRightInd/>
                    <w:snapToGrid/>
                    <w:textAlignment w:val="auto"/>
                    <w:rPr>
                      <w:rFonts w:hint="default"/>
                      <w:color w:val="auto"/>
                      <w:highlight w:val="none"/>
                    </w:rPr>
                  </w:pPr>
                  <w:r>
                    <w:rPr>
                      <w:rFonts w:hint="default"/>
                      <w:color w:val="auto"/>
                      <w:highlight w:val="none"/>
                    </w:rPr>
                    <w:t>第二十二条 产生含挥发性有机物废气的生产和服务活动，应当在密闭空间或者设备中进行，并按照规定安装、使用污染防治设施</w:t>
                  </w:r>
                  <w:r>
                    <w:rPr>
                      <w:rFonts w:hint="eastAsia"/>
                      <w:color w:val="auto"/>
                      <w:highlight w:val="none"/>
                      <w:lang w:eastAsia="zh-CN"/>
                    </w:rPr>
                    <w:t>；</w:t>
                  </w:r>
                  <w:r>
                    <w:rPr>
                      <w:rFonts w:hint="default"/>
                      <w:color w:val="auto"/>
                      <w:highlight w:val="none"/>
                    </w:rPr>
                    <w:t>无法密闭的，应当采取措施减少废气排放。</w:t>
                  </w:r>
                </w:p>
              </w:tc>
              <w:tc>
                <w:tcPr>
                  <w:tcW w:w="1292" w:type="pct"/>
                  <w:tcBorders>
                    <w:tl2br w:val="nil"/>
                    <w:tr2bl w:val="nil"/>
                  </w:tcBorders>
                  <w:noWrap w:val="0"/>
                  <w:vAlign w:val="center"/>
                </w:tcPr>
                <w:p>
                  <w:pPr>
                    <w:pStyle w:val="34"/>
                    <w:keepNext w:val="0"/>
                    <w:keepLines w:val="0"/>
                    <w:pageBreakBefore w:val="0"/>
                    <w:widowControl w:val="0"/>
                    <w:kinsoku/>
                    <w:wordWrap/>
                    <w:overflowPunct w:val="0"/>
                    <w:topLinePunct w:val="0"/>
                    <w:autoSpaceDE/>
                    <w:autoSpaceDN/>
                    <w:bidi w:val="0"/>
                    <w:adjustRightInd/>
                    <w:snapToGrid/>
                    <w:textAlignment w:val="auto"/>
                    <w:rPr>
                      <w:rFonts w:hint="default"/>
                      <w:color w:val="auto"/>
                      <w:highlight w:val="none"/>
                      <w:lang w:val="en-US"/>
                    </w:rPr>
                  </w:pPr>
                  <w:r>
                    <w:rPr>
                      <w:rFonts w:hint="default"/>
                      <w:color w:val="auto"/>
                      <w:highlight w:val="none"/>
                      <w:lang w:val="en-US" w:eastAsia="zh-CN"/>
                    </w:rPr>
                    <w:t>本项目</w:t>
                  </w:r>
                  <w:r>
                    <w:rPr>
                      <w:rFonts w:hint="eastAsia"/>
                      <w:color w:val="auto"/>
                      <w:highlight w:val="none"/>
                      <w:lang w:val="en-US" w:eastAsia="zh-CN"/>
                    </w:rPr>
                    <w:t>为</w:t>
                  </w:r>
                  <w:r>
                    <w:rPr>
                      <w:rFonts w:hint="default"/>
                      <w:color w:val="auto"/>
                      <w:highlight w:val="none"/>
                      <w:lang w:val="en-US" w:eastAsia="zh-CN"/>
                    </w:rPr>
                    <w:t>制氧系统技术改造节能项目，属于易门铜业有限公司铜冶炼配套公用工程，</w:t>
                  </w:r>
                  <w:r>
                    <w:rPr>
                      <w:rFonts w:hint="eastAsia"/>
                      <w:color w:val="auto"/>
                      <w:highlight w:val="none"/>
                      <w:lang w:val="en-US" w:eastAsia="zh-CN"/>
                    </w:rPr>
                    <w:t>项目</w:t>
                  </w:r>
                  <w:r>
                    <w:rPr>
                      <w:rFonts w:hint="default"/>
                      <w:color w:val="auto"/>
                      <w:highlight w:val="none"/>
                      <w:lang w:val="en-US" w:eastAsia="zh-CN"/>
                    </w:rPr>
                    <w:t>生产过程中</w:t>
                  </w:r>
                  <w:r>
                    <w:rPr>
                      <w:rFonts w:hint="eastAsia"/>
                      <w:color w:val="auto"/>
                      <w:highlight w:val="none"/>
                      <w:lang w:val="en-US" w:eastAsia="zh-CN"/>
                    </w:rPr>
                    <w:t>无废气污染物产生。</w:t>
                  </w:r>
                </w:p>
              </w:tc>
              <w:tc>
                <w:tcPr>
                  <w:tcW w:w="431" w:type="pct"/>
                  <w:tcBorders>
                    <w:tl2br w:val="nil"/>
                    <w:tr2bl w:val="nil"/>
                  </w:tcBorders>
                  <w:noWrap w:val="0"/>
                  <w:vAlign w:val="center"/>
                </w:tcPr>
                <w:p>
                  <w:pPr>
                    <w:pStyle w:val="34"/>
                    <w:keepNext w:val="0"/>
                    <w:keepLines w:val="0"/>
                    <w:pageBreakBefore w:val="0"/>
                    <w:widowControl w:val="0"/>
                    <w:kinsoku/>
                    <w:wordWrap/>
                    <w:overflowPunct w:val="0"/>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550" w:type="pct"/>
                  <w:vMerge w:val="continue"/>
                  <w:tcBorders>
                    <w:tl2br w:val="nil"/>
                    <w:tr2bl w:val="nil"/>
                  </w:tcBorders>
                  <w:noWrap w:val="0"/>
                  <w:vAlign w:val="center"/>
                </w:tcPr>
                <w:p>
                  <w:pPr>
                    <w:pStyle w:val="34"/>
                    <w:keepNext w:val="0"/>
                    <w:keepLines w:val="0"/>
                    <w:pageBreakBefore w:val="0"/>
                    <w:widowControl w:val="0"/>
                    <w:kinsoku/>
                    <w:wordWrap/>
                    <w:overflowPunct w:val="0"/>
                    <w:topLinePunct w:val="0"/>
                    <w:autoSpaceDE/>
                    <w:autoSpaceDN/>
                    <w:bidi w:val="0"/>
                    <w:adjustRightInd/>
                    <w:snapToGrid/>
                    <w:textAlignment w:val="auto"/>
                    <w:rPr>
                      <w:rFonts w:hint="default"/>
                      <w:color w:val="auto"/>
                      <w:highlight w:val="none"/>
                    </w:rPr>
                  </w:pPr>
                </w:p>
              </w:tc>
              <w:tc>
                <w:tcPr>
                  <w:tcW w:w="2725" w:type="pct"/>
                  <w:tcBorders>
                    <w:tl2br w:val="nil"/>
                    <w:tr2bl w:val="nil"/>
                  </w:tcBorders>
                  <w:noWrap w:val="0"/>
                  <w:vAlign w:val="center"/>
                </w:tcPr>
                <w:p>
                  <w:pPr>
                    <w:pStyle w:val="34"/>
                    <w:keepNext w:val="0"/>
                    <w:keepLines w:val="0"/>
                    <w:pageBreakBefore w:val="0"/>
                    <w:widowControl w:val="0"/>
                    <w:kinsoku/>
                    <w:wordWrap/>
                    <w:overflowPunct w:val="0"/>
                    <w:topLinePunct w:val="0"/>
                    <w:autoSpaceDE/>
                    <w:autoSpaceDN/>
                    <w:bidi w:val="0"/>
                    <w:adjustRightInd/>
                    <w:snapToGrid/>
                    <w:textAlignment w:val="auto"/>
                    <w:rPr>
                      <w:rFonts w:hint="default"/>
                      <w:color w:val="auto"/>
                      <w:highlight w:val="none"/>
                      <w:lang w:val="en-US"/>
                    </w:rPr>
                  </w:pPr>
                  <w:r>
                    <w:rPr>
                      <w:rFonts w:hint="default"/>
                      <w:color w:val="auto"/>
                      <w:highlight w:val="none"/>
                    </w:rPr>
                    <w:t>第二十九条</w:t>
                  </w:r>
                  <w:r>
                    <w:rPr>
                      <w:rFonts w:hint="eastAsia"/>
                      <w:color w:val="auto"/>
                      <w:highlight w:val="none"/>
                      <w:lang w:val="en-US" w:eastAsia="zh-CN"/>
                    </w:rPr>
                    <w:t xml:space="preserve"> </w:t>
                  </w:r>
                  <w:r>
                    <w:rPr>
                      <w:rFonts w:hint="default"/>
                      <w:color w:val="auto"/>
                      <w:highlight w:val="none"/>
                      <w:lang w:val="en-US"/>
                    </w:rPr>
                    <w:t>建设单位应当将防治扬尘污染的费用纳入工程造价，并在施工承包合同中明确施工单位扬尘污染防治责任。</w:t>
                  </w:r>
                </w:p>
              </w:tc>
              <w:tc>
                <w:tcPr>
                  <w:tcW w:w="1292" w:type="pct"/>
                  <w:tcBorders>
                    <w:tl2br w:val="nil"/>
                    <w:tr2bl w:val="nil"/>
                  </w:tcBorders>
                  <w:noWrap w:val="0"/>
                  <w:vAlign w:val="center"/>
                </w:tcPr>
                <w:p>
                  <w:pPr>
                    <w:pStyle w:val="34"/>
                    <w:keepNext w:val="0"/>
                    <w:keepLines w:val="0"/>
                    <w:pageBreakBefore w:val="0"/>
                    <w:widowControl w:val="0"/>
                    <w:kinsoku/>
                    <w:wordWrap/>
                    <w:overflowPunct w:val="0"/>
                    <w:topLinePunct w:val="0"/>
                    <w:autoSpaceDE/>
                    <w:autoSpaceDN/>
                    <w:bidi w:val="0"/>
                    <w:adjustRightInd/>
                    <w:snapToGrid/>
                    <w:textAlignment w:val="auto"/>
                    <w:rPr>
                      <w:rFonts w:hint="default"/>
                      <w:color w:val="auto"/>
                      <w:highlight w:val="none"/>
                    </w:rPr>
                  </w:pPr>
                  <w:r>
                    <w:rPr>
                      <w:rFonts w:hint="eastAsia"/>
                      <w:color w:val="auto"/>
                      <w:highlight w:val="none"/>
                      <w:lang w:val="en-US" w:eastAsia="zh-CN"/>
                    </w:rPr>
                    <w:t>本项目在施工过程中，</w:t>
                  </w:r>
                  <w:r>
                    <w:rPr>
                      <w:rFonts w:hint="default"/>
                      <w:color w:val="auto"/>
                      <w:highlight w:val="none"/>
                    </w:rPr>
                    <w:t>建设单位将防治扬尘污染的费用纳入工程造价，并在施工承包合同中明确施工单位扬尘污染防治责任</w:t>
                  </w:r>
                </w:p>
              </w:tc>
              <w:tc>
                <w:tcPr>
                  <w:tcW w:w="431" w:type="pct"/>
                  <w:tcBorders>
                    <w:tl2br w:val="nil"/>
                    <w:tr2bl w:val="nil"/>
                  </w:tcBorders>
                  <w:noWrap w:val="0"/>
                  <w:vAlign w:val="center"/>
                </w:tcPr>
                <w:p>
                  <w:pPr>
                    <w:pStyle w:val="34"/>
                    <w:keepNext w:val="0"/>
                    <w:keepLines w:val="0"/>
                    <w:pageBreakBefore w:val="0"/>
                    <w:widowControl w:val="0"/>
                    <w:kinsoku/>
                    <w:wordWrap/>
                    <w:overflowPunct w:val="0"/>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550" w:type="pct"/>
                  <w:vMerge w:val="continue"/>
                  <w:tcBorders>
                    <w:tl2br w:val="nil"/>
                    <w:tr2bl w:val="nil"/>
                  </w:tcBorders>
                  <w:noWrap w:val="0"/>
                  <w:vAlign w:val="center"/>
                </w:tcPr>
                <w:p>
                  <w:pPr>
                    <w:pStyle w:val="34"/>
                    <w:keepNext w:val="0"/>
                    <w:keepLines w:val="0"/>
                    <w:pageBreakBefore w:val="0"/>
                    <w:widowControl w:val="0"/>
                    <w:kinsoku/>
                    <w:wordWrap/>
                    <w:overflowPunct w:val="0"/>
                    <w:topLinePunct w:val="0"/>
                    <w:autoSpaceDE/>
                    <w:autoSpaceDN/>
                    <w:bidi w:val="0"/>
                    <w:adjustRightInd/>
                    <w:snapToGrid/>
                    <w:textAlignment w:val="auto"/>
                    <w:rPr>
                      <w:rFonts w:hint="default"/>
                      <w:color w:val="auto"/>
                      <w:highlight w:val="none"/>
                    </w:rPr>
                  </w:pPr>
                </w:p>
              </w:tc>
              <w:tc>
                <w:tcPr>
                  <w:tcW w:w="2725" w:type="pct"/>
                  <w:tcBorders>
                    <w:tl2br w:val="nil"/>
                    <w:tr2bl w:val="nil"/>
                  </w:tcBorders>
                  <w:noWrap w:val="0"/>
                  <w:vAlign w:val="top"/>
                </w:tcPr>
                <w:p>
                  <w:pPr>
                    <w:pStyle w:val="34"/>
                    <w:keepNext w:val="0"/>
                    <w:keepLines w:val="0"/>
                    <w:pageBreakBefore w:val="0"/>
                    <w:widowControl w:val="0"/>
                    <w:kinsoku/>
                    <w:wordWrap/>
                    <w:overflowPunct w:val="0"/>
                    <w:topLinePunct w:val="0"/>
                    <w:autoSpaceDE/>
                    <w:autoSpaceDN/>
                    <w:bidi w:val="0"/>
                    <w:adjustRightInd/>
                    <w:snapToGrid/>
                    <w:textAlignment w:val="auto"/>
                    <w:rPr>
                      <w:rFonts w:hint="default"/>
                      <w:color w:val="auto"/>
                      <w:highlight w:val="none"/>
                      <w:lang w:val="en-US"/>
                    </w:rPr>
                  </w:pPr>
                  <w:r>
                    <w:rPr>
                      <w:rFonts w:hint="default"/>
                      <w:color w:val="auto"/>
                      <w:highlight w:val="none"/>
                    </w:rPr>
                    <w:t>第三十二条</w:t>
                  </w:r>
                  <w:r>
                    <w:rPr>
                      <w:rFonts w:hint="eastAsia"/>
                      <w:color w:val="auto"/>
                      <w:highlight w:val="none"/>
                      <w:lang w:val="en-US" w:eastAsia="zh-CN"/>
                    </w:rPr>
                    <w:t xml:space="preserve"> </w:t>
                  </w:r>
                  <w:r>
                    <w:rPr>
                      <w:rFonts w:hint="default"/>
                      <w:color w:val="auto"/>
                      <w:highlight w:val="none"/>
                      <w:lang w:val="en-US"/>
                    </w:rPr>
                    <w:t>运输煤炭、垃圾、渣土、砂石、土方、灰浆等散装、流体物料的车辆应当采取密闭或者其他措施防止物料遗撒造成扬尘污染，并按照规定路线和时间行驶。</w:t>
                  </w:r>
                </w:p>
              </w:tc>
              <w:tc>
                <w:tcPr>
                  <w:tcW w:w="1292" w:type="pct"/>
                  <w:tcBorders>
                    <w:tl2br w:val="nil"/>
                    <w:tr2bl w:val="nil"/>
                  </w:tcBorders>
                  <w:noWrap w:val="0"/>
                  <w:vAlign w:val="center"/>
                </w:tcPr>
                <w:p>
                  <w:pPr>
                    <w:pStyle w:val="34"/>
                    <w:keepNext w:val="0"/>
                    <w:keepLines w:val="0"/>
                    <w:pageBreakBefore w:val="0"/>
                    <w:widowControl w:val="0"/>
                    <w:kinsoku/>
                    <w:wordWrap/>
                    <w:overflowPunct w:val="0"/>
                    <w:topLinePunct w:val="0"/>
                    <w:autoSpaceDE/>
                    <w:autoSpaceDN/>
                    <w:bidi w:val="0"/>
                    <w:adjustRightInd/>
                    <w:snapToGrid/>
                    <w:textAlignment w:val="auto"/>
                    <w:rPr>
                      <w:rFonts w:hint="default"/>
                      <w:color w:val="auto"/>
                      <w:highlight w:val="none"/>
                    </w:rPr>
                  </w:pPr>
                  <w:r>
                    <w:rPr>
                      <w:rFonts w:hint="default"/>
                      <w:color w:val="auto"/>
                      <w:highlight w:val="none"/>
                    </w:rPr>
                    <w:t>本项目施工期</w:t>
                  </w:r>
                  <w:r>
                    <w:rPr>
                      <w:rFonts w:hint="eastAsia"/>
                      <w:color w:val="auto"/>
                      <w:highlight w:val="none"/>
                      <w:lang w:val="en-US" w:eastAsia="zh-CN"/>
                    </w:rPr>
                    <w:t>施工内容较为简单，</w:t>
                  </w:r>
                  <w:r>
                    <w:rPr>
                      <w:rFonts w:hint="default"/>
                      <w:color w:val="auto"/>
                      <w:highlight w:val="none"/>
                    </w:rPr>
                    <w:t>运输</w:t>
                  </w:r>
                  <w:r>
                    <w:rPr>
                      <w:rFonts w:hint="eastAsia"/>
                      <w:color w:val="auto"/>
                      <w:highlight w:val="none"/>
                      <w:lang w:val="en-US" w:eastAsia="zh-CN"/>
                    </w:rPr>
                    <w:t>各类物料的</w:t>
                  </w:r>
                  <w:r>
                    <w:rPr>
                      <w:rFonts w:hint="default"/>
                      <w:color w:val="auto"/>
                      <w:highlight w:val="none"/>
                    </w:rPr>
                    <w:t>车辆</w:t>
                  </w:r>
                  <w:r>
                    <w:rPr>
                      <w:rFonts w:hint="eastAsia"/>
                      <w:color w:val="auto"/>
                      <w:highlight w:val="none"/>
                      <w:lang w:val="en-US" w:eastAsia="zh-CN"/>
                    </w:rPr>
                    <w:t>均</w:t>
                  </w:r>
                  <w:r>
                    <w:rPr>
                      <w:rFonts w:hint="default"/>
                      <w:color w:val="auto"/>
                      <w:highlight w:val="none"/>
                    </w:rPr>
                    <w:t>采用</w:t>
                  </w:r>
                  <w:r>
                    <w:rPr>
                      <w:rFonts w:hint="eastAsia"/>
                      <w:color w:val="auto"/>
                      <w:highlight w:val="none"/>
                      <w:lang w:val="en-US" w:eastAsia="zh-CN"/>
                    </w:rPr>
                    <w:t>土</w:t>
                  </w:r>
                  <w:r>
                    <w:rPr>
                      <w:rFonts w:hint="default"/>
                      <w:color w:val="auto"/>
                      <w:highlight w:val="none"/>
                    </w:rPr>
                    <w:t>工布进行覆盖，并按照规定路线和时间行驶。</w:t>
                  </w:r>
                </w:p>
              </w:tc>
              <w:tc>
                <w:tcPr>
                  <w:tcW w:w="431" w:type="pct"/>
                  <w:tcBorders>
                    <w:tl2br w:val="nil"/>
                    <w:tr2bl w:val="nil"/>
                  </w:tcBorders>
                  <w:noWrap w:val="0"/>
                  <w:vAlign w:val="center"/>
                </w:tcPr>
                <w:p>
                  <w:pPr>
                    <w:pStyle w:val="34"/>
                    <w:keepNext w:val="0"/>
                    <w:keepLines w:val="0"/>
                    <w:pageBreakBefore w:val="0"/>
                    <w:widowControl w:val="0"/>
                    <w:kinsoku/>
                    <w:wordWrap/>
                    <w:overflowPunct w:val="0"/>
                    <w:topLinePunct w:val="0"/>
                    <w:autoSpaceDE/>
                    <w:autoSpaceDN/>
                    <w:bidi w:val="0"/>
                    <w:adjustRightInd/>
                    <w:snapToGrid/>
                    <w:textAlignment w:val="auto"/>
                    <w:rPr>
                      <w:rFonts w:hint="default"/>
                      <w:color w:val="auto"/>
                      <w:highlight w:val="none"/>
                      <w:lang w:val="en-US" w:eastAsia="zh-CN"/>
                    </w:rPr>
                  </w:pPr>
                  <w:r>
                    <w:rPr>
                      <w:rFonts w:hint="eastAsia"/>
                      <w:color w:val="auto"/>
                      <w:highlight w:val="none"/>
                      <w:lang w:val="en-US" w:eastAsia="zh-CN"/>
                    </w:rPr>
                    <w:t>符合</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color w:val="auto"/>
                <w:highlight w:val="none"/>
                <w:lang w:val="en-US" w:eastAsia="zh-CN"/>
              </w:rPr>
            </w:pPr>
            <w:r>
              <w:rPr>
                <w:rFonts w:hint="eastAsia"/>
                <w:color w:val="auto"/>
                <w:highlight w:val="none"/>
                <w:lang w:val="en-US" w:eastAsia="zh-CN"/>
              </w:rPr>
              <w:t>综上，本项目的建设符合《云南省大气污染防治条例（2018）》的相关要求。</w:t>
            </w:r>
          </w:p>
          <w:p>
            <w:pPr>
              <w:pStyle w:val="40"/>
              <w:bidi w:val="0"/>
              <w:rPr>
                <w:rFonts w:hint="eastAsia"/>
                <w:color w:val="auto"/>
                <w:highlight w:val="none"/>
                <w:lang w:val="en-US" w:eastAsia="zh-CN"/>
              </w:rPr>
            </w:pPr>
            <w:r>
              <w:rPr>
                <w:rFonts w:hint="eastAsia"/>
                <w:color w:val="auto"/>
                <w:highlight w:val="none"/>
                <w:lang w:val="en-US" w:eastAsia="zh-CN"/>
              </w:rPr>
              <w:t>10、与《云南省空气质量持续改善行动实施方案》（云政发〔2024〕14号）的符合性分析</w:t>
            </w:r>
          </w:p>
          <w:p>
            <w:pPr>
              <w:bidi w:val="0"/>
              <w:rPr>
                <w:rFonts w:hint="eastAsia" w:eastAsia="宋体"/>
                <w:color w:val="auto"/>
                <w:highlight w:val="none"/>
                <w:lang w:val="en-US" w:eastAsia="zh-CN"/>
              </w:rPr>
            </w:pPr>
            <w:r>
              <w:rPr>
                <w:rFonts w:hint="eastAsia"/>
                <w:color w:val="auto"/>
                <w:highlight w:val="none"/>
                <w:lang w:val="en-GB"/>
              </w:rPr>
              <w:t>2024年4月23日，云南省人民政府印发了</w:t>
            </w:r>
            <w:r>
              <w:rPr>
                <w:rFonts w:hint="eastAsia"/>
                <w:color w:val="auto"/>
                <w:highlight w:val="none"/>
                <w:lang w:val="en-GB" w:eastAsia="zh-CN"/>
              </w:rPr>
              <w:t>“</w:t>
            </w:r>
            <w:r>
              <w:rPr>
                <w:rFonts w:hint="eastAsia"/>
                <w:color w:val="auto"/>
                <w:highlight w:val="none"/>
                <w:lang w:val="en-GB"/>
              </w:rPr>
              <w:t>云南省人民政府关于印发</w:t>
            </w:r>
            <w:r>
              <w:rPr>
                <w:rFonts w:hint="eastAsia"/>
                <w:color w:val="auto"/>
                <w:highlight w:val="none"/>
                <w:lang w:val="en-GB" w:eastAsia="zh-CN"/>
              </w:rPr>
              <w:t>《</w:t>
            </w:r>
            <w:r>
              <w:rPr>
                <w:rFonts w:hint="eastAsia"/>
                <w:color w:val="auto"/>
                <w:highlight w:val="none"/>
                <w:lang w:val="en-GB"/>
              </w:rPr>
              <w:t>云南省空气质量持续改善行动实施方案</w:t>
            </w:r>
            <w:r>
              <w:rPr>
                <w:rFonts w:hint="eastAsia"/>
                <w:color w:val="auto"/>
                <w:highlight w:val="none"/>
                <w:lang w:val="en-GB" w:eastAsia="zh-CN"/>
              </w:rPr>
              <w:t>》</w:t>
            </w:r>
            <w:r>
              <w:rPr>
                <w:rFonts w:hint="eastAsia"/>
                <w:color w:val="auto"/>
                <w:highlight w:val="none"/>
                <w:lang w:val="en-GB"/>
              </w:rPr>
              <w:t>（云政发〔2024〕14号）的通知</w:t>
            </w:r>
            <w:r>
              <w:rPr>
                <w:rFonts w:hint="eastAsia"/>
                <w:color w:val="auto"/>
                <w:highlight w:val="none"/>
                <w:lang w:val="en-GB" w:eastAsia="zh-CN"/>
              </w:rPr>
              <w:t>”</w:t>
            </w:r>
            <w:r>
              <w:rPr>
                <w:rFonts w:hint="eastAsia"/>
                <w:color w:val="auto"/>
                <w:highlight w:val="none"/>
                <w:lang w:val="en-GB"/>
              </w:rPr>
              <w:t>，本项目与该</w:t>
            </w:r>
            <w:r>
              <w:rPr>
                <w:rFonts w:hint="eastAsia"/>
                <w:color w:val="auto"/>
                <w:highlight w:val="none"/>
                <w:lang w:val="en-US" w:eastAsia="zh-CN"/>
              </w:rPr>
              <w:t>实施</w:t>
            </w:r>
            <w:r>
              <w:rPr>
                <w:rFonts w:hint="eastAsia"/>
                <w:color w:val="auto"/>
                <w:highlight w:val="none"/>
                <w:lang w:val="en-GB"/>
              </w:rPr>
              <w:t>方案的符合性见</w:t>
            </w:r>
            <w:r>
              <w:rPr>
                <w:rFonts w:hint="eastAsia"/>
                <w:color w:val="auto"/>
                <w:highlight w:val="none"/>
                <w:lang w:val="en-US" w:eastAsia="zh-CN"/>
              </w:rPr>
              <w:t>下表：</w:t>
            </w:r>
          </w:p>
          <w:p>
            <w:pPr>
              <w:pStyle w:val="35"/>
              <w:bidi w:val="0"/>
              <w:rPr>
                <w:rFonts w:hint="default"/>
                <w:color w:val="auto"/>
                <w:highlight w:val="none"/>
                <w:lang w:val="en-US" w:eastAsia="zh-CN"/>
              </w:rPr>
            </w:pPr>
            <w:r>
              <w:rPr>
                <w:rFonts w:hint="eastAsia"/>
                <w:color w:val="auto"/>
                <w:highlight w:val="none"/>
                <w:lang w:val="en-US" w:eastAsia="zh-CN"/>
              </w:rPr>
              <w:t>表1-14  项目与“云政发〔2024〕14号”的符合性一览表</w:t>
            </w:r>
          </w:p>
          <w:tbl>
            <w:tblPr>
              <w:tblStyle w:val="23"/>
              <w:tblW w:w="705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5"/>
              <w:gridCol w:w="3850"/>
              <w:gridCol w:w="1928"/>
              <w:gridCol w:w="6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71"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序号</w:t>
                  </w:r>
                </w:p>
              </w:tc>
              <w:tc>
                <w:tcPr>
                  <w:tcW w:w="2730" w:type="pct"/>
                  <w:tcBorders>
                    <w:tl2br w:val="nil"/>
                    <w:tr2bl w:val="nil"/>
                  </w:tcBorders>
                  <w:noWrap w:val="0"/>
                  <w:vAlign w:val="center"/>
                </w:tcPr>
                <w:p>
                  <w:pPr>
                    <w:pStyle w:val="34"/>
                    <w:bidi w:val="0"/>
                    <w:rPr>
                      <w:rFonts w:hint="default"/>
                      <w:color w:val="auto"/>
                      <w:highlight w:val="none"/>
                    </w:rPr>
                  </w:pPr>
                  <w:r>
                    <w:rPr>
                      <w:rFonts w:hint="eastAsia"/>
                      <w:color w:val="auto"/>
                      <w:highlight w:val="none"/>
                      <w:lang w:val="en-US" w:eastAsia="zh-CN"/>
                    </w:rPr>
                    <w:t>“实施方案”要求</w:t>
                  </w:r>
                </w:p>
              </w:tc>
              <w:tc>
                <w:tcPr>
                  <w:tcW w:w="1367"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本项目情况</w:t>
                  </w:r>
                </w:p>
              </w:tc>
              <w:tc>
                <w:tcPr>
                  <w:tcW w:w="431" w:type="pct"/>
                  <w:tcBorders>
                    <w:tl2br w:val="nil"/>
                    <w:tr2bl w:val="nil"/>
                  </w:tcBorders>
                  <w:noWrap w:val="0"/>
                  <w:vAlign w:val="center"/>
                </w:tcPr>
                <w:p>
                  <w:pPr>
                    <w:pStyle w:val="34"/>
                    <w:bidi w:val="0"/>
                    <w:rPr>
                      <w:rFonts w:hint="default"/>
                      <w:color w:val="auto"/>
                      <w:highlight w:val="none"/>
                    </w:rPr>
                  </w:pPr>
                  <w:r>
                    <w:rPr>
                      <w:rFonts w:hint="eastAsia"/>
                      <w:color w:val="auto"/>
                      <w:highlight w:val="none"/>
                      <w:lang w:val="en-US" w:eastAsia="zh-CN"/>
                    </w:rPr>
                    <w:t>符合</w:t>
                  </w:r>
                  <w:r>
                    <w:rPr>
                      <w:rFonts w:hint="default"/>
                      <w:color w:val="auto"/>
                      <w:highlight w:val="none"/>
                    </w:rPr>
                    <w:t>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71" w:type="pct"/>
                  <w:vMerge w:val="restart"/>
                  <w:tcBorders>
                    <w:tl2br w:val="nil"/>
                    <w:tr2bl w:val="nil"/>
                  </w:tcBorders>
                  <w:noWrap w:val="0"/>
                  <w:vAlign w:val="center"/>
                </w:tcPr>
                <w:p>
                  <w:pPr>
                    <w:pStyle w:val="34"/>
                    <w:bidi w:val="0"/>
                    <w:rPr>
                      <w:rFonts w:hint="eastAsia"/>
                      <w:color w:val="auto"/>
                      <w:highlight w:val="none"/>
                      <w:lang w:val="en-US" w:eastAsia="zh-CN"/>
                    </w:rPr>
                  </w:pPr>
                  <w:r>
                    <w:rPr>
                      <w:rFonts w:hint="eastAsia"/>
                      <w:color w:val="auto"/>
                      <w:highlight w:val="none"/>
                      <w:lang w:val="en-US" w:eastAsia="zh-CN"/>
                    </w:rPr>
                    <w:t>二、优化产业结构</w:t>
                  </w:r>
                </w:p>
              </w:tc>
              <w:tc>
                <w:tcPr>
                  <w:tcW w:w="2730"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一）坚决遏制“两高一低”项目盲目上马。新改扩建项目严格落实国家和省产业规划、产业政策、生态环境分区管控方案、规划环评、项目环评、节能审查、产能置换、重点污染物总量控制、污染物排放区域削减、碳排放达峰目标等相关要求，原则上采用清洁运输方式。</w:t>
                  </w:r>
                </w:p>
              </w:tc>
              <w:tc>
                <w:tcPr>
                  <w:tcW w:w="1367" w:type="pct"/>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lang w:val="en-US" w:eastAsia="zh-CN"/>
                    </w:rPr>
                    <w:t>本项目</w:t>
                  </w:r>
                  <w:r>
                    <w:rPr>
                      <w:rFonts w:hint="eastAsia"/>
                      <w:color w:val="auto"/>
                      <w:highlight w:val="none"/>
                      <w:lang w:val="en-US" w:eastAsia="zh-CN"/>
                    </w:rPr>
                    <w:t>为</w:t>
                  </w:r>
                  <w:r>
                    <w:rPr>
                      <w:rFonts w:hint="default"/>
                      <w:color w:val="auto"/>
                      <w:highlight w:val="none"/>
                      <w:lang w:val="en-US" w:eastAsia="zh-CN"/>
                    </w:rPr>
                    <w:t>制氧系统技术改造节能项目，属于易门铜业有限公司铜冶炼配套公用工程，不属于高耗能、高排放、低水平项目；项目建设符合国家产业政策及生态环境分区管控要求，</w:t>
                  </w:r>
                  <w:r>
                    <w:rPr>
                      <w:rFonts w:hint="eastAsia"/>
                      <w:color w:val="auto"/>
                      <w:highlight w:val="none"/>
                      <w:lang w:val="en-GB" w:eastAsia="zh-CN"/>
                    </w:rPr>
                    <w:t>对比《产业结构调整指导目录（2024年本）》，本项目不属于其中的鼓励类、限制类及淘汰类建设项目，视为允许类项目。</w:t>
                  </w:r>
                  <w:r>
                    <w:rPr>
                      <w:rFonts w:hint="eastAsia"/>
                      <w:color w:val="auto"/>
                      <w:highlight w:val="none"/>
                      <w:lang w:val="en-US" w:eastAsia="zh-CN"/>
                    </w:rPr>
                    <w:t>本项目的最终产品为氧气，采用管道输送</w:t>
                  </w:r>
                  <w:r>
                    <w:rPr>
                      <w:rFonts w:hint="default"/>
                      <w:color w:val="auto"/>
                      <w:highlight w:val="none"/>
                      <w:lang w:val="en-US" w:eastAsia="zh-CN"/>
                    </w:rPr>
                    <w:t>。</w:t>
                  </w:r>
                </w:p>
              </w:tc>
              <w:tc>
                <w:tcPr>
                  <w:tcW w:w="431"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71" w:type="pct"/>
                  <w:vMerge w:val="continue"/>
                  <w:tcBorders>
                    <w:tl2br w:val="nil"/>
                    <w:tr2bl w:val="nil"/>
                  </w:tcBorders>
                  <w:noWrap w:val="0"/>
                  <w:vAlign w:val="center"/>
                </w:tcPr>
                <w:p>
                  <w:pPr>
                    <w:pStyle w:val="34"/>
                    <w:bidi w:val="0"/>
                    <w:rPr>
                      <w:rFonts w:hint="eastAsia"/>
                      <w:color w:val="auto"/>
                      <w:highlight w:val="none"/>
                      <w:lang w:val="en-US" w:eastAsia="zh-CN"/>
                    </w:rPr>
                  </w:pPr>
                </w:p>
              </w:tc>
              <w:tc>
                <w:tcPr>
                  <w:tcW w:w="2730" w:type="pct"/>
                  <w:tcBorders>
                    <w:tl2br w:val="nil"/>
                    <w:tr2bl w:val="nil"/>
                  </w:tcBorders>
                  <w:noWrap w:val="0"/>
                  <w:vAlign w:val="top"/>
                </w:tcPr>
                <w:p>
                  <w:pPr>
                    <w:pStyle w:val="34"/>
                    <w:bidi w:val="0"/>
                    <w:rPr>
                      <w:rFonts w:hint="default"/>
                      <w:color w:val="auto"/>
                      <w:highlight w:val="none"/>
                    </w:rPr>
                  </w:pPr>
                  <w:r>
                    <w:rPr>
                      <w:rFonts w:hint="default"/>
                      <w:color w:val="auto"/>
                      <w:highlight w:val="none"/>
                    </w:rPr>
                    <w:t>（二）推动落后产能退出。推动能耗、环保、质量、安全、技术达不到标准和生产不合格产品或淘汰类产能依法依规关停退出。不予审批限制类新建项目，按照国家要求对属于限制类的现有生产能力进行升级改造。</w:t>
                  </w:r>
                </w:p>
              </w:tc>
              <w:tc>
                <w:tcPr>
                  <w:tcW w:w="1367" w:type="pct"/>
                  <w:tcBorders>
                    <w:tl2br w:val="nil"/>
                    <w:tr2bl w:val="nil"/>
                  </w:tcBorders>
                  <w:noWrap w:val="0"/>
                  <w:vAlign w:val="center"/>
                </w:tcPr>
                <w:p>
                  <w:pPr>
                    <w:pStyle w:val="34"/>
                    <w:bidi w:val="0"/>
                    <w:rPr>
                      <w:rFonts w:hint="default"/>
                      <w:color w:val="auto"/>
                      <w:highlight w:val="none"/>
                      <w:lang w:val="en-US"/>
                    </w:rPr>
                  </w:pPr>
                  <w:r>
                    <w:rPr>
                      <w:rFonts w:hint="eastAsia"/>
                      <w:color w:val="auto"/>
                      <w:highlight w:val="none"/>
                      <w:lang w:val="en-GB" w:eastAsia="zh-CN"/>
                    </w:rPr>
                    <w:t>对</w:t>
                  </w:r>
                  <w:r>
                    <w:rPr>
                      <w:rFonts w:hint="eastAsia"/>
                      <w:color w:val="auto"/>
                      <w:highlight w:val="none"/>
                      <w:lang w:val="en-US" w:eastAsia="zh-CN"/>
                    </w:rPr>
                    <w:t>照</w:t>
                  </w:r>
                  <w:r>
                    <w:rPr>
                      <w:rFonts w:hint="eastAsia"/>
                      <w:color w:val="auto"/>
                      <w:highlight w:val="none"/>
                      <w:lang w:val="en-GB" w:eastAsia="zh-CN"/>
                    </w:rPr>
                    <w:t>《产业结构调整指导目录（2024年本）》，</w:t>
                  </w:r>
                  <w:r>
                    <w:rPr>
                      <w:rFonts w:hint="default"/>
                      <w:color w:val="auto"/>
                      <w:highlight w:val="none"/>
                      <w:lang w:val="en-US" w:eastAsia="zh-CN"/>
                    </w:rPr>
                    <w:t>本项目</w:t>
                  </w:r>
                  <w:r>
                    <w:rPr>
                      <w:rFonts w:hint="eastAsia"/>
                      <w:color w:val="auto"/>
                      <w:highlight w:val="none"/>
                      <w:lang w:val="en-US" w:eastAsia="zh-CN"/>
                    </w:rPr>
                    <w:t>不</w:t>
                  </w:r>
                  <w:r>
                    <w:rPr>
                      <w:rFonts w:hint="default"/>
                      <w:color w:val="auto"/>
                      <w:highlight w:val="none"/>
                      <w:lang w:val="en-US" w:eastAsia="zh-CN"/>
                    </w:rPr>
                    <w:t>属于</w:t>
                  </w:r>
                  <w:r>
                    <w:rPr>
                      <w:rFonts w:hint="default"/>
                      <w:color w:val="auto"/>
                      <w:highlight w:val="none"/>
                    </w:rPr>
                    <w:t>其中</w:t>
                  </w:r>
                  <w:r>
                    <w:rPr>
                      <w:rFonts w:hint="eastAsia"/>
                      <w:color w:val="auto"/>
                      <w:highlight w:val="none"/>
                      <w:lang w:val="en-US" w:eastAsia="zh-CN"/>
                    </w:rPr>
                    <w:t>的鼓励类、限制类及淘汰类建设项目，视为允许类建设项目</w:t>
                  </w:r>
                  <w:r>
                    <w:rPr>
                      <w:rFonts w:hint="eastAsia"/>
                      <w:color w:val="auto"/>
                      <w:highlight w:val="none"/>
                      <w:lang w:val="en-GB" w:eastAsia="zh-CN"/>
                    </w:rPr>
                    <w:t>。</w:t>
                  </w:r>
                </w:p>
              </w:tc>
              <w:tc>
                <w:tcPr>
                  <w:tcW w:w="431" w:type="pct"/>
                  <w:tcBorders>
                    <w:tl2br w:val="nil"/>
                    <w:tr2bl w:val="nil"/>
                  </w:tcBorders>
                  <w:noWrap w:val="0"/>
                  <w:vAlign w:val="center"/>
                </w:tcPr>
                <w:p>
                  <w:pPr>
                    <w:pStyle w:val="34"/>
                    <w:bidi w:val="0"/>
                    <w:rPr>
                      <w:rFonts w:hint="eastAsia"/>
                      <w:color w:val="auto"/>
                      <w:highlight w:val="none"/>
                      <w:lang w:val="en-US" w:eastAsia="zh-CN"/>
                    </w:rPr>
                  </w:pPr>
                  <w:r>
                    <w:rPr>
                      <w:rFonts w:hint="eastAsia"/>
                      <w:color w:val="auto"/>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71" w:type="pct"/>
                  <w:vMerge w:val="continue"/>
                  <w:tcBorders>
                    <w:tl2br w:val="nil"/>
                    <w:tr2bl w:val="nil"/>
                  </w:tcBorders>
                  <w:noWrap w:val="0"/>
                  <w:vAlign w:val="center"/>
                </w:tcPr>
                <w:p>
                  <w:pPr>
                    <w:pStyle w:val="34"/>
                    <w:bidi w:val="0"/>
                    <w:rPr>
                      <w:rFonts w:hint="default"/>
                      <w:color w:val="auto"/>
                      <w:highlight w:val="none"/>
                    </w:rPr>
                  </w:pPr>
                </w:p>
              </w:tc>
              <w:tc>
                <w:tcPr>
                  <w:tcW w:w="2730" w:type="pct"/>
                  <w:tcBorders>
                    <w:tl2br w:val="nil"/>
                    <w:tr2bl w:val="nil"/>
                  </w:tcBorders>
                  <w:noWrap w:val="0"/>
                  <w:vAlign w:val="center"/>
                </w:tcPr>
                <w:p>
                  <w:pPr>
                    <w:pStyle w:val="34"/>
                    <w:bidi w:val="0"/>
                    <w:rPr>
                      <w:rFonts w:hint="default"/>
                      <w:color w:val="auto"/>
                      <w:highlight w:val="none"/>
                      <w:lang w:val="en-US"/>
                    </w:rPr>
                  </w:pPr>
                  <w:r>
                    <w:rPr>
                      <w:rFonts w:hint="default"/>
                      <w:color w:val="auto"/>
                      <w:highlight w:val="none"/>
                      <w:lang w:val="en-US"/>
                    </w:rPr>
                    <w:t>（四）优化含VOCs原辅材料和产品结构。严格控制生产和使用高VOCs含量涂料、油墨、胶粘剂、清洗剂等建设项目，加大工业涂装、包装印刷和电子行业低（无）VOCs含量原辅材料替代力度。</w:t>
                  </w:r>
                </w:p>
              </w:tc>
              <w:tc>
                <w:tcPr>
                  <w:tcW w:w="1367" w:type="pct"/>
                  <w:tcBorders>
                    <w:tl2br w:val="nil"/>
                    <w:tr2bl w:val="nil"/>
                  </w:tcBorders>
                  <w:noWrap w:val="0"/>
                  <w:vAlign w:val="center"/>
                </w:tcPr>
                <w:p>
                  <w:pPr>
                    <w:pStyle w:val="34"/>
                    <w:bidi w:val="0"/>
                    <w:rPr>
                      <w:rFonts w:hint="default"/>
                      <w:color w:val="auto"/>
                      <w:highlight w:val="none"/>
                    </w:rPr>
                  </w:pPr>
                  <w:r>
                    <w:rPr>
                      <w:rFonts w:hint="default"/>
                      <w:color w:val="auto"/>
                      <w:highlight w:val="none"/>
                      <w:lang w:val="en-US" w:eastAsia="zh-CN"/>
                    </w:rPr>
                    <w:t>本项目</w:t>
                  </w:r>
                  <w:r>
                    <w:rPr>
                      <w:rFonts w:hint="eastAsia"/>
                      <w:color w:val="auto"/>
                      <w:highlight w:val="none"/>
                      <w:lang w:val="en-US" w:eastAsia="zh-CN"/>
                    </w:rPr>
                    <w:t>为</w:t>
                  </w:r>
                  <w:r>
                    <w:rPr>
                      <w:rFonts w:hint="default"/>
                      <w:color w:val="auto"/>
                      <w:highlight w:val="none"/>
                      <w:lang w:val="en-US" w:eastAsia="zh-CN"/>
                    </w:rPr>
                    <w:t>制氧系统技术改造节能项目，属于易门铜业有限公司铜冶炼配套公用工程，</w:t>
                  </w:r>
                  <w:r>
                    <w:rPr>
                      <w:rFonts w:hint="eastAsia"/>
                      <w:color w:val="auto"/>
                      <w:highlight w:val="none"/>
                      <w:lang w:val="en-US" w:eastAsia="zh-CN"/>
                    </w:rPr>
                    <w:t>项目运营过程中无废气污染物产生</w:t>
                  </w:r>
                  <w:r>
                    <w:rPr>
                      <w:rFonts w:hint="default"/>
                      <w:color w:val="auto"/>
                      <w:highlight w:val="none"/>
                      <w:lang w:val="en-US" w:eastAsia="zh-CN"/>
                    </w:rPr>
                    <w:t>。</w:t>
                  </w:r>
                </w:p>
              </w:tc>
              <w:tc>
                <w:tcPr>
                  <w:tcW w:w="431" w:type="pct"/>
                  <w:tcBorders>
                    <w:tl2br w:val="nil"/>
                    <w:tr2bl w:val="nil"/>
                  </w:tcBorders>
                  <w:noWrap w:val="0"/>
                  <w:vAlign w:val="center"/>
                </w:tcPr>
                <w:p>
                  <w:pPr>
                    <w:pStyle w:val="34"/>
                    <w:bidi w:val="0"/>
                    <w:rPr>
                      <w:rFonts w:hint="eastAsia"/>
                      <w:color w:val="auto"/>
                      <w:highlight w:val="none"/>
                      <w:lang w:val="en-US" w:eastAsia="zh-CN"/>
                    </w:rPr>
                  </w:pPr>
                  <w:r>
                    <w:rPr>
                      <w:rFonts w:hint="eastAsia"/>
                      <w:color w:val="auto"/>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71"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三、优化能源结构</w:t>
                  </w:r>
                </w:p>
              </w:tc>
              <w:tc>
                <w:tcPr>
                  <w:tcW w:w="2730" w:type="pct"/>
                  <w:tcBorders>
                    <w:tl2br w:val="nil"/>
                    <w:tr2bl w:val="nil"/>
                  </w:tcBorders>
                  <w:noWrap w:val="0"/>
                  <w:vAlign w:val="top"/>
                </w:tcPr>
                <w:p>
                  <w:pPr>
                    <w:pStyle w:val="34"/>
                    <w:bidi w:val="0"/>
                    <w:rPr>
                      <w:rFonts w:hint="default"/>
                      <w:color w:val="auto"/>
                      <w:highlight w:val="none"/>
                      <w:lang w:val="en-US"/>
                    </w:rPr>
                  </w:pPr>
                  <w:r>
                    <w:rPr>
                      <w:rFonts w:hint="default"/>
                      <w:color w:val="auto"/>
                      <w:highlight w:val="none"/>
                      <w:lang w:val="en-US"/>
                    </w:rPr>
                    <w:t>（九）推动工业炉窑清洁能源替代。有序推进以电代煤，积极稳妥推进以气代煤。对以煤、石油焦、渣油、重油等为燃料的工业炉窑，加快使用工业余热、电能、天然气等清洁能源进行替代。</w:t>
                  </w:r>
                </w:p>
              </w:tc>
              <w:tc>
                <w:tcPr>
                  <w:tcW w:w="1367" w:type="pct"/>
                  <w:tcBorders>
                    <w:tl2br w:val="nil"/>
                    <w:tr2bl w:val="nil"/>
                  </w:tcBorders>
                  <w:noWrap w:val="0"/>
                  <w:vAlign w:val="center"/>
                </w:tcPr>
                <w:p>
                  <w:pPr>
                    <w:pStyle w:val="34"/>
                    <w:bidi w:val="0"/>
                    <w:rPr>
                      <w:rFonts w:hint="default"/>
                      <w:color w:val="auto"/>
                      <w:highlight w:val="none"/>
                    </w:rPr>
                  </w:pPr>
                  <w:r>
                    <w:rPr>
                      <w:rFonts w:hint="default"/>
                      <w:color w:val="auto"/>
                      <w:highlight w:val="none"/>
                      <w:lang w:val="en-US" w:eastAsia="zh-CN"/>
                    </w:rPr>
                    <w:t>项目生产过程</w:t>
                  </w:r>
                  <w:r>
                    <w:rPr>
                      <w:rFonts w:hint="eastAsia"/>
                      <w:color w:val="auto"/>
                      <w:highlight w:val="none"/>
                      <w:lang w:val="en-US" w:eastAsia="zh-CN"/>
                    </w:rPr>
                    <w:t>仅使用少量电能、水资源及空气</w:t>
                  </w:r>
                  <w:r>
                    <w:rPr>
                      <w:rFonts w:hint="default"/>
                      <w:color w:val="auto"/>
                      <w:highlight w:val="none"/>
                      <w:lang w:val="en-US" w:eastAsia="zh-CN"/>
                    </w:rPr>
                    <w:t>，属于清洁能源</w:t>
                  </w:r>
                  <w:r>
                    <w:rPr>
                      <w:rFonts w:hint="eastAsia"/>
                      <w:color w:val="auto"/>
                      <w:highlight w:val="none"/>
                      <w:lang w:val="en-US" w:eastAsia="zh-CN"/>
                    </w:rPr>
                    <w:t>，不使用</w:t>
                  </w:r>
                  <w:r>
                    <w:rPr>
                      <w:rFonts w:hint="default"/>
                      <w:color w:val="auto"/>
                      <w:highlight w:val="none"/>
                      <w:lang w:val="en-US"/>
                    </w:rPr>
                    <w:t>煤、石油焦、渣油、重油等</w:t>
                  </w:r>
                  <w:r>
                    <w:rPr>
                      <w:rFonts w:hint="eastAsia"/>
                      <w:color w:val="auto"/>
                      <w:highlight w:val="none"/>
                      <w:lang w:val="en-US" w:eastAsia="zh-CN"/>
                    </w:rPr>
                    <w:t>燃料</w:t>
                  </w:r>
                  <w:r>
                    <w:rPr>
                      <w:rFonts w:hint="default"/>
                      <w:color w:val="auto"/>
                      <w:highlight w:val="none"/>
                      <w:lang w:val="en-US" w:eastAsia="zh-CN"/>
                    </w:rPr>
                    <w:t>。</w:t>
                  </w:r>
                </w:p>
              </w:tc>
              <w:tc>
                <w:tcPr>
                  <w:tcW w:w="431"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71" w:type="pct"/>
                  <w:vMerge w:val="restart"/>
                  <w:tcBorders>
                    <w:tl2br w:val="nil"/>
                    <w:tr2bl w:val="nil"/>
                  </w:tcBorders>
                  <w:noWrap w:val="0"/>
                  <w:vAlign w:val="center"/>
                </w:tcPr>
                <w:p>
                  <w:pPr>
                    <w:pStyle w:val="34"/>
                    <w:bidi w:val="0"/>
                    <w:rPr>
                      <w:rFonts w:hint="default"/>
                      <w:color w:val="auto"/>
                      <w:highlight w:val="none"/>
                    </w:rPr>
                  </w:pPr>
                  <w:r>
                    <w:rPr>
                      <w:rFonts w:hint="default"/>
                      <w:color w:val="auto"/>
                      <w:highlight w:val="none"/>
                    </w:rPr>
                    <w:t>四、优化交通结构</w:t>
                  </w:r>
                </w:p>
              </w:tc>
              <w:tc>
                <w:tcPr>
                  <w:tcW w:w="2730" w:type="pct"/>
                  <w:tcBorders>
                    <w:tl2br w:val="nil"/>
                    <w:tr2bl w:val="nil"/>
                  </w:tcBorders>
                  <w:noWrap w:val="0"/>
                  <w:vAlign w:val="top"/>
                </w:tcPr>
                <w:p>
                  <w:pPr>
                    <w:pStyle w:val="34"/>
                    <w:bidi w:val="0"/>
                    <w:rPr>
                      <w:rFonts w:hint="default"/>
                      <w:color w:val="auto"/>
                      <w:highlight w:val="none"/>
                      <w:lang w:val="en-US"/>
                    </w:rPr>
                  </w:pPr>
                  <w:r>
                    <w:rPr>
                      <w:rFonts w:hint="default"/>
                      <w:color w:val="auto"/>
                      <w:highlight w:val="none"/>
                      <w:lang w:val="en-US"/>
                    </w:rPr>
                    <w:t>（十）优化货物运输结构。大宗货物中长距离运输优先采用铁路、水路运输，短距离运输优先采用封闭式皮带廊道或新能源车船。</w:t>
                  </w:r>
                </w:p>
              </w:tc>
              <w:tc>
                <w:tcPr>
                  <w:tcW w:w="1367" w:type="pct"/>
                  <w:vMerge w:val="restart"/>
                  <w:tcBorders>
                    <w:tl2br w:val="nil"/>
                    <w:tr2bl w:val="nil"/>
                  </w:tcBorders>
                  <w:noWrap w:val="0"/>
                  <w:vAlign w:val="center"/>
                </w:tcPr>
                <w:p>
                  <w:pPr>
                    <w:pStyle w:val="34"/>
                    <w:bidi w:val="0"/>
                    <w:rPr>
                      <w:rFonts w:hint="default"/>
                      <w:color w:val="auto"/>
                      <w:highlight w:val="none"/>
                    </w:rPr>
                  </w:pPr>
                  <w:r>
                    <w:rPr>
                      <w:rFonts w:hint="default"/>
                      <w:color w:val="auto"/>
                      <w:highlight w:val="none"/>
                      <w:lang w:val="en-US" w:eastAsia="zh-CN"/>
                    </w:rPr>
                    <w:t>本</w:t>
                  </w:r>
                  <w:r>
                    <w:rPr>
                      <w:rFonts w:hint="eastAsia"/>
                      <w:color w:val="auto"/>
                      <w:highlight w:val="none"/>
                      <w:lang w:val="en-US" w:eastAsia="zh-CN"/>
                    </w:rPr>
                    <w:t>项目的产品为氧气，采用管道输送。</w:t>
                  </w:r>
                </w:p>
              </w:tc>
              <w:tc>
                <w:tcPr>
                  <w:tcW w:w="431" w:type="pct"/>
                  <w:tcBorders>
                    <w:tl2br w:val="nil"/>
                    <w:tr2bl w:val="nil"/>
                  </w:tcBorders>
                  <w:noWrap w:val="0"/>
                  <w:vAlign w:val="center"/>
                </w:tcPr>
                <w:p>
                  <w:pPr>
                    <w:pStyle w:val="34"/>
                    <w:bidi w:val="0"/>
                    <w:rPr>
                      <w:rFonts w:hint="eastAsia"/>
                      <w:color w:val="auto"/>
                      <w:highlight w:val="none"/>
                      <w:lang w:val="en-US" w:eastAsia="zh-CN"/>
                    </w:rPr>
                  </w:pPr>
                  <w:r>
                    <w:rPr>
                      <w:rFonts w:hint="eastAsia"/>
                      <w:color w:val="auto"/>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71" w:type="pct"/>
                  <w:vMerge w:val="continue"/>
                  <w:tcBorders>
                    <w:tl2br w:val="nil"/>
                    <w:tr2bl w:val="nil"/>
                  </w:tcBorders>
                  <w:noWrap w:val="0"/>
                  <w:vAlign w:val="center"/>
                </w:tcPr>
                <w:p>
                  <w:pPr>
                    <w:pStyle w:val="34"/>
                    <w:bidi w:val="0"/>
                    <w:rPr>
                      <w:rFonts w:hint="default"/>
                      <w:color w:val="auto"/>
                      <w:highlight w:val="none"/>
                    </w:rPr>
                  </w:pPr>
                </w:p>
              </w:tc>
              <w:tc>
                <w:tcPr>
                  <w:tcW w:w="2730" w:type="pct"/>
                  <w:tcBorders>
                    <w:tl2br w:val="nil"/>
                    <w:tr2bl w:val="nil"/>
                  </w:tcBorders>
                  <w:noWrap w:val="0"/>
                  <w:vAlign w:val="top"/>
                </w:tcPr>
                <w:p>
                  <w:pPr>
                    <w:pStyle w:val="34"/>
                    <w:bidi w:val="0"/>
                    <w:rPr>
                      <w:rFonts w:hint="default"/>
                      <w:color w:val="auto"/>
                      <w:highlight w:val="none"/>
                      <w:lang w:val="en-US"/>
                    </w:rPr>
                  </w:pPr>
                  <w:r>
                    <w:rPr>
                      <w:rFonts w:hint="default"/>
                      <w:color w:val="auto"/>
                      <w:highlight w:val="none"/>
                      <w:lang w:val="en-US"/>
                    </w:rPr>
                    <w:t>（十一）加快机动车清洁化进程。在火电、钢铁、煤炭、焦化、有色、水泥等行业和物流园区推广新能源中重型货车，发展零排放货运车队。</w:t>
                  </w:r>
                </w:p>
              </w:tc>
              <w:tc>
                <w:tcPr>
                  <w:tcW w:w="1367" w:type="pct"/>
                  <w:vMerge w:val="continue"/>
                  <w:tcBorders>
                    <w:tl2br w:val="nil"/>
                    <w:tr2bl w:val="nil"/>
                  </w:tcBorders>
                  <w:noWrap w:val="0"/>
                  <w:vAlign w:val="center"/>
                </w:tcPr>
                <w:p>
                  <w:pPr>
                    <w:pStyle w:val="34"/>
                    <w:bidi w:val="0"/>
                    <w:rPr>
                      <w:rFonts w:hint="default"/>
                      <w:color w:val="auto"/>
                      <w:highlight w:val="none"/>
                    </w:rPr>
                  </w:pPr>
                </w:p>
              </w:tc>
              <w:tc>
                <w:tcPr>
                  <w:tcW w:w="431" w:type="pct"/>
                  <w:tcBorders>
                    <w:tl2br w:val="nil"/>
                    <w:tr2bl w:val="nil"/>
                  </w:tcBorders>
                  <w:noWrap w:val="0"/>
                  <w:vAlign w:val="center"/>
                </w:tcPr>
                <w:p>
                  <w:pPr>
                    <w:pStyle w:val="34"/>
                    <w:bidi w:val="0"/>
                    <w:rPr>
                      <w:rFonts w:hint="eastAsia"/>
                      <w:color w:val="auto"/>
                      <w:highlight w:val="none"/>
                      <w:lang w:val="en-US" w:eastAsia="zh-CN"/>
                    </w:rPr>
                  </w:pPr>
                  <w:r>
                    <w:rPr>
                      <w:rFonts w:hint="eastAsia"/>
                      <w:color w:val="auto"/>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71"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五、提升面源污染治理精细化水平</w:t>
                  </w:r>
                </w:p>
              </w:tc>
              <w:tc>
                <w:tcPr>
                  <w:tcW w:w="2730" w:type="pct"/>
                  <w:tcBorders>
                    <w:tl2br w:val="nil"/>
                    <w:tr2bl w:val="nil"/>
                  </w:tcBorders>
                  <w:noWrap w:val="0"/>
                  <w:vAlign w:val="top"/>
                </w:tcPr>
                <w:p>
                  <w:pPr>
                    <w:pStyle w:val="34"/>
                    <w:bidi w:val="0"/>
                    <w:rPr>
                      <w:rFonts w:hint="default"/>
                      <w:color w:val="auto"/>
                      <w:highlight w:val="none"/>
                      <w:lang w:val="en-US"/>
                    </w:rPr>
                  </w:pPr>
                  <w:r>
                    <w:rPr>
                      <w:rFonts w:hint="default"/>
                      <w:color w:val="auto"/>
                      <w:highlight w:val="none"/>
                      <w:lang w:val="en-US"/>
                    </w:rPr>
                    <w:t>（十四）持续推动扬尘污染治理管控。严格落实建筑施工工地“六个百分之百”要求，对城市公共裸地进行排查建档并采取防尘措施。</w:t>
                  </w:r>
                </w:p>
              </w:tc>
              <w:tc>
                <w:tcPr>
                  <w:tcW w:w="1367" w:type="pct"/>
                  <w:tcBorders>
                    <w:tl2br w:val="nil"/>
                    <w:tr2bl w:val="nil"/>
                  </w:tcBorders>
                  <w:noWrap w:val="0"/>
                  <w:vAlign w:val="center"/>
                </w:tcPr>
                <w:p>
                  <w:pPr>
                    <w:pStyle w:val="34"/>
                    <w:bidi w:val="0"/>
                    <w:rPr>
                      <w:rFonts w:hint="default"/>
                      <w:color w:val="auto"/>
                      <w:highlight w:val="none"/>
                    </w:rPr>
                  </w:pPr>
                  <w:r>
                    <w:rPr>
                      <w:rFonts w:hint="default"/>
                      <w:color w:val="auto"/>
                      <w:highlight w:val="none"/>
                      <w:lang w:val="en-US" w:eastAsia="zh-CN"/>
                    </w:rPr>
                    <w:t>本次评价针对施工期扬尘影响提出遮盖防尘网、洒水降尘等污染防治措施，减少扬尘污染。</w:t>
                  </w:r>
                </w:p>
              </w:tc>
              <w:tc>
                <w:tcPr>
                  <w:tcW w:w="431"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符合</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color w:val="auto"/>
                <w:highlight w:val="none"/>
                <w:lang w:val="en-US" w:eastAsia="zh-CN"/>
              </w:rPr>
            </w:pPr>
            <w:r>
              <w:rPr>
                <w:rFonts w:hint="eastAsia"/>
                <w:color w:val="auto"/>
                <w:highlight w:val="none"/>
                <w:lang w:val="en-US" w:eastAsia="zh-CN"/>
              </w:rPr>
              <w:t>综上，本项目的建设符合</w:t>
            </w:r>
            <w:r>
              <w:rPr>
                <w:rFonts w:hint="eastAsia"/>
                <w:color w:val="auto"/>
                <w:highlight w:val="none"/>
                <w:lang w:val="en-GB" w:eastAsia="zh-CN"/>
              </w:rPr>
              <w:t>《</w:t>
            </w:r>
            <w:r>
              <w:rPr>
                <w:rFonts w:hint="eastAsia"/>
                <w:color w:val="auto"/>
                <w:highlight w:val="none"/>
                <w:lang w:val="en-GB"/>
              </w:rPr>
              <w:t>云南省空气质量持续改善行动实施方案</w:t>
            </w:r>
            <w:r>
              <w:rPr>
                <w:rFonts w:hint="eastAsia"/>
                <w:color w:val="auto"/>
                <w:highlight w:val="none"/>
                <w:lang w:val="en-GB" w:eastAsia="zh-CN"/>
              </w:rPr>
              <w:t>》</w:t>
            </w:r>
            <w:r>
              <w:rPr>
                <w:rFonts w:hint="eastAsia"/>
                <w:color w:val="auto"/>
                <w:highlight w:val="none"/>
                <w:lang w:val="en-GB"/>
              </w:rPr>
              <w:t>（云政发〔2024〕14号）</w:t>
            </w:r>
            <w:r>
              <w:rPr>
                <w:rFonts w:hint="eastAsia"/>
                <w:color w:val="auto"/>
                <w:highlight w:val="none"/>
                <w:lang w:val="en-US" w:eastAsia="zh-CN"/>
              </w:rPr>
              <w:t>的相关要求。</w:t>
            </w:r>
          </w:p>
          <w:p>
            <w:pPr>
              <w:pStyle w:val="40"/>
              <w:bidi w:val="0"/>
              <w:rPr>
                <w:rFonts w:hint="default"/>
                <w:color w:val="auto"/>
                <w:highlight w:val="none"/>
                <w:lang w:val="en-US" w:eastAsia="zh-CN"/>
              </w:rPr>
            </w:pPr>
            <w:r>
              <w:rPr>
                <w:rFonts w:hint="eastAsia"/>
                <w:color w:val="auto"/>
                <w:highlight w:val="none"/>
                <w:lang w:val="en-US" w:eastAsia="zh-CN"/>
              </w:rPr>
              <w:t>11、与《</w:t>
            </w:r>
            <w:r>
              <w:rPr>
                <w:rFonts w:hint="eastAsia"/>
                <w:color w:val="auto"/>
                <w:highlight w:val="none"/>
                <w:lang w:val="en-US" w:eastAsia="zh-CN"/>
              </w:rPr>
              <w:fldChar w:fldCharType="begin"/>
            </w:r>
            <w:r>
              <w:rPr>
                <w:rFonts w:hint="eastAsia"/>
                <w:color w:val="auto"/>
                <w:highlight w:val="none"/>
                <w:lang w:val="en-US" w:eastAsia="zh-CN"/>
              </w:rPr>
              <w:instrText xml:space="preserve"> HYPERLINK "https://www.eiacloud.com/hpyzs/lawsRegulations/searchDetail?id=6ecf3648432d4037888383d155df37bf" \t "https://www.eiacloud.com/hpyzs/lawsRegulations/_blank" </w:instrText>
            </w:r>
            <w:r>
              <w:rPr>
                <w:rFonts w:hint="eastAsia"/>
                <w:color w:val="auto"/>
                <w:highlight w:val="none"/>
                <w:lang w:val="en-US" w:eastAsia="zh-CN"/>
              </w:rPr>
              <w:fldChar w:fldCharType="separate"/>
            </w:r>
            <w:r>
              <w:rPr>
                <w:rFonts w:hint="eastAsia"/>
                <w:color w:val="auto"/>
                <w:highlight w:val="none"/>
                <w:lang w:val="en-US" w:eastAsia="zh-CN"/>
              </w:rPr>
              <w:t>中华人民共和国噪声污染防治法（2021）</w:t>
            </w:r>
            <w:r>
              <w:rPr>
                <w:rFonts w:hint="eastAsia"/>
                <w:color w:val="auto"/>
                <w:highlight w:val="none"/>
                <w:lang w:val="en-US" w:eastAsia="zh-CN"/>
              </w:rPr>
              <w:fldChar w:fldCharType="end"/>
            </w:r>
            <w:r>
              <w:rPr>
                <w:rFonts w:hint="eastAsia"/>
                <w:color w:val="auto"/>
                <w:highlight w:val="none"/>
                <w:lang w:val="en-US" w:eastAsia="zh-CN"/>
              </w:rPr>
              <w:t>》（中华人民共和国主席令第一〇四号）的符合性分析</w:t>
            </w:r>
          </w:p>
          <w:p>
            <w:pPr>
              <w:bidi w:val="0"/>
              <w:rPr>
                <w:rFonts w:hint="default"/>
                <w:color w:val="auto"/>
                <w:highlight w:val="none"/>
                <w:lang w:val="en-US" w:eastAsia="zh-CN"/>
              </w:rPr>
            </w:pPr>
            <w:r>
              <w:rPr>
                <w:rFonts w:hint="eastAsia"/>
                <w:color w:val="auto"/>
                <w:highlight w:val="none"/>
                <w:lang w:val="en-US" w:eastAsia="zh-CN"/>
              </w:rPr>
              <w:t>《中华人民共和国噪声污染防治法》已由中华人民共和国第十三届全国人民代表大会常务委员会第三十二次会议于2021年12月24日通过并公布，自2022年6月5日起施行。本项目与其符合性分析详见下表：</w:t>
            </w:r>
          </w:p>
          <w:p>
            <w:pPr>
              <w:pStyle w:val="35"/>
              <w:bidi w:val="0"/>
              <w:rPr>
                <w:rFonts w:hint="default"/>
                <w:color w:val="auto"/>
                <w:highlight w:val="none"/>
                <w:lang w:val="en-US" w:eastAsia="zh-CN"/>
              </w:rPr>
            </w:pPr>
            <w:r>
              <w:rPr>
                <w:rFonts w:hint="eastAsia"/>
                <w:color w:val="auto"/>
                <w:highlight w:val="none"/>
                <w:lang w:val="en-US" w:eastAsia="zh-CN"/>
              </w:rPr>
              <w:t>表1-15  项目与《中华人民共和国噪声污染防治法》的符合性分析一览表</w:t>
            </w:r>
          </w:p>
          <w:tbl>
            <w:tblPr>
              <w:tblStyle w:val="23"/>
              <w:tblW w:w="508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2"/>
              <w:gridCol w:w="3083"/>
              <w:gridCol w:w="2593"/>
              <w:gridCol w:w="7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4" w:type="pct"/>
                  <w:tcBorders>
                    <w:tl2br w:val="nil"/>
                    <w:tr2bl w:val="nil"/>
                  </w:tcBorders>
                  <w:noWrap w:val="0"/>
                  <w:vAlign w:val="center"/>
                </w:tcPr>
                <w:p>
                  <w:pPr>
                    <w:pStyle w:val="34"/>
                    <w:bidi w:val="0"/>
                    <w:jc w:val="center"/>
                    <w:rPr>
                      <w:rFonts w:hint="default"/>
                      <w:color w:val="auto"/>
                      <w:highlight w:val="none"/>
                    </w:rPr>
                  </w:pPr>
                  <w:r>
                    <w:rPr>
                      <w:rFonts w:hint="default"/>
                      <w:color w:val="auto"/>
                      <w:highlight w:val="none"/>
                    </w:rPr>
                    <w:t>序号</w:t>
                  </w:r>
                </w:p>
              </w:tc>
              <w:tc>
                <w:tcPr>
                  <w:tcW w:w="2169" w:type="pct"/>
                  <w:tcBorders>
                    <w:tl2br w:val="nil"/>
                    <w:tr2bl w:val="nil"/>
                  </w:tcBorders>
                  <w:noWrap w:val="0"/>
                  <w:vAlign w:val="center"/>
                </w:tcPr>
                <w:p>
                  <w:pPr>
                    <w:pStyle w:val="34"/>
                    <w:bidi w:val="0"/>
                    <w:jc w:val="center"/>
                    <w:rPr>
                      <w:rFonts w:hint="default"/>
                      <w:color w:val="auto"/>
                      <w:highlight w:val="none"/>
                    </w:rPr>
                  </w:pPr>
                  <w:r>
                    <w:rPr>
                      <w:rFonts w:hint="eastAsia"/>
                      <w:color w:val="auto"/>
                      <w:highlight w:val="none"/>
                      <w:lang w:val="en-US" w:eastAsia="zh-CN"/>
                    </w:rPr>
                    <w:t>“噪声污染防治法”要求</w:t>
                  </w:r>
                </w:p>
              </w:tc>
              <w:tc>
                <w:tcPr>
                  <w:tcW w:w="1824" w:type="pct"/>
                  <w:tcBorders>
                    <w:tl2br w:val="nil"/>
                    <w:tr2bl w:val="nil"/>
                  </w:tcBorders>
                  <w:noWrap w:val="0"/>
                  <w:vAlign w:val="center"/>
                </w:tcPr>
                <w:p>
                  <w:pPr>
                    <w:pStyle w:val="34"/>
                    <w:bidi w:val="0"/>
                    <w:jc w:val="center"/>
                    <w:rPr>
                      <w:rFonts w:hint="default"/>
                      <w:color w:val="auto"/>
                      <w:highlight w:val="none"/>
                    </w:rPr>
                  </w:pPr>
                  <w:r>
                    <w:rPr>
                      <w:rFonts w:hint="default"/>
                      <w:color w:val="auto"/>
                      <w:highlight w:val="none"/>
                    </w:rPr>
                    <w:t>本项目情况</w:t>
                  </w:r>
                </w:p>
              </w:tc>
              <w:tc>
                <w:tcPr>
                  <w:tcW w:w="561" w:type="pct"/>
                  <w:tcBorders>
                    <w:tl2br w:val="nil"/>
                    <w:tr2bl w:val="nil"/>
                  </w:tcBorders>
                  <w:noWrap w:val="0"/>
                  <w:vAlign w:val="center"/>
                </w:tcPr>
                <w:p>
                  <w:pPr>
                    <w:pStyle w:val="34"/>
                    <w:bidi w:val="0"/>
                    <w:jc w:val="center"/>
                    <w:rPr>
                      <w:rFonts w:hint="default"/>
                      <w:color w:val="auto"/>
                      <w:highlight w:val="none"/>
                    </w:rPr>
                  </w:pPr>
                  <w:r>
                    <w:rPr>
                      <w:rFonts w:hint="eastAsia"/>
                      <w:color w:val="auto"/>
                      <w:highlight w:val="none"/>
                      <w:lang w:val="en-US" w:eastAsia="zh-CN"/>
                    </w:rPr>
                    <w:t>符合</w:t>
                  </w:r>
                  <w:r>
                    <w:rPr>
                      <w:rFonts w:hint="default"/>
                      <w:color w:val="auto"/>
                      <w:highlight w:val="none"/>
                    </w:rPr>
                    <w:t>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4" w:type="pct"/>
                  <w:tcBorders>
                    <w:tl2br w:val="nil"/>
                    <w:tr2bl w:val="nil"/>
                  </w:tcBorders>
                  <w:noWrap w:val="0"/>
                  <w:vAlign w:val="center"/>
                </w:tcPr>
                <w:p>
                  <w:pPr>
                    <w:pStyle w:val="34"/>
                    <w:bidi w:val="0"/>
                    <w:jc w:val="center"/>
                    <w:rPr>
                      <w:rFonts w:hint="eastAsia" w:eastAsia="宋体"/>
                      <w:color w:val="auto"/>
                      <w:highlight w:val="none"/>
                      <w:lang w:val="en-US" w:eastAsia="zh-CN"/>
                    </w:rPr>
                  </w:pPr>
                  <w:r>
                    <w:rPr>
                      <w:rFonts w:hint="eastAsia"/>
                      <w:color w:val="auto"/>
                      <w:highlight w:val="none"/>
                      <w:lang w:val="en-US" w:eastAsia="zh-CN"/>
                    </w:rPr>
                    <w:t>1</w:t>
                  </w:r>
                </w:p>
              </w:tc>
              <w:tc>
                <w:tcPr>
                  <w:tcW w:w="2169" w:type="pct"/>
                  <w:tcBorders>
                    <w:tl2br w:val="nil"/>
                    <w:tr2bl w:val="nil"/>
                  </w:tcBorders>
                  <w:noWrap w:val="0"/>
                  <w:vAlign w:val="center"/>
                </w:tcPr>
                <w:p>
                  <w:pPr>
                    <w:pStyle w:val="34"/>
                    <w:bidi w:val="0"/>
                    <w:jc w:val="center"/>
                    <w:rPr>
                      <w:rFonts w:hint="eastAsia"/>
                      <w:color w:val="auto"/>
                      <w:highlight w:val="none"/>
                      <w:lang w:val="en-US" w:eastAsia="zh-CN"/>
                    </w:rPr>
                  </w:pPr>
                  <w:r>
                    <w:rPr>
                      <w:rFonts w:hint="eastAsia"/>
                      <w:color w:val="auto"/>
                      <w:highlight w:val="none"/>
                      <w:lang w:val="en-US" w:eastAsia="zh-CN"/>
                    </w:rPr>
                    <w:t>第三十四条、本法所称工业噪声，是指在工业生产活动中产生的干扰周围生活环境的声音</w:t>
                  </w:r>
                </w:p>
              </w:tc>
              <w:tc>
                <w:tcPr>
                  <w:tcW w:w="1824" w:type="pct"/>
                  <w:tcBorders>
                    <w:tl2br w:val="nil"/>
                    <w:tr2bl w:val="nil"/>
                  </w:tcBorders>
                  <w:noWrap w:val="0"/>
                  <w:vAlign w:val="center"/>
                </w:tcPr>
                <w:p>
                  <w:pPr>
                    <w:pStyle w:val="34"/>
                    <w:bidi w:val="0"/>
                    <w:jc w:val="center"/>
                    <w:rPr>
                      <w:rFonts w:hint="default" w:eastAsia="宋体"/>
                      <w:color w:val="auto"/>
                      <w:highlight w:val="none"/>
                      <w:lang w:val="en-US" w:eastAsia="zh-CN"/>
                    </w:rPr>
                  </w:pPr>
                  <w:r>
                    <w:rPr>
                      <w:rFonts w:hint="eastAsia"/>
                      <w:color w:val="auto"/>
                      <w:highlight w:val="none"/>
                      <w:lang w:val="en-US" w:eastAsia="zh-CN"/>
                    </w:rPr>
                    <w:t>本项目为易门铜业有限公司制氧系统技术改造节能项目，运营期产生的噪声包括设备噪声及排气噪声，属于工业噪声</w:t>
                  </w:r>
                </w:p>
              </w:tc>
              <w:tc>
                <w:tcPr>
                  <w:tcW w:w="561" w:type="pct"/>
                  <w:tcBorders>
                    <w:tl2br w:val="nil"/>
                    <w:tr2bl w:val="nil"/>
                  </w:tcBorders>
                  <w:noWrap w:val="0"/>
                  <w:vAlign w:val="center"/>
                </w:tcPr>
                <w:p>
                  <w:pPr>
                    <w:pStyle w:val="34"/>
                    <w:bidi w:val="0"/>
                    <w:jc w:val="center"/>
                    <w:rPr>
                      <w:rFonts w:hint="default"/>
                      <w:color w:val="auto"/>
                      <w:highlight w:val="none"/>
                      <w:lang w:val="en-US" w:eastAsia="zh-CN"/>
                    </w:rPr>
                  </w:pPr>
                  <w:r>
                    <w:rPr>
                      <w:rFonts w:hint="eastAsia"/>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4" w:type="pct"/>
                  <w:tcBorders>
                    <w:tl2br w:val="nil"/>
                    <w:tr2bl w:val="nil"/>
                  </w:tcBorders>
                  <w:noWrap w:val="0"/>
                  <w:vAlign w:val="center"/>
                </w:tcPr>
                <w:p>
                  <w:pPr>
                    <w:pStyle w:val="34"/>
                    <w:bidi w:val="0"/>
                    <w:jc w:val="center"/>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2</w:t>
                  </w:r>
                </w:p>
              </w:tc>
              <w:tc>
                <w:tcPr>
                  <w:tcW w:w="2169" w:type="pct"/>
                  <w:tcBorders>
                    <w:tl2br w:val="nil"/>
                    <w:tr2bl w:val="nil"/>
                  </w:tcBorders>
                  <w:shd w:val="clear" w:color="auto" w:fill="auto"/>
                  <w:noWrap w:val="0"/>
                  <w:vAlign w:val="center"/>
                </w:tcPr>
                <w:p>
                  <w:pPr>
                    <w:pStyle w:val="34"/>
                    <w:bidi w:val="0"/>
                    <w:ind w:left="0" w:leftChars="0" w:firstLine="0" w:firstLineChars="0"/>
                    <w:jc w:val="center"/>
                    <w:rPr>
                      <w:rFonts w:hint="eastAsia" w:ascii="Times New Roman" w:hAnsi="Times New Roman" w:eastAsia="宋体" w:cstheme="minorBidi"/>
                      <w:color w:val="auto"/>
                      <w:kern w:val="2"/>
                      <w:sz w:val="18"/>
                      <w:szCs w:val="18"/>
                      <w:highlight w:val="none"/>
                      <w:lang w:val="en-US" w:eastAsia="zh-CN" w:bidi="ar-SA"/>
                    </w:rPr>
                  </w:pPr>
                  <w:r>
                    <w:rPr>
                      <w:rFonts w:hint="eastAsia" w:ascii="Times New Roman" w:hAnsi="Times New Roman" w:eastAsia="宋体"/>
                      <w:color w:val="auto"/>
                      <w:highlight w:val="none"/>
                      <w:lang w:val="en-US" w:eastAsia="zh-CN"/>
                    </w:rPr>
                    <w:t>第二十五条、建设项目的噪声污染防治设施应当与主体工程同时设计、同时施工、同时投产使用</w:t>
                  </w:r>
                </w:p>
              </w:tc>
              <w:tc>
                <w:tcPr>
                  <w:tcW w:w="1824" w:type="pct"/>
                  <w:tcBorders>
                    <w:tl2br w:val="nil"/>
                    <w:tr2bl w:val="nil"/>
                  </w:tcBorders>
                  <w:shd w:val="clear" w:color="auto" w:fill="auto"/>
                  <w:noWrap w:val="0"/>
                  <w:vAlign w:val="center"/>
                </w:tcPr>
                <w:p>
                  <w:pPr>
                    <w:pStyle w:val="34"/>
                    <w:bidi w:val="0"/>
                    <w:ind w:left="0" w:leftChars="0" w:firstLine="0" w:firstLineChars="0"/>
                    <w:jc w:val="center"/>
                    <w:rPr>
                      <w:rFonts w:hint="default" w:ascii="Times New Roman" w:hAnsi="Times New Roman" w:eastAsia="宋体" w:cstheme="minorBidi"/>
                      <w:color w:val="auto"/>
                      <w:kern w:val="2"/>
                      <w:sz w:val="18"/>
                      <w:szCs w:val="18"/>
                      <w:highlight w:val="none"/>
                      <w:lang w:val="en-US" w:eastAsia="zh-CN" w:bidi="ar-SA"/>
                    </w:rPr>
                  </w:pPr>
                  <w:r>
                    <w:rPr>
                      <w:rFonts w:hint="default"/>
                      <w:color w:val="auto"/>
                      <w:highlight w:val="none"/>
                    </w:rPr>
                    <w:t>项目噪声污染防治设施（室内布置、基础减振、进出口消声器等）均与主体工程同步设计、同步施工、同步投用，严格执行</w:t>
                  </w:r>
                  <w:r>
                    <w:rPr>
                      <w:rFonts w:hint="eastAsia"/>
                      <w:color w:val="auto"/>
                      <w:highlight w:val="none"/>
                      <w:lang w:eastAsia="zh-CN"/>
                    </w:rPr>
                    <w:t>“</w:t>
                  </w:r>
                  <w:r>
                    <w:rPr>
                      <w:rFonts w:hint="default"/>
                      <w:color w:val="auto"/>
                      <w:highlight w:val="none"/>
                    </w:rPr>
                    <w:t>三同时</w:t>
                  </w:r>
                  <w:r>
                    <w:rPr>
                      <w:rFonts w:hint="eastAsia"/>
                      <w:color w:val="auto"/>
                      <w:highlight w:val="none"/>
                      <w:lang w:eastAsia="zh-CN"/>
                    </w:rPr>
                    <w:t>”</w:t>
                  </w:r>
                  <w:r>
                    <w:rPr>
                      <w:rFonts w:hint="default"/>
                      <w:color w:val="auto"/>
                      <w:highlight w:val="none"/>
                    </w:rPr>
                    <w:t>制度。</w:t>
                  </w:r>
                </w:p>
              </w:tc>
              <w:tc>
                <w:tcPr>
                  <w:tcW w:w="561" w:type="pct"/>
                  <w:tcBorders>
                    <w:tl2br w:val="nil"/>
                    <w:tr2bl w:val="nil"/>
                  </w:tcBorders>
                  <w:noWrap w:val="0"/>
                  <w:vAlign w:val="center"/>
                </w:tcPr>
                <w:p>
                  <w:pPr>
                    <w:pStyle w:val="34"/>
                    <w:bidi w:val="0"/>
                    <w:jc w:val="center"/>
                    <w:rPr>
                      <w:rFonts w:hint="default"/>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4" w:type="pct"/>
                  <w:tcBorders>
                    <w:tl2br w:val="nil"/>
                    <w:tr2bl w:val="nil"/>
                  </w:tcBorders>
                  <w:noWrap w:val="0"/>
                  <w:vAlign w:val="center"/>
                </w:tcPr>
                <w:p>
                  <w:pPr>
                    <w:pStyle w:val="34"/>
                    <w:bidi w:val="0"/>
                    <w:jc w:val="center"/>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3</w:t>
                  </w:r>
                </w:p>
              </w:tc>
              <w:tc>
                <w:tcPr>
                  <w:tcW w:w="2169" w:type="pct"/>
                  <w:tcBorders>
                    <w:tl2br w:val="nil"/>
                    <w:tr2bl w:val="nil"/>
                  </w:tcBorders>
                  <w:shd w:val="clear" w:color="auto" w:fill="auto"/>
                  <w:noWrap w:val="0"/>
                  <w:vAlign w:val="center"/>
                </w:tcPr>
                <w:p>
                  <w:pPr>
                    <w:pStyle w:val="34"/>
                    <w:bidi w:val="0"/>
                    <w:ind w:left="0" w:leftChars="0" w:firstLine="0" w:firstLineChars="0"/>
                    <w:jc w:val="center"/>
                    <w:rPr>
                      <w:rFonts w:hint="eastAsia" w:ascii="Times New Roman" w:hAnsi="Times New Roman" w:eastAsia="宋体" w:cstheme="minorBidi"/>
                      <w:color w:val="auto"/>
                      <w:kern w:val="2"/>
                      <w:sz w:val="18"/>
                      <w:szCs w:val="18"/>
                      <w:highlight w:val="none"/>
                      <w:lang w:val="en-US" w:eastAsia="zh-CN" w:bidi="ar-SA"/>
                    </w:rPr>
                  </w:pPr>
                  <w:r>
                    <w:rPr>
                      <w:rFonts w:hint="eastAsia" w:ascii="Times New Roman" w:hAnsi="Times New Roman" w:eastAsia="宋体"/>
                      <w:color w:val="auto"/>
                      <w:highlight w:val="none"/>
                      <w:lang w:val="en-US" w:eastAsia="zh-CN"/>
                    </w:rPr>
                    <w:t>第三十五条、工业企业选址应当符合国土空间规划以及相关规划要求，优化布局，防止工业噪声污染</w:t>
                  </w:r>
                </w:p>
              </w:tc>
              <w:tc>
                <w:tcPr>
                  <w:tcW w:w="1824" w:type="pct"/>
                  <w:tcBorders>
                    <w:tl2br w:val="nil"/>
                    <w:tr2bl w:val="nil"/>
                  </w:tcBorders>
                  <w:shd w:val="clear" w:color="auto" w:fill="auto"/>
                  <w:noWrap w:val="0"/>
                  <w:vAlign w:val="center"/>
                </w:tcPr>
                <w:p>
                  <w:pPr>
                    <w:pStyle w:val="34"/>
                    <w:bidi w:val="0"/>
                    <w:ind w:left="0" w:leftChars="0" w:firstLine="0" w:firstLineChars="0"/>
                    <w:jc w:val="center"/>
                    <w:rPr>
                      <w:rFonts w:hint="default" w:ascii="Times New Roman" w:hAnsi="Times New Roman" w:eastAsia="宋体" w:cstheme="minorBidi"/>
                      <w:color w:val="auto"/>
                      <w:kern w:val="2"/>
                      <w:sz w:val="18"/>
                      <w:szCs w:val="18"/>
                      <w:highlight w:val="none"/>
                      <w:lang w:val="en-US" w:eastAsia="zh-CN" w:bidi="ar-SA"/>
                    </w:rPr>
                  </w:pPr>
                  <w:r>
                    <w:rPr>
                      <w:rFonts w:hint="eastAsia"/>
                      <w:color w:val="auto"/>
                      <w:highlight w:val="none"/>
                      <w:lang w:val="en-US" w:eastAsia="zh-CN"/>
                    </w:rPr>
                    <w:t>本次改建</w:t>
                  </w:r>
                  <w:r>
                    <w:rPr>
                      <w:rFonts w:hint="default"/>
                      <w:color w:val="auto"/>
                      <w:highlight w:val="none"/>
                    </w:rPr>
                    <w:t>项目位于</w:t>
                  </w:r>
                  <w:r>
                    <w:rPr>
                      <w:rFonts w:hint="eastAsia"/>
                      <w:color w:val="auto"/>
                      <w:highlight w:val="none"/>
                      <w:lang w:val="en-US" w:eastAsia="zh-CN"/>
                    </w:rPr>
                    <w:t>易门铜业有限公司</w:t>
                  </w:r>
                  <w:r>
                    <w:rPr>
                      <w:rFonts w:hint="default"/>
                      <w:color w:val="auto"/>
                      <w:highlight w:val="none"/>
                    </w:rPr>
                    <w:t>既有厂区内，用地性质为工业用地，</w:t>
                  </w:r>
                  <w:r>
                    <w:rPr>
                      <w:rFonts w:hint="eastAsia"/>
                      <w:color w:val="auto"/>
                      <w:highlight w:val="none"/>
                      <w:lang w:val="en-US" w:eastAsia="zh-CN"/>
                    </w:rPr>
                    <w:t>项目选址</w:t>
                  </w:r>
                  <w:r>
                    <w:rPr>
                      <w:rFonts w:hint="default"/>
                      <w:color w:val="auto"/>
                      <w:highlight w:val="none"/>
                    </w:rPr>
                    <w:t>符合《易门县国土空间规划（2021-2035年）》及</w:t>
                  </w:r>
                  <w:r>
                    <w:rPr>
                      <w:rFonts w:hint="eastAsia"/>
                      <w:color w:val="auto"/>
                      <w:highlight w:val="none"/>
                      <w:lang w:val="en-US" w:eastAsia="zh-CN"/>
                    </w:rPr>
                    <w:t>产业</w:t>
                  </w:r>
                  <w:r>
                    <w:rPr>
                      <w:rFonts w:hint="default"/>
                      <w:color w:val="auto"/>
                      <w:highlight w:val="none"/>
                    </w:rPr>
                    <w:t>园区规划</w:t>
                  </w:r>
                  <w:r>
                    <w:rPr>
                      <w:rFonts w:hint="eastAsia"/>
                      <w:color w:val="auto"/>
                      <w:highlight w:val="none"/>
                      <w:lang w:val="en-US" w:eastAsia="zh-CN"/>
                    </w:rPr>
                    <w:t>的相关</w:t>
                  </w:r>
                  <w:r>
                    <w:rPr>
                      <w:rFonts w:hint="default"/>
                      <w:color w:val="auto"/>
                      <w:highlight w:val="none"/>
                    </w:rPr>
                    <w:t>要求。</w:t>
                  </w:r>
                  <w:r>
                    <w:rPr>
                      <w:rFonts w:hint="eastAsia"/>
                      <w:color w:val="auto"/>
                      <w:highlight w:val="none"/>
                      <w:lang w:val="en-US" w:eastAsia="zh-CN"/>
                    </w:rPr>
                    <w:t>项目</w:t>
                  </w:r>
                  <w:r>
                    <w:rPr>
                      <w:rFonts w:hint="default"/>
                      <w:color w:val="auto"/>
                      <w:highlight w:val="none"/>
                    </w:rPr>
                    <w:t>厂界周边</w:t>
                  </w:r>
                  <w:r>
                    <w:rPr>
                      <w:rFonts w:hint="eastAsia"/>
                      <w:color w:val="auto"/>
                      <w:highlight w:val="none"/>
                      <w:lang w:val="en-US" w:eastAsia="zh-CN"/>
                    </w:rPr>
                    <w:t>50</w:t>
                  </w:r>
                  <w:r>
                    <w:rPr>
                      <w:rFonts w:hint="default"/>
                      <w:color w:val="auto"/>
                      <w:highlight w:val="none"/>
                    </w:rPr>
                    <w:t>m范围内无声环境敏感目标，选址布局合理。</w:t>
                  </w:r>
                </w:p>
              </w:tc>
              <w:tc>
                <w:tcPr>
                  <w:tcW w:w="561" w:type="pct"/>
                  <w:tcBorders>
                    <w:tl2br w:val="nil"/>
                    <w:tr2bl w:val="nil"/>
                  </w:tcBorders>
                  <w:noWrap w:val="0"/>
                  <w:vAlign w:val="center"/>
                </w:tcPr>
                <w:p>
                  <w:pPr>
                    <w:pStyle w:val="34"/>
                    <w:bidi w:val="0"/>
                    <w:jc w:val="center"/>
                    <w:rPr>
                      <w:rFonts w:hint="eastAsia"/>
                      <w:color w:val="auto"/>
                      <w:highlight w:val="none"/>
                      <w:lang w:val="en-US" w:eastAsia="zh-CN"/>
                    </w:rPr>
                  </w:pPr>
                  <w:r>
                    <w:rPr>
                      <w:rFonts w:hint="eastAsia"/>
                      <w:color w:val="auto"/>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4" w:type="pct"/>
                  <w:tcBorders>
                    <w:tl2br w:val="nil"/>
                    <w:tr2bl w:val="nil"/>
                  </w:tcBorders>
                  <w:noWrap w:val="0"/>
                  <w:vAlign w:val="center"/>
                </w:tcPr>
                <w:p>
                  <w:pPr>
                    <w:pStyle w:val="34"/>
                    <w:bidi w:val="0"/>
                    <w:jc w:val="center"/>
                    <w:rPr>
                      <w:rFonts w:hint="eastAsia" w:eastAsia="宋体"/>
                      <w:color w:val="auto"/>
                      <w:highlight w:val="none"/>
                      <w:lang w:val="en-US" w:eastAsia="zh-CN"/>
                    </w:rPr>
                  </w:pPr>
                  <w:r>
                    <w:rPr>
                      <w:rFonts w:hint="eastAsia"/>
                      <w:color w:val="auto"/>
                      <w:highlight w:val="none"/>
                      <w:lang w:val="en-US" w:eastAsia="zh-CN"/>
                    </w:rPr>
                    <w:t>4</w:t>
                  </w:r>
                </w:p>
              </w:tc>
              <w:tc>
                <w:tcPr>
                  <w:tcW w:w="2169" w:type="pct"/>
                  <w:tcBorders>
                    <w:tl2br w:val="nil"/>
                    <w:tr2bl w:val="nil"/>
                  </w:tcBorders>
                  <w:noWrap w:val="0"/>
                  <w:vAlign w:val="center"/>
                </w:tcPr>
                <w:p>
                  <w:pPr>
                    <w:pStyle w:val="34"/>
                    <w:bidi w:val="0"/>
                    <w:jc w:val="center"/>
                    <w:rPr>
                      <w:rFonts w:hint="eastAsia"/>
                      <w:color w:val="auto"/>
                      <w:highlight w:val="none"/>
                      <w:lang w:val="en-US" w:eastAsia="zh-CN"/>
                    </w:rPr>
                  </w:pPr>
                  <w:r>
                    <w:rPr>
                      <w:rFonts w:hint="eastAsia" w:ascii="Times New Roman" w:hAnsi="Times New Roman" w:eastAsia="宋体"/>
                      <w:color w:val="auto"/>
                      <w:highlight w:val="none"/>
                      <w:lang w:val="en-US" w:eastAsia="zh-CN"/>
                    </w:rPr>
                    <w:t>第三十五条、</w:t>
                  </w:r>
                  <w:r>
                    <w:rPr>
                      <w:rFonts w:hint="eastAsia"/>
                      <w:color w:val="auto"/>
                      <w:highlight w:val="none"/>
                      <w:lang w:val="en-US" w:eastAsia="zh-CN"/>
                    </w:rPr>
                    <w:t>在噪声敏感建筑物集中区域，禁止新建排放噪声的工业企业，改建、扩建工业企业的，应当采取有效措施防止工业噪声污染</w:t>
                  </w:r>
                </w:p>
              </w:tc>
              <w:tc>
                <w:tcPr>
                  <w:tcW w:w="1824" w:type="pct"/>
                  <w:tcBorders>
                    <w:tl2br w:val="nil"/>
                    <w:tr2bl w:val="nil"/>
                  </w:tcBorders>
                  <w:noWrap w:val="0"/>
                  <w:vAlign w:val="center"/>
                </w:tcPr>
                <w:p>
                  <w:pPr>
                    <w:pStyle w:val="34"/>
                    <w:bidi w:val="0"/>
                    <w:jc w:val="center"/>
                    <w:rPr>
                      <w:rFonts w:hint="default"/>
                      <w:color w:val="auto"/>
                      <w:highlight w:val="none"/>
                    </w:rPr>
                  </w:pPr>
                  <w:r>
                    <w:rPr>
                      <w:rFonts w:hint="default"/>
                      <w:color w:val="auto"/>
                      <w:highlight w:val="none"/>
                    </w:rPr>
                    <w:t>本项目属于改建项目，位于</w:t>
                  </w:r>
                  <w:r>
                    <w:rPr>
                      <w:rFonts w:hint="eastAsia"/>
                      <w:color w:val="auto"/>
                      <w:highlight w:val="none"/>
                      <w:lang w:val="en-US" w:eastAsia="zh-CN"/>
                    </w:rPr>
                    <w:t>产业</w:t>
                  </w:r>
                  <w:r>
                    <w:rPr>
                      <w:rFonts w:hint="default"/>
                      <w:color w:val="auto"/>
                      <w:highlight w:val="none"/>
                    </w:rPr>
                    <w:t>园区</w:t>
                  </w:r>
                  <w:r>
                    <w:rPr>
                      <w:rFonts w:hint="eastAsia"/>
                      <w:color w:val="auto"/>
                      <w:highlight w:val="none"/>
                      <w:lang w:val="en-US" w:eastAsia="zh-CN"/>
                    </w:rPr>
                    <w:t>内</w:t>
                  </w:r>
                  <w:r>
                    <w:rPr>
                      <w:rFonts w:hint="default"/>
                      <w:color w:val="auto"/>
                      <w:highlight w:val="none"/>
                    </w:rPr>
                    <w:t>，不属于噪声敏感建筑物集中区域，且</w:t>
                  </w:r>
                  <w:r>
                    <w:rPr>
                      <w:rFonts w:hint="eastAsia"/>
                      <w:color w:val="auto"/>
                      <w:highlight w:val="none"/>
                      <w:lang w:val="en-US" w:eastAsia="zh-CN"/>
                    </w:rPr>
                    <w:t>项目严格</w:t>
                  </w:r>
                  <w:r>
                    <w:rPr>
                      <w:rFonts w:hint="default"/>
                      <w:color w:val="auto"/>
                      <w:highlight w:val="none"/>
                    </w:rPr>
                    <w:t>采取综合降噪措施确保厂界</w:t>
                  </w:r>
                  <w:r>
                    <w:rPr>
                      <w:rFonts w:hint="eastAsia"/>
                      <w:color w:val="auto"/>
                      <w:highlight w:val="none"/>
                      <w:lang w:val="en-US" w:eastAsia="zh-CN"/>
                    </w:rPr>
                    <w:t>噪声</w:t>
                  </w:r>
                  <w:r>
                    <w:rPr>
                      <w:rFonts w:hint="default"/>
                      <w:color w:val="auto"/>
                      <w:highlight w:val="none"/>
                    </w:rPr>
                    <w:t>达标</w:t>
                  </w:r>
                </w:p>
              </w:tc>
              <w:tc>
                <w:tcPr>
                  <w:tcW w:w="561" w:type="pct"/>
                  <w:tcBorders>
                    <w:tl2br w:val="nil"/>
                    <w:tr2bl w:val="nil"/>
                  </w:tcBorders>
                  <w:noWrap w:val="0"/>
                  <w:vAlign w:val="center"/>
                </w:tcPr>
                <w:p>
                  <w:pPr>
                    <w:pStyle w:val="34"/>
                    <w:bidi w:val="0"/>
                    <w:jc w:val="center"/>
                    <w:rPr>
                      <w:rFonts w:hint="eastAsia"/>
                      <w:color w:val="auto"/>
                      <w:highlight w:val="none"/>
                      <w:lang w:val="en-US" w:eastAsia="zh-CN"/>
                    </w:rPr>
                  </w:pPr>
                  <w:r>
                    <w:rPr>
                      <w:rFonts w:hint="eastAsia"/>
                      <w:color w:val="auto"/>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4" w:type="pct"/>
                  <w:tcBorders>
                    <w:tl2br w:val="nil"/>
                    <w:tr2bl w:val="nil"/>
                  </w:tcBorders>
                  <w:noWrap w:val="0"/>
                  <w:vAlign w:val="center"/>
                </w:tcPr>
                <w:p>
                  <w:pPr>
                    <w:pStyle w:val="34"/>
                    <w:bidi w:val="0"/>
                    <w:jc w:val="center"/>
                    <w:rPr>
                      <w:rFonts w:hint="eastAsia" w:eastAsia="宋体"/>
                      <w:color w:val="auto"/>
                      <w:highlight w:val="none"/>
                      <w:lang w:val="en-US" w:eastAsia="zh-CN"/>
                    </w:rPr>
                  </w:pPr>
                  <w:r>
                    <w:rPr>
                      <w:rFonts w:hint="eastAsia"/>
                      <w:color w:val="auto"/>
                      <w:highlight w:val="none"/>
                      <w:lang w:val="en-US" w:eastAsia="zh-CN"/>
                    </w:rPr>
                    <w:t>5</w:t>
                  </w:r>
                </w:p>
              </w:tc>
              <w:tc>
                <w:tcPr>
                  <w:tcW w:w="2169" w:type="pct"/>
                  <w:tcBorders>
                    <w:tl2br w:val="nil"/>
                    <w:tr2bl w:val="nil"/>
                  </w:tcBorders>
                  <w:shd w:val="clear" w:color="auto" w:fill="auto"/>
                  <w:noWrap w:val="0"/>
                  <w:vAlign w:val="center"/>
                </w:tcPr>
                <w:p>
                  <w:pPr>
                    <w:pStyle w:val="34"/>
                    <w:bidi w:val="0"/>
                    <w:ind w:left="0" w:leftChars="0" w:firstLine="0" w:firstLineChars="0"/>
                    <w:jc w:val="center"/>
                    <w:rPr>
                      <w:rFonts w:hint="eastAsia" w:ascii="Times New Roman" w:hAnsi="Times New Roman" w:eastAsia="宋体" w:cstheme="minorBidi"/>
                      <w:color w:val="auto"/>
                      <w:kern w:val="2"/>
                      <w:sz w:val="18"/>
                      <w:szCs w:val="18"/>
                      <w:highlight w:val="none"/>
                      <w:lang w:val="en-US" w:eastAsia="zh-CN" w:bidi="ar-SA"/>
                    </w:rPr>
                  </w:pPr>
                  <w:r>
                    <w:rPr>
                      <w:rFonts w:hint="eastAsia"/>
                      <w:color w:val="auto"/>
                      <w:highlight w:val="none"/>
                      <w:lang w:val="en-US" w:eastAsia="zh-CN"/>
                    </w:rPr>
                    <w:t>第三十六条、排放工业噪声的企业事业单位和其他生产经营者，应当采取有效措施，减少振动、降低噪声，依法取得排污许可证或者填报排污登记表</w:t>
                  </w:r>
                </w:p>
              </w:tc>
              <w:tc>
                <w:tcPr>
                  <w:tcW w:w="1824" w:type="pct"/>
                  <w:tcBorders>
                    <w:tl2br w:val="nil"/>
                    <w:tr2bl w:val="nil"/>
                  </w:tcBorders>
                  <w:shd w:val="clear" w:color="auto" w:fill="auto"/>
                  <w:noWrap w:val="0"/>
                  <w:vAlign w:val="center"/>
                </w:tcPr>
                <w:p>
                  <w:pPr>
                    <w:pStyle w:val="34"/>
                    <w:bidi w:val="0"/>
                    <w:ind w:left="0" w:leftChars="0" w:firstLine="0" w:firstLineChars="0"/>
                    <w:jc w:val="center"/>
                    <w:rPr>
                      <w:rFonts w:hint="default" w:ascii="Times New Roman" w:hAnsi="Times New Roman" w:eastAsia="宋体" w:cstheme="minorBidi"/>
                      <w:color w:val="auto"/>
                      <w:kern w:val="2"/>
                      <w:sz w:val="18"/>
                      <w:szCs w:val="18"/>
                      <w:highlight w:val="none"/>
                      <w:lang w:val="en-US" w:eastAsia="zh-CN" w:bidi="ar-SA"/>
                    </w:rPr>
                  </w:pPr>
                  <w:r>
                    <w:rPr>
                      <w:rFonts w:hint="default"/>
                      <w:color w:val="auto"/>
                      <w:highlight w:val="none"/>
                    </w:rPr>
                    <w:t>项目采取室内布置、基础减振、</w:t>
                  </w:r>
                  <w:r>
                    <w:rPr>
                      <w:rFonts w:hint="eastAsia"/>
                      <w:color w:val="auto"/>
                      <w:highlight w:val="none"/>
                      <w:lang w:val="en-US" w:eastAsia="zh-CN"/>
                    </w:rPr>
                    <w:t>进出口加装</w:t>
                  </w:r>
                  <w:r>
                    <w:rPr>
                      <w:rFonts w:hint="default"/>
                      <w:color w:val="auto"/>
                      <w:highlight w:val="none"/>
                    </w:rPr>
                    <w:t>消声器、绿化降噪等综合降噪措施</w:t>
                  </w:r>
                  <w:r>
                    <w:rPr>
                      <w:rFonts w:hint="eastAsia"/>
                      <w:color w:val="auto"/>
                      <w:highlight w:val="none"/>
                      <w:lang w:eastAsia="zh-CN"/>
                    </w:rPr>
                    <w:t>。</w:t>
                  </w:r>
                  <w:r>
                    <w:rPr>
                      <w:rFonts w:hint="default"/>
                      <w:color w:val="auto"/>
                      <w:highlight w:val="none"/>
                      <w:lang w:val="en-US" w:eastAsia="zh-CN"/>
                    </w:rPr>
                    <w:t>本项目位于易门铜业有限公司既有厂区内，属于易门铜业有限公司制氧系统技术改造节能项目。项目改建完成后不再单独办理排污登记手续，直接纳入易门铜业有限公司全厂排污许可进行管理。</w:t>
                  </w:r>
                </w:p>
              </w:tc>
              <w:tc>
                <w:tcPr>
                  <w:tcW w:w="561" w:type="pct"/>
                  <w:tcBorders>
                    <w:tl2br w:val="nil"/>
                    <w:tr2bl w:val="nil"/>
                  </w:tcBorders>
                  <w:noWrap w:val="0"/>
                  <w:vAlign w:val="center"/>
                </w:tcPr>
                <w:p>
                  <w:pPr>
                    <w:pStyle w:val="34"/>
                    <w:bidi w:val="0"/>
                    <w:jc w:val="center"/>
                    <w:rPr>
                      <w:rFonts w:hint="default"/>
                      <w:color w:val="auto"/>
                      <w:highlight w:val="none"/>
                      <w:lang w:val="en-US" w:eastAsia="zh-CN"/>
                    </w:rPr>
                  </w:pPr>
                  <w:r>
                    <w:rPr>
                      <w:rFonts w:hint="eastAsia"/>
                      <w:color w:val="auto"/>
                      <w:highlight w:val="none"/>
                      <w:lang w:val="en-US" w:eastAsia="zh-CN"/>
                    </w:rPr>
                    <w:t>符合</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color w:val="auto"/>
                <w:highlight w:val="none"/>
                <w:lang w:val="en-US" w:eastAsia="zh-CN"/>
              </w:rPr>
            </w:pPr>
            <w:r>
              <w:rPr>
                <w:rFonts w:hint="eastAsia"/>
                <w:color w:val="auto"/>
                <w:highlight w:val="none"/>
                <w:lang w:val="en-US" w:eastAsia="zh-CN"/>
              </w:rPr>
              <w:t>综上所述，本项目的建设符合《</w:t>
            </w:r>
            <w:r>
              <w:rPr>
                <w:rFonts w:hint="eastAsia"/>
                <w:color w:val="auto"/>
                <w:highlight w:val="none"/>
                <w:lang w:val="en-US" w:eastAsia="zh-CN"/>
              </w:rPr>
              <w:fldChar w:fldCharType="begin"/>
            </w:r>
            <w:r>
              <w:rPr>
                <w:rFonts w:hint="eastAsia"/>
                <w:color w:val="auto"/>
                <w:highlight w:val="none"/>
                <w:lang w:val="en-US" w:eastAsia="zh-CN"/>
              </w:rPr>
              <w:instrText xml:space="preserve"> HYPERLINK "https://www.eiacloud.com/hpyzs/lawsRegulations/searchDetail?id=6ecf3648432d4037888383d155df37bf" \t "https://www.eiacloud.com/hpyzs/lawsRegulations/_blank" </w:instrText>
            </w:r>
            <w:r>
              <w:rPr>
                <w:rFonts w:hint="eastAsia"/>
                <w:color w:val="auto"/>
                <w:highlight w:val="none"/>
                <w:lang w:val="en-US" w:eastAsia="zh-CN"/>
              </w:rPr>
              <w:fldChar w:fldCharType="separate"/>
            </w:r>
            <w:r>
              <w:rPr>
                <w:rFonts w:hint="eastAsia"/>
                <w:color w:val="auto"/>
                <w:highlight w:val="none"/>
                <w:lang w:val="en-US" w:eastAsia="zh-CN"/>
              </w:rPr>
              <w:t>中华人民共和国噪声污染防治法（2021）</w:t>
            </w:r>
            <w:r>
              <w:rPr>
                <w:rFonts w:hint="eastAsia"/>
                <w:color w:val="auto"/>
                <w:highlight w:val="none"/>
                <w:lang w:val="en-US" w:eastAsia="zh-CN"/>
              </w:rPr>
              <w:fldChar w:fldCharType="end"/>
            </w:r>
            <w:r>
              <w:rPr>
                <w:rFonts w:hint="eastAsia"/>
                <w:color w:val="auto"/>
                <w:highlight w:val="none"/>
                <w:lang w:val="en-US" w:eastAsia="zh-CN"/>
              </w:rPr>
              <w:t>》的相关要求。</w:t>
            </w:r>
          </w:p>
          <w:p>
            <w:pPr>
              <w:pStyle w:val="40"/>
              <w:bidi w:val="0"/>
              <w:rPr>
                <w:rFonts w:hint="eastAsia"/>
                <w:color w:val="auto"/>
                <w:highlight w:val="none"/>
                <w:lang w:val="en-US" w:eastAsia="zh-CN"/>
              </w:rPr>
            </w:pPr>
            <w:r>
              <w:rPr>
                <w:rFonts w:hint="eastAsia"/>
                <w:color w:val="auto"/>
                <w:highlight w:val="none"/>
                <w:lang w:val="en-US" w:eastAsia="zh-CN"/>
              </w:rPr>
              <w:t>12、与《玉溪市人民政府关于深入打好污染防治攻坚战的实施方案》的符合性分析</w:t>
            </w:r>
          </w:p>
          <w:p>
            <w:pPr>
              <w:bidi w:val="0"/>
              <w:rPr>
                <w:rFonts w:hint="default" w:eastAsia="宋体"/>
                <w:color w:val="auto"/>
                <w:highlight w:val="none"/>
                <w:lang w:val="en-US" w:eastAsia="zh-CN"/>
              </w:rPr>
            </w:pPr>
            <w:r>
              <w:rPr>
                <w:rFonts w:hint="default"/>
                <w:color w:val="auto"/>
                <w:highlight w:val="none"/>
              </w:rPr>
              <w:t>2023</w:t>
            </w:r>
            <w:r>
              <w:rPr>
                <w:color w:val="auto"/>
                <w:highlight w:val="none"/>
              </w:rPr>
              <w:t>年</w:t>
            </w:r>
            <w:r>
              <w:rPr>
                <w:rFonts w:hint="default"/>
                <w:color w:val="auto"/>
                <w:highlight w:val="none"/>
              </w:rPr>
              <w:t>4</w:t>
            </w:r>
            <w:r>
              <w:rPr>
                <w:rFonts w:hint="eastAsia"/>
                <w:color w:val="auto"/>
                <w:highlight w:val="none"/>
              </w:rPr>
              <w:t>月</w:t>
            </w:r>
            <w:r>
              <w:rPr>
                <w:rFonts w:hint="default"/>
                <w:color w:val="auto"/>
                <w:highlight w:val="none"/>
              </w:rPr>
              <w:t>24</w:t>
            </w:r>
            <w:r>
              <w:rPr>
                <w:rFonts w:hint="eastAsia"/>
                <w:color w:val="auto"/>
                <w:highlight w:val="none"/>
              </w:rPr>
              <w:t>日，中共玉溪市委、市人民政府印发了《关于深入打好污染防治攻坚战的实施方案》</w:t>
            </w:r>
            <w:r>
              <w:rPr>
                <w:rFonts w:hint="eastAsia"/>
                <w:color w:val="auto"/>
                <w:highlight w:val="none"/>
                <w:lang w:eastAsia="zh-CN"/>
              </w:rPr>
              <w:t>，</w:t>
            </w:r>
            <w:r>
              <w:rPr>
                <w:rFonts w:hint="eastAsia"/>
                <w:color w:val="auto"/>
                <w:highlight w:val="none"/>
                <w:lang w:val="en-US" w:eastAsia="zh-CN"/>
              </w:rPr>
              <w:t>本项目与其符合性分析详见下表。</w:t>
            </w:r>
          </w:p>
          <w:p>
            <w:pPr>
              <w:pStyle w:val="35"/>
              <w:bidi w:val="0"/>
              <w:rPr>
                <w:rFonts w:hint="default"/>
                <w:color w:val="auto"/>
                <w:highlight w:val="none"/>
                <w:lang w:val="en-US" w:eastAsia="zh-CN"/>
              </w:rPr>
            </w:pPr>
            <w:r>
              <w:rPr>
                <w:rFonts w:hint="eastAsia"/>
                <w:color w:val="auto"/>
                <w:highlight w:val="none"/>
                <w:lang w:val="en-US" w:eastAsia="zh-CN"/>
              </w:rPr>
              <w:t>表1-16  项目与“实施方案”的符合性分析一览表</w:t>
            </w:r>
          </w:p>
          <w:tbl>
            <w:tblPr>
              <w:tblStyle w:val="23"/>
              <w:tblW w:w="705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2"/>
              <w:gridCol w:w="2807"/>
              <w:gridCol w:w="3004"/>
              <w:gridCol w:w="6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48" w:type="pct"/>
                  <w:tcBorders>
                    <w:tl2br w:val="nil"/>
                    <w:tr2bl w:val="nil"/>
                  </w:tcBorders>
                  <w:noWrap w:val="0"/>
                  <w:vAlign w:val="center"/>
                </w:tcPr>
                <w:p>
                  <w:pPr>
                    <w:pStyle w:val="34"/>
                    <w:bidi w:val="0"/>
                    <w:jc w:val="center"/>
                    <w:rPr>
                      <w:rFonts w:hint="default"/>
                      <w:color w:val="auto"/>
                      <w:highlight w:val="none"/>
                    </w:rPr>
                  </w:pPr>
                  <w:r>
                    <w:rPr>
                      <w:rFonts w:hint="default"/>
                      <w:color w:val="auto"/>
                      <w:highlight w:val="none"/>
                    </w:rPr>
                    <w:t>序号</w:t>
                  </w:r>
                </w:p>
              </w:tc>
              <w:tc>
                <w:tcPr>
                  <w:tcW w:w="1990" w:type="pct"/>
                  <w:tcBorders>
                    <w:tl2br w:val="nil"/>
                    <w:tr2bl w:val="nil"/>
                  </w:tcBorders>
                  <w:noWrap w:val="0"/>
                  <w:vAlign w:val="center"/>
                </w:tcPr>
                <w:p>
                  <w:pPr>
                    <w:pStyle w:val="34"/>
                    <w:bidi w:val="0"/>
                    <w:jc w:val="center"/>
                    <w:rPr>
                      <w:rFonts w:hint="default"/>
                      <w:color w:val="auto"/>
                      <w:highlight w:val="none"/>
                    </w:rPr>
                  </w:pPr>
                  <w:r>
                    <w:rPr>
                      <w:rFonts w:hint="eastAsia"/>
                      <w:color w:val="auto"/>
                      <w:highlight w:val="none"/>
                      <w:lang w:val="en-US" w:eastAsia="zh-CN"/>
                    </w:rPr>
                    <w:t>“实施方案”要求</w:t>
                  </w:r>
                </w:p>
              </w:tc>
              <w:tc>
                <w:tcPr>
                  <w:tcW w:w="2130" w:type="pct"/>
                  <w:tcBorders>
                    <w:tl2br w:val="nil"/>
                    <w:tr2bl w:val="nil"/>
                  </w:tcBorders>
                  <w:noWrap w:val="0"/>
                  <w:vAlign w:val="center"/>
                </w:tcPr>
                <w:p>
                  <w:pPr>
                    <w:pStyle w:val="34"/>
                    <w:bidi w:val="0"/>
                    <w:jc w:val="center"/>
                    <w:rPr>
                      <w:rFonts w:hint="default"/>
                      <w:color w:val="auto"/>
                      <w:highlight w:val="none"/>
                    </w:rPr>
                  </w:pPr>
                  <w:r>
                    <w:rPr>
                      <w:rFonts w:hint="default"/>
                      <w:color w:val="auto"/>
                      <w:highlight w:val="none"/>
                    </w:rPr>
                    <w:t>本项目情况</w:t>
                  </w:r>
                </w:p>
              </w:tc>
              <w:tc>
                <w:tcPr>
                  <w:tcW w:w="431" w:type="pct"/>
                  <w:tcBorders>
                    <w:tl2br w:val="nil"/>
                    <w:tr2bl w:val="nil"/>
                  </w:tcBorders>
                  <w:noWrap w:val="0"/>
                  <w:vAlign w:val="center"/>
                </w:tcPr>
                <w:p>
                  <w:pPr>
                    <w:pStyle w:val="34"/>
                    <w:bidi w:val="0"/>
                    <w:jc w:val="center"/>
                    <w:rPr>
                      <w:rFonts w:hint="default"/>
                      <w:color w:val="auto"/>
                      <w:highlight w:val="none"/>
                    </w:rPr>
                  </w:pPr>
                  <w:r>
                    <w:rPr>
                      <w:rFonts w:hint="eastAsia"/>
                      <w:color w:val="auto"/>
                      <w:highlight w:val="none"/>
                      <w:lang w:val="en-US" w:eastAsia="zh-CN"/>
                    </w:rPr>
                    <w:t>符合</w:t>
                  </w:r>
                  <w:r>
                    <w:rPr>
                      <w:rFonts w:hint="default"/>
                      <w:color w:val="auto"/>
                      <w:highlight w:val="none"/>
                    </w:rPr>
                    <w:t>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48" w:type="pct"/>
                  <w:vMerge w:val="restart"/>
                  <w:tcBorders>
                    <w:tl2br w:val="nil"/>
                    <w:tr2bl w:val="nil"/>
                  </w:tcBorders>
                  <w:noWrap w:val="0"/>
                  <w:vAlign w:val="center"/>
                </w:tcPr>
                <w:p>
                  <w:pPr>
                    <w:pStyle w:val="34"/>
                    <w:bidi w:val="0"/>
                    <w:jc w:val="center"/>
                    <w:rPr>
                      <w:rFonts w:hint="default"/>
                      <w:color w:val="auto"/>
                      <w:highlight w:val="none"/>
                    </w:rPr>
                  </w:pPr>
                  <w:r>
                    <w:rPr>
                      <w:rFonts w:hint="default"/>
                      <w:color w:val="auto"/>
                      <w:highlight w:val="none"/>
                      <w:lang w:val="en-US" w:eastAsia="zh-CN"/>
                    </w:rPr>
                    <w:t>加快推动绿色低碳发展</w:t>
                  </w:r>
                </w:p>
              </w:tc>
              <w:tc>
                <w:tcPr>
                  <w:tcW w:w="1990" w:type="pct"/>
                  <w:tcBorders>
                    <w:tl2br w:val="nil"/>
                    <w:tr2bl w:val="nil"/>
                  </w:tcBorders>
                  <w:noWrap w:val="0"/>
                  <w:vAlign w:val="center"/>
                </w:tcPr>
                <w:p>
                  <w:pPr>
                    <w:pStyle w:val="34"/>
                    <w:bidi w:val="0"/>
                    <w:jc w:val="center"/>
                    <w:rPr>
                      <w:rFonts w:hint="default"/>
                      <w:color w:val="auto"/>
                      <w:highlight w:val="none"/>
                      <w:lang w:val="en-US"/>
                    </w:rPr>
                  </w:pPr>
                  <w:r>
                    <w:rPr>
                      <w:rFonts w:hint="default"/>
                      <w:color w:val="auto"/>
                      <w:highlight w:val="none"/>
                      <w:lang w:val="en-US"/>
                    </w:rPr>
                    <w:t>坚决遏制高耗能高排放项目盲目发展。严把高耗能高排放项目准入关口，落实污染物削减要求。深入推进产业补链延链强链、绿色低碳转型。严格落实产能置换和控制政策，推动钢铁等行业高质量发展。</w:t>
                  </w:r>
                </w:p>
              </w:tc>
              <w:tc>
                <w:tcPr>
                  <w:tcW w:w="2130" w:type="pct"/>
                  <w:tcBorders>
                    <w:tl2br w:val="nil"/>
                    <w:tr2bl w:val="nil"/>
                  </w:tcBorders>
                  <w:noWrap w:val="0"/>
                  <w:vAlign w:val="center"/>
                </w:tcPr>
                <w:p>
                  <w:pPr>
                    <w:pStyle w:val="34"/>
                    <w:bidi w:val="0"/>
                    <w:jc w:val="center"/>
                    <w:rPr>
                      <w:rFonts w:hint="default"/>
                      <w:color w:val="auto"/>
                      <w:highlight w:val="none"/>
                    </w:rPr>
                  </w:pPr>
                  <w:r>
                    <w:rPr>
                      <w:rFonts w:hint="default"/>
                      <w:color w:val="auto"/>
                      <w:highlight w:val="none"/>
                      <w:lang w:val="en-US" w:eastAsia="zh-CN"/>
                    </w:rPr>
                    <w:t>本项目</w:t>
                  </w:r>
                  <w:r>
                    <w:rPr>
                      <w:rFonts w:hint="eastAsia"/>
                      <w:color w:val="auto"/>
                      <w:highlight w:val="none"/>
                      <w:lang w:val="en-US" w:eastAsia="zh-CN"/>
                    </w:rPr>
                    <w:t>为</w:t>
                  </w:r>
                  <w:r>
                    <w:rPr>
                      <w:rFonts w:hint="default" w:ascii="Times New Roman" w:hAnsi="Times New Roman" w:eastAsia="宋体" w:cs="Times New Roman"/>
                      <w:b w:val="0"/>
                      <w:bCs/>
                      <w:color w:val="auto"/>
                      <w:sz w:val="18"/>
                      <w:szCs w:val="18"/>
                      <w:highlight w:val="none"/>
                      <w:vertAlign w:val="baseline"/>
                      <w:lang w:val="en-US" w:eastAsia="zh-CN"/>
                    </w:rPr>
                    <w:t>制氧系统技术改造节能项目，属于易门铜业有限公司铜冶炼配套公用工程，</w:t>
                  </w:r>
                  <w:r>
                    <w:rPr>
                      <w:rFonts w:hint="default"/>
                      <w:color w:val="auto"/>
                      <w:highlight w:val="none"/>
                      <w:lang w:val="en-US" w:eastAsia="zh-CN"/>
                    </w:rPr>
                    <w:t>不属于高耗能、高排放项目</w:t>
                  </w:r>
                  <w:r>
                    <w:rPr>
                      <w:rFonts w:hint="eastAsia"/>
                      <w:color w:val="auto"/>
                      <w:highlight w:val="none"/>
                      <w:lang w:val="en-US" w:eastAsia="zh-CN"/>
                    </w:rPr>
                    <w:t>。</w:t>
                  </w:r>
                </w:p>
              </w:tc>
              <w:tc>
                <w:tcPr>
                  <w:tcW w:w="431" w:type="pct"/>
                  <w:tcBorders>
                    <w:tl2br w:val="nil"/>
                    <w:tr2bl w:val="nil"/>
                  </w:tcBorders>
                  <w:noWrap w:val="0"/>
                  <w:vAlign w:val="center"/>
                </w:tcPr>
                <w:p>
                  <w:pPr>
                    <w:pStyle w:val="34"/>
                    <w:bidi w:val="0"/>
                    <w:jc w:val="center"/>
                    <w:rPr>
                      <w:rFonts w:hint="default"/>
                      <w:color w:val="auto"/>
                      <w:highlight w:val="none"/>
                      <w:lang w:val="en-US" w:eastAsia="zh-CN"/>
                    </w:rPr>
                  </w:pPr>
                  <w:r>
                    <w:rPr>
                      <w:rFonts w:hint="eastAsia"/>
                      <w:color w:val="auto"/>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48" w:type="pct"/>
                  <w:vMerge w:val="continue"/>
                  <w:tcBorders>
                    <w:tl2br w:val="nil"/>
                    <w:tr2bl w:val="nil"/>
                  </w:tcBorders>
                  <w:noWrap w:val="0"/>
                  <w:vAlign w:val="center"/>
                </w:tcPr>
                <w:p>
                  <w:pPr>
                    <w:pStyle w:val="34"/>
                    <w:bidi w:val="0"/>
                    <w:jc w:val="center"/>
                    <w:rPr>
                      <w:rFonts w:hint="default"/>
                      <w:color w:val="auto"/>
                      <w:highlight w:val="none"/>
                      <w:lang w:val="en-US" w:eastAsia="zh-CN"/>
                    </w:rPr>
                  </w:pPr>
                </w:p>
              </w:tc>
              <w:tc>
                <w:tcPr>
                  <w:tcW w:w="1990" w:type="pct"/>
                  <w:tcBorders>
                    <w:tl2br w:val="nil"/>
                    <w:tr2bl w:val="nil"/>
                  </w:tcBorders>
                  <w:noWrap w:val="0"/>
                  <w:vAlign w:val="center"/>
                </w:tcPr>
                <w:p>
                  <w:pPr>
                    <w:pStyle w:val="34"/>
                    <w:bidi w:val="0"/>
                    <w:jc w:val="center"/>
                    <w:rPr>
                      <w:rFonts w:hint="default"/>
                      <w:color w:val="auto"/>
                      <w:highlight w:val="none"/>
                      <w:lang w:val="en-US"/>
                    </w:rPr>
                  </w:pPr>
                  <w:r>
                    <w:rPr>
                      <w:rFonts w:hint="default"/>
                      <w:color w:val="auto"/>
                      <w:highlight w:val="none"/>
                      <w:lang w:val="en-US"/>
                    </w:rPr>
                    <w:t>加强生态环境分区管控。优化“三线一单”生态环境分区管控格局，细化落实分区管控要求，加强成果运用。严格规划环评审查和项目环评准入，健全以环评制度为主体的源头预防体系。</w:t>
                  </w:r>
                </w:p>
              </w:tc>
              <w:tc>
                <w:tcPr>
                  <w:tcW w:w="2130" w:type="pct"/>
                  <w:tcBorders>
                    <w:tl2br w:val="nil"/>
                    <w:tr2bl w:val="nil"/>
                  </w:tcBorders>
                  <w:noWrap w:val="0"/>
                  <w:vAlign w:val="center"/>
                </w:tcPr>
                <w:p>
                  <w:pPr>
                    <w:pStyle w:val="34"/>
                    <w:bidi w:val="0"/>
                    <w:jc w:val="center"/>
                    <w:rPr>
                      <w:rFonts w:hint="default" w:eastAsia="宋体"/>
                      <w:color w:val="auto"/>
                      <w:highlight w:val="none"/>
                      <w:lang w:val="en-US" w:eastAsia="zh-CN"/>
                    </w:rPr>
                  </w:pPr>
                  <w:r>
                    <w:rPr>
                      <w:rFonts w:hint="eastAsia"/>
                      <w:color w:val="auto"/>
                      <w:highlight w:val="none"/>
                      <w:lang w:val="en-US" w:eastAsia="zh-CN"/>
                    </w:rPr>
                    <w:t>本项目属于“</w:t>
                  </w:r>
                  <w:r>
                    <w:rPr>
                      <w:rFonts w:eastAsia="宋体"/>
                      <w:color w:val="auto"/>
                      <w:highlight w:val="none"/>
                    </w:rPr>
                    <w:t>易门县产业园区重点管控单元</w:t>
                  </w:r>
                  <w:r>
                    <w:rPr>
                      <w:rFonts w:hint="eastAsia"/>
                      <w:color w:val="auto"/>
                      <w:highlight w:val="none"/>
                      <w:lang w:val="en-US" w:eastAsia="zh-CN"/>
                    </w:rPr>
                    <w:t>”，根据前文分析结果，项目建设符合《玉溪市人民政府关于印发玉溪市“三线一单”生态环境分区管控实施意见的通知》（玉政发〔2021〕15号）及《玉溪市生态环境局关于印发玉溪市生态环境分区管控动态更新调整方案（2023年）的通知》（玉市环〔2024〕40号）的相关要求。</w:t>
                  </w:r>
                </w:p>
              </w:tc>
              <w:tc>
                <w:tcPr>
                  <w:tcW w:w="431" w:type="pct"/>
                  <w:tcBorders>
                    <w:tl2br w:val="nil"/>
                    <w:tr2bl w:val="nil"/>
                  </w:tcBorders>
                  <w:noWrap w:val="0"/>
                  <w:vAlign w:val="center"/>
                </w:tcPr>
                <w:p>
                  <w:pPr>
                    <w:pStyle w:val="34"/>
                    <w:bidi w:val="0"/>
                    <w:jc w:val="center"/>
                    <w:rPr>
                      <w:rFonts w:hint="default"/>
                      <w:color w:val="auto"/>
                      <w:highlight w:val="none"/>
                      <w:lang w:val="en-US" w:eastAsia="zh-CN"/>
                    </w:rPr>
                  </w:pPr>
                  <w:r>
                    <w:rPr>
                      <w:rFonts w:hint="eastAsia"/>
                      <w:color w:val="auto"/>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48" w:type="pct"/>
                  <w:vMerge w:val="restart"/>
                  <w:tcBorders>
                    <w:tl2br w:val="nil"/>
                    <w:tr2bl w:val="nil"/>
                  </w:tcBorders>
                  <w:noWrap w:val="0"/>
                  <w:vAlign w:val="center"/>
                </w:tcPr>
                <w:p>
                  <w:pPr>
                    <w:pStyle w:val="34"/>
                    <w:bidi w:val="0"/>
                    <w:jc w:val="center"/>
                    <w:rPr>
                      <w:rFonts w:hint="default"/>
                      <w:color w:val="auto"/>
                      <w:highlight w:val="none"/>
                      <w:lang w:val="en-US" w:eastAsia="zh-CN"/>
                    </w:rPr>
                  </w:pPr>
                  <w:r>
                    <w:rPr>
                      <w:rFonts w:hint="default"/>
                      <w:color w:val="auto"/>
                      <w:highlight w:val="none"/>
                      <w:lang w:val="en-US"/>
                    </w:rPr>
                    <w:t>深入打好蓝天保卫战</w:t>
                  </w:r>
                </w:p>
              </w:tc>
              <w:tc>
                <w:tcPr>
                  <w:tcW w:w="1990" w:type="pct"/>
                  <w:tcBorders>
                    <w:tl2br w:val="nil"/>
                    <w:tr2bl w:val="nil"/>
                  </w:tcBorders>
                  <w:noWrap w:val="0"/>
                  <w:vAlign w:val="center"/>
                </w:tcPr>
                <w:p>
                  <w:pPr>
                    <w:pStyle w:val="34"/>
                    <w:bidi w:val="0"/>
                    <w:jc w:val="center"/>
                    <w:rPr>
                      <w:rFonts w:hint="default"/>
                      <w:color w:val="auto"/>
                      <w:highlight w:val="none"/>
                      <w:lang w:val="en-US"/>
                    </w:rPr>
                  </w:pPr>
                  <w:r>
                    <w:rPr>
                      <w:rFonts w:hint="default"/>
                      <w:color w:val="auto"/>
                      <w:highlight w:val="none"/>
                      <w:lang w:val="en-US"/>
                    </w:rPr>
                    <w:t>深入打好建筑施工工地扬尘污染治理攻坚战。全面推行绿色施工，落实施工工地“六个百分之百”工作要求，开展全市建筑施工工地扬尘专项治理。加强建筑渣土运输管理。强化施工、裸露地面等扬尘管控。</w:t>
                  </w:r>
                </w:p>
              </w:tc>
              <w:tc>
                <w:tcPr>
                  <w:tcW w:w="2130" w:type="pct"/>
                  <w:tcBorders>
                    <w:tl2br w:val="nil"/>
                    <w:tr2bl w:val="nil"/>
                  </w:tcBorders>
                  <w:noWrap w:val="0"/>
                  <w:vAlign w:val="center"/>
                </w:tcPr>
                <w:p>
                  <w:pPr>
                    <w:pStyle w:val="34"/>
                    <w:bidi w:val="0"/>
                    <w:jc w:val="center"/>
                    <w:rPr>
                      <w:rFonts w:hint="eastAsia"/>
                      <w:color w:val="auto"/>
                      <w:highlight w:val="none"/>
                      <w:lang w:val="en-US" w:eastAsia="zh-CN"/>
                    </w:rPr>
                  </w:pPr>
                  <w:r>
                    <w:rPr>
                      <w:rFonts w:hint="eastAsia"/>
                      <w:color w:val="auto"/>
                      <w:highlight w:val="none"/>
                      <w:lang w:val="en-US" w:eastAsia="zh-CN"/>
                    </w:rPr>
                    <w:t>本环评已提出施工期相关措施要求，要求建设单位施工过程中需做到“六个百分百”；施工场地清理阶段做到先洒水，后清扫，施工后期建筑垃圾及时清理；加强施工现场运输车辆管理；施工建筑材料定点堆放，在大风天气对散料堆场采用水喷淋防尘，用篷布遮盖建筑材料；建设单位应在施工期间加强对车辆及施工机械的维修等。</w:t>
                  </w:r>
                </w:p>
              </w:tc>
              <w:tc>
                <w:tcPr>
                  <w:tcW w:w="431" w:type="pct"/>
                  <w:tcBorders>
                    <w:tl2br w:val="nil"/>
                    <w:tr2bl w:val="nil"/>
                  </w:tcBorders>
                  <w:noWrap w:val="0"/>
                  <w:vAlign w:val="center"/>
                </w:tcPr>
                <w:p>
                  <w:pPr>
                    <w:pStyle w:val="34"/>
                    <w:bidi w:val="0"/>
                    <w:jc w:val="center"/>
                    <w:rPr>
                      <w:rFonts w:hint="default"/>
                      <w:color w:val="auto"/>
                      <w:highlight w:val="none"/>
                      <w:lang w:val="en-US" w:eastAsia="zh-CN"/>
                    </w:rPr>
                  </w:pPr>
                  <w:r>
                    <w:rPr>
                      <w:rFonts w:hint="eastAsia"/>
                      <w:color w:val="auto"/>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48" w:type="pct"/>
                  <w:vMerge w:val="continue"/>
                  <w:tcBorders>
                    <w:tl2br w:val="nil"/>
                    <w:tr2bl w:val="nil"/>
                  </w:tcBorders>
                  <w:noWrap w:val="0"/>
                  <w:vAlign w:val="center"/>
                </w:tcPr>
                <w:p>
                  <w:pPr>
                    <w:pStyle w:val="34"/>
                    <w:bidi w:val="0"/>
                    <w:jc w:val="center"/>
                    <w:rPr>
                      <w:rFonts w:hint="default"/>
                      <w:color w:val="auto"/>
                      <w:highlight w:val="none"/>
                      <w:lang w:val="en-US" w:eastAsia="zh-CN"/>
                    </w:rPr>
                  </w:pPr>
                </w:p>
              </w:tc>
              <w:tc>
                <w:tcPr>
                  <w:tcW w:w="1990" w:type="pct"/>
                  <w:tcBorders>
                    <w:tl2br w:val="nil"/>
                    <w:tr2bl w:val="nil"/>
                  </w:tcBorders>
                  <w:noWrap w:val="0"/>
                  <w:vAlign w:val="center"/>
                </w:tcPr>
                <w:p>
                  <w:pPr>
                    <w:pStyle w:val="34"/>
                    <w:bidi w:val="0"/>
                    <w:jc w:val="center"/>
                    <w:rPr>
                      <w:rFonts w:hint="default"/>
                      <w:color w:val="auto"/>
                      <w:highlight w:val="none"/>
                      <w:lang w:val="en-US"/>
                    </w:rPr>
                  </w:pPr>
                  <w:r>
                    <w:rPr>
                      <w:rFonts w:hint="default"/>
                      <w:color w:val="auto"/>
                      <w:highlight w:val="none"/>
                      <w:lang w:val="en-US"/>
                    </w:rPr>
                    <w:t>推进挥发性有机物（VOC</w:t>
                  </w:r>
                  <w:r>
                    <w:rPr>
                      <w:rFonts w:hint="eastAsia"/>
                      <w:color w:val="auto"/>
                      <w:highlight w:val="none"/>
                      <w:vertAlign w:val="subscript"/>
                      <w:lang w:val="en-US" w:eastAsia="zh-CN"/>
                    </w:rPr>
                    <w:t>S</w:t>
                  </w:r>
                  <w:r>
                    <w:rPr>
                      <w:rFonts w:hint="default"/>
                      <w:color w:val="auto"/>
                      <w:highlight w:val="none"/>
                      <w:lang w:val="en-US"/>
                    </w:rPr>
                    <w:t>）和氮氧化物（NO</w:t>
                  </w:r>
                  <w:r>
                    <w:rPr>
                      <w:rFonts w:hint="eastAsia"/>
                      <w:color w:val="auto"/>
                      <w:highlight w:val="none"/>
                      <w:vertAlign w:val="subscript"/>
                      <w:lang w:val="en-US" w:eastAsia="zh-CN"/>
                    </w:rPr>
                    <w:t>X</w:t>
                  </w:r>
                  <w:r>
                    <w:rPr>
                      <w:rFonts w:hint="default"/>
                      <w:color w:val="auto"/>
                      <w:highlight w:val="none"/>
                      <w:lang w:val="en-US"/>
                    </w:rPr>
                    <w:t>）协同治理。以化工、涂装、医药、包装印刷、油品储运销、汽车维修等行业（领域）为重点，安全高效推进挥发性有机物综合治理，实施原辅材料和产品源头替代工程。推进氮氧化物排放深度治理，完成钢铁企业超低排放改造，实施水泥、焦化企业超低排放改造。</w:t>
                  </w:r>
                </w:p>
              </w:tc>
              <w:tc>
                <w:tcPr>
                  <w:tcW w:w="2130" w:type="pct"/>
                  <w:tcBorders>
                    <w:tl2br w:val="nil"/>
                    <w:tr2bl w:val="nil"/>
                  </w:tcBorders>
                  <w:noWrap w:val="0"/>
                  <w:vAlign w:val="center"/>
                </w:tcPr>
                <w:p>
                  <w:pPr>
                    <w:pStyle w:val="34"/>
                    <w:bidi w:val="0"/>
                    <w:jc w:val="center"/>
                    <w:rPr>
                      <w:rFonts w:hint="eastAsia"/>
                      <w:color w:val="auto"/>
                      <w:highlight w:val="none"/>
                      <w:lang w:val="en-US" w:eastAsia="zh-CN"/>
                    </w:rPr>
                  </w:pPr>
                  <w:r>
                    <w:rPr>
                      <w:rFonts w:hint="default"/>
                      <w:color w:val="auto"/>
                      <w:highlight w:val="none"/>
                      <w:lang w:val="en-US" w:eastAsia="zh-CN"/>
                    </w:rPr>
                    <w:t>本项目</w:t>
                  </w:r>
                  <w:r>
                    <w:rPr>
                      <w:rFonts w:hint="eastAsia"/>
                      <w:color w:val="auto"/>
                      <w:highlight w:val="none"/>
                      <w:lang w:val="en-US" w:eastAsia="zh-CN"/>
                    </w:rPr>
                    <w:t>为</w:t>
                  </w:r>
                  <w:r>
                    <w:rPr>
                      <w:rFonts w:hint="default" w:ascii="Times New Roman" w:hAnsi="Times New Roman" w:eastAsia="宋体" w:cs="Times New Roman"/>
                      <w:b w:val="0"/>
                      <w:bCs/>
                      <w:color w:val="auto"/>
                      <w:sz w:val="18"/>
                      <w:szCs w:val="18"/>
                      <w:highlight w:val="none"/>
                      <w:vertAlign w:val="baseline"/>
                      <w:lang w:val="en-US" w:eastAsia="zh-CN"/>
                    </w:rPr>
                    <w:t>制氧系统技术改造节能项目，属于易门铜业有限公司铜冶炼配套公用工程，</w:t>
                  </w:r>
                  <w:r>
                    <w:rPr>
                      <w:rFonts w:hint="eastAsia"/>
                      <w:color w:val="auto"/>
                      <w:highlight w:val="none"/>
                      <w:lang w:val="en-US" w:eastAsia="zh-CN"/>
                    </w:rPr>
                    <w:t>项目运营过程中无废气污染物产生</w:t>
                  </w:r>
                  <w:r>
                    <w:rPr>
                      <w:rFonts w:hint="default"/>
                      <w:color w:val="auto"/>
                      <w:highlight w:val="none"/>
                      <w:lang w:val="en-US" w:eastAsia="zh-CN"/>
                    </w:rPr>
                    <w:t>。</w:t>
                  </w:r>
                </w:p>
              </w:tc>
              <w:tc>
                <w:tcPr>
                  <w:tcW w:w="431" w:type="pct"/>
                  <w:tcBorders>
                    <w:tl2br w:val="nil"/>
                    <w:tr2bl w:val="nil"/>
                  </w:tcBorders>
                  <w:noWrap w:val="0"/>
                  <w:vAlign w:val="center"/>
                </w:tcPr>
                <w:p>
                  <w:pPr>
                    <w:pStyle w:val="34"/>
                    <w:bidi w:val="0"/>
                    <w:jc w:val="center"/>
                    <w:rPr>
                      <w:rFonts w:hint="eastAsia"/>
                      <w:color w:val="auto"/>
                      <w:highlight w:val="none"/>
                      <w:lang w:val="en-US" w:eastAsia="zh-CN"/>
                    </w:rPr>
                  </w:pPr>
                  <w:r>
                    <w:rPr>
                      <w:rFonts w:hint="eastAsia"/>
                      <w:color w:val="auto"/>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48" w:type="pct"/>
                  <w:vMerge w:val="continue"/>
                  <w:tcBorders>
                    <w:tl2br w:val="nil"/>
                    <w:tr2bl w:val="nil"/>
                  </w:tcBorders>
                  <w:noWrap w:val="0"/>
                  <w:vAlign w:val="center"/>
                </w:tcPr>
                <w:p>
                  <w:pPr>
                    <w:pStyle w:val="34"/>
                    <w:bidi w:val="0"/>
                    <w:jc w:val="center"/>
                    <w:rPr>
                      <w:rFonts w:hint="default"/>
                      <w:color w:val="auto"/>
                      <w:highlight w:val="none"/>
                      <w:lang w:val="en-US" w:eastAsia="zh-CN"/>
                    </w:rPr>
                  </w:pPr>
                </w:p>
              </w:tc>
              <w:tc>
                <w:tcPr>
                  <w:tcW w:w="1990" w:type="pct"/>
                  <w:tcBorders>
                    <w:tl2br w:val="nil"/>
                    <w:tr2bl w:val="nil"/>
                  </w:tcBorders>
                  <w:noWrap w:val="0"/>
                  <w:vAlign w:val="center"/>
                </w:tcPr>
                <w:p>
                  <w:pPr>
                    <w:pStyle w:val="34"/>
                    <w:bidi w:val="0"/>
                    <w:jc w:val="center"/>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t>改善区域大气和声环境质量。强化大气污染协同治理，持续开展春夏季攻坚行动，推进细颗粒物和臭氧协同控制。落实大气污染联防联控机制。加大餐饮油烟污染、恶臭异味治理力度，强化秸秆综合利用和禁烧管控。实施噪声污染防治行动，创造安静的生活环境。</w:t>
                  </w:r>
                </w:p>
              </w:tc>
              <w:tc>
                <w:tcPr>
                  <w:tcW w:w="2130" w:type="pct"/>
                  <w:tcBorders>
                    <w:tl2br w:val="nil"/>
                    <w:tr2bl w:val="nil"/>
                  </w:tcBorders>
                  <w:noWrap w:val="0"/>
                  <w:vAlign w:val="center"/>
                </w:tcPr>
                <w:p>
                  <w:pPr>
                    <w:pStyle w:val="34"/>
                    <w:bidi w:val="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本项目</w:t>
                  </w:r>
                  <w:r>
                    <w:rPr>
                      <w:rFonts w:hint="eastAsia" w:ascii="宋体" w:hAnsi="宋体" w:cs="宋体"/>
                      <w:color w:val="auto"/>
                      <w:highlight w:val="none"/>
                      <w:lang w:val="en-US" w:eastAsia="zh-CN"/>
                    </w:rPr>
                    <w:t>为</w:t>
                  </w:r>
                  <w:r>
                    <w:rPr>
                      <w:rFonts w:hint="default" w:ascii="Times New Roman" w:hAnsi="Times New Roman" w:eastAsia="宋体" w:cs="Times New Roman"/>
                      <w:b w:val="0"/>
                      <w:bCs/>
                      <w:color w:val="auto"/>
                      <w:sz w:val="18"/>
                      <w:szCs w:val="18"/>
                      <w:highlight w:val="none"/>
                      <w:vertAlign w:val="baseline"/>
                      <w:lang w:val="en-US" w:eastAsia="zh-CN"/>
                    </w:rPr>
                    <w:t>制氧系统技术改造节能项目，属于易门铜业有限公司铜冶炼配套公用工程，</w:t>
                  </w:r>
                  <w:r>
                    <w:rPr>
                      <w:rFonts w:hint="eastAsia" w:ascii="宋体" w:hAnsi="宋体" w:eastAsia="宋体" w:cs="宋体"/>
                      <w:color w:val="auto"/>
                      <w:highlight w:val="none"/>
                      <w:lang w:val="en-US" w:eastAsia="zh-CN"/>
                    </w:rPr>
                    <w:t>项目运营过程中无废气污染物产生；本项目位于云南易门产业园区大椿树片区，项目生产设备均布设于生产车间内，运营期设备噪声通过采取厂房隔声、基础</w:t>
                  </w:r>
                  <w:r>
                    <w:rPr>
                      <w:rFonts w:hint="eastAsia" w:ascii="宋体" w:hAnsi="宋体" w:cs="宋体"/>
                      <w:color w:val="auto"/>
                      <w:highlight w:val="none"/>
                      <w:lang w:val="en-US" w:eastAsia="zh-CN"/>
                    </w:rPr>
                    <w:t>减振</w:t>
                  </w:r>
                  <w:r>
                    <w:rPr>
                      <w:rFonts w:hint="eastAsia" w:ascii="宋体" w:hAnsi="宋体" w:eastAsia="宋体" w:cs="宋体"/>
                      <w:color w:val="auto"/>
                      <w:highlight w:val="none"/>
                      <w:lang w:val="en-US" w:eastAsia="zh-CN"/>
                    </w:rPr>
                    <w:t>等措施后，对周边声环境影响不大。</w:t>
                  </w:r>
                </w:p>
              </w:tc>
              <w:tc>
                <w:tcPr>
                  <w:tcW w:w="431" w:type="pct"/>
                  <w:tcBorders>
                    <w:tl2br w:val="nil"/>
                    <w:tr2bl w:val="nil"/>
                  </w:tcBorders>
                  <w:noWrap w:val="0"/>
                  <w:vAlign w:val="center"/>
                </w:tcPr>
                <w:p>
                  <w:pPr>
                    <w:pStyle w:val="34"/>
                    <w:bidi w:val="0"/>
                    <w:jc w:val="center"/>
                    <w:rPr>
                      <w:rFonts w:hint="default"/>
                      <w:color w:val="auto"/>
                      <w:highlight w:val="none"/>
                      <w:lang w:val="en-US" w:eastAsia="zh-CN"/>
                    </w:rPr>
                  </w:pPr>
                  <w:r>
                    <w:rPr>
                      <w:rFonts w:hint="eastAsia"/>
                      <w:color w:val="auto"/>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48" w:type="pct"/>
                  <w:vMerge w:val="restart"/>
                  <w:tcBorders>
                    <w:tl2br w:val="nil"/>
                    <w:tr2bl w:val="nil"/>
                  </w:tcBorders>
                  <w:noWrap w:val="0"/>
                  <w:vAlign w:val="center"/>
                </w:tcPr>
                <w:p>
                  <w:pPr>
                    <w:pStyle w:val="34"/>
                    <w:bidi w:val="0"/>
                    <w:jc w:val="center"/>
                    <w:rPr>
                      <w:rFonts w:hint="default"/>
                      <w:color w:val="auto"/>
                      <w:highlight w:val="none"/>
                      <w:lang w:val="en-US" w:eastAsia="zh-CN"/>
                    </w:rPr>
                  </w:pPr>
                  <w:r>
                    <w:rPr>
                      <w:rFonts w:hint="default"/>
                      <w:color w:val="auto"/>
                      <w:highlight w:val="none"/>
                      <w:lang w:val="en-US" w:eastAsia="zh-CN"/>
                    </w:rPr>
                    <w:t>深入打好碧水保卫战</w:t>
                  </w:r>
                </w:p>
              </w:tc>
              <w:tc>
                <w:tcPr>
                  <w:tcW w:w="1990" w:type="pct"/>
                  <w:tcBorders>
                    <w:tl2br w:val="nil"/>
                    <w:tr2bl w:val="nil"/>
                  </w:tcBorders>
                  <w:noWrap w:val="0"/>
                  <w:vAlign w:val="center"/>
                </w:tcPr>
                <w:p>
                  <w:pPr>
                    <w:pStyle w:val="34"/>
                    <w:bidi w:val="0"/>
                    <w:jc w:val="center"/>
                    <w:rPr>
                      <w:rFonts w:hint="default"/>
                      <w:color w:val="auto"/>
                      <w:highlight w:val="none"/>
                      <w:lang w:val="en-US"/>
                    </w:rPr>
                  </w:pPr>
                  <w:r>
                    <w:rPr>
                      <w:rFonts w:hint="default"/>
                      <w:color w:val="auto"/>
                      <w:highlight w:val="none"/>
                      <w:lang w:val="en-US"/>
                    </w:rPr>
                    <w:t>深入打好“湖泊革命”攻坚战。坚持“退、减、调、治、管”多措并举，围绕“三治一改善”重点任务，以革命性措施抓好三大高原湖泊保护治理。强化流域空间管控和生态减负，优化流域空间格局。全面推进流域农业绿色发展，严控农业面源污染。系统推进流域环湖截污治污，补齐流域“两污”收集治理设施短板，加强湖泊内源污染风险防范。</w:t>
                  </w:r>
                </w:p>
              </w:tc>
              <w:tc>
                <w:tcPr>
                  <w:tcW w:w="2130" w:type="pct"/>
                  <w:tcBorders>
                    <w:tl2br w:val="nil"/>
                    <w:tr2bl w:val="nil"/>
                  </w:tcBorders>
                  <w:noWrap w:val="0"/>
                  <w:vAlign w:val="center"/>
                </w:tcPr>
                <w:p>
                  <w:pPr>
                    <w:pStyle w:val="34"/>
                    <w:bidi w:val="0"/>
                    <w:jc w:val="center"/>
                    <w:rPr>
                      <w:rFonts w:hint="eastAsia"/>
                      <w:color w:val="auto"/>
                      <w:highlight w:val="none"/>
                      <w:lang w:val="en-US" w:eastAsia="zh-CN"/>
                    </w:rPr>
                  </w:pPr>
                  <w:r>
                    <w:rPr>
                      <w:rFonts w:hint="eastAsia"/>
                      <w:color w:val="auto"/>
                      <w:highlight w:val="none"/>
                      <w:lang w:val="en-US" w:eastAsia="zh-CN"/>
                    </w:rPr>
                    <w:t>项目所在区域不在高原湖泊流域范围内，项目不涉及农业面源污染。</w:t>
                  </w:r>
                </w:p>
              </w:tc>
              <w:tc>
                <w:tcPr>
                  <w:tcW w:w="431" w:type="pct"/>
                  <w:tcBorders>
                    <w:tl2br w:val="nil"/>
                    <w:tr2bl w:val="nil"/>
                  </w:tcBorders>
                  <w:noWrap w:val="0"/>
                  <w:vAlign w:val="center"/>
                </w:tcPr>
                <w:p>
                  <w:pPr>
                    <w:pStyle w:val="34"/>
                    <w:bidi w:val="0"/>
                    <w:jc w:val="center"/>
                    <w:rPr>
                      <w:rFonts w:hint="eastAsia"/>
                      <w:color w:val="auto"/>
                      <w:highlight w:val="none"/>
                      <w:lang w:val="en-US" w:eastAsia="zh-CN"/>
                    </w:rPr>
                  </w:pPr>
                  <w:r>
                    <w:rPr>
                      <w:rFonts w:hint="eastAsia"/>
                      <w:color w:val="auto"/>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48" w:type="pct"/>
                  <w:vMerge w:val="continue"/>
                  <w:tcBorders>
                    <w:tl2br w:val="nil"/>
                    <w:tr2bl w:val="nil"/>
                  </w:tcBorders>
                  <w:noWrap w:val="0"/>
                  <w:vAlign w:val="center"/>
                </w:tcPr>
                <w:p>
                  <w:pPr>
                    <w:pStyle w:val="34"/>
                    <w:bidi w:val="0"/>
                    <w:jc w:val="center"/>
                    <w:rPr>
                      <w:rFonts w:hint="default"/>
                      <w:color w:val="auto"/>
                      <w:highlight w:val="none"/>
                      <w:lang w:val="en-US" w:eastAsia="zh-CN"/>
                    </w:rPr>
                  </w:pPr>
                </w:p>
              </w:tc>
              <w:tc>
                <w:tcPr>
                  <w:tcW w:w="1990" w:type="pct"/>
                  <w:tcBorders>
                    <w:tl2br w:val="nil"/>
                    <w:tr2bl w:val="nil"/>
                  </w:tcBorders>
                  <w:noWrap w:val="0"/>
                  <w:vAlign w:val="center"/>
                </w:tcPr>
                <w:p>
                  <w:pPr>
                    <w:pStyle w:val="34"/>
                    <w:bidi w:val="0"/>
                    <w:jc w:val="center"/>
                    <w:rPr>
                      <w:rFonts w:hint="default"/>
                      <w:color w:val="auto"/>
                      <w:highlight w:val="none"/>
                      <w:lang w:val="en-US"/>
                    </w:rPr>
                  </w:pPr>
                  <w:r>
                    <w:rPr>
                      <w:rFonts w:hint="default"/>
                      <w:color w:val="auto"/>
                      <w:highlight w:val="none"/>
                      <w:lang w:val="en-US"/>
                    </w:rPr>
                    <w:t>深入打好珠江流域（玉溪段）保护治理攻坚战。加大南盘江干流等流域水生态环境综合治理力度，开展沿河城镇、农村生活污水治理，加大农业面源污染治理力度，执行最严格水资源管理制度，保障珠江流域（玉溪段）生态流量。持续开展工业园区污染治理、“三磷”和重金属行业排查整治。</w:t>
                  </w:r>
                </w:p>
              </w:tc>
              <w:tc>
                <w:tcPr>
                  <w:tcW w:w="2130" w:type="pct"/>
                  <w:tcBorders>
                    <w:tl2br w:val="nil"/>
                    <w:tr2bl w:val="nil"/>
                  </w:tcBorders>
                  <w:noWrap w:val="0"/>
                  <w:vAlign w:val="center"/>
                </w:tcPr>
                <w:p>
                  <w:pPr>
                    <w:pStyle w:val="34"/>
                    <w:bidi w:val="0"/>
                    <w:jc w:val="center"/>
                    <w:rPr>
                      <w:rFonts w:hint="default"/>
                      <w:color w:val="auto"/>
                      <w:highlight w:val="none"/>
                      <w:lang w:val="en-US" w:eastAsia="zh-CN"/>
                    </w:rPr>
                  </w:pPr>
                  <w:r>
                    <w:rPr>
                      <w:rFonts w:hint="eastAsia"/>
                      <w:color w:val="auto"/>
                      <w:highlight w:val="none"/>
                      <w:lang w:val="en-US" w:eastAsia="zh-CN"/>
                    </w:rPr>
                    <w:t>本项目所在区域不属于珠江流域</w:t>
                  </w:r>
                </w:p>
              </w:tc>
              <w:tc>
                <w:tcPr>
                  <w:tcW w:w="431" w:type="pct"/>
                  <w:tcBorders>
                    <w:tl2br w:val="nil"/>
                    <w:tr2bl w:val="nil"/>
                  </w:tcBorders>
                  <w:noWrap w:val="0"/>
                  <w:vAlign w:val="center"/>
                </w:tcPr>
                <w:p>
                  <w:pPr>
                    <w:pStyle w:val="34"/>
                    <w:bidi w:val="0"/>
                    <w:jc w:val="center"/>
                    <w:rPr>
                      <w:rFonts w:hint="eastAsia"/>
                      <w:color w:val="auto"/>
                      <w:highlight w:val="none"/>
                      <w:lang w:val="en-US" w:eastAsia="zh-CN"/>
                    </w:rPr>
                  </w:pPr>
                  <w:r>
                    <w:rPr>
                      <w:rFonts w:hint="eastAsia"/>
                      <w:color w:val="auto"/>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48" w:type="pct"/>
                  <w:vMerge w:val="continue"/>
                  <w:tcBorders>
                    <w:tl2br w:val="nil"/>
                    <w:tr2bl w:val="nil"/>
                  </w:tcBorders>
                  <w:noWrap w:val="0"/>
                  <w:vAlign w:val="center"/>
                </w:tcPr>
                <w:p>
                  <w:pPr>
                    <w:pStyle w:val="34"/>
                    <w:bidi w:val="0"/>
                    <w:jc w:val="center"/>
                    <w:rPr>
                      <w:rFonts w:hint="default"/>
                      <w:color w:val="auto"/>
                      <w:highlight w:val="none"/>
                      <w:lang w:val="en-US" w:eastAsia="zh-CN"/>
                    </w:rPr>
                  </w:pPr>
                </w:p>
              </w:tc>
              <w:tc>
                <w:tcPr>
                  <w:tcW w:w="1990" w:type="pct"/>
                  <w:tcBorders>
                    <w:tl2br w:val="nil"/>
                    <w:tr2bl w:val="nil"/>
                  </w:tcBorders>
                  <w:noWrap w:val="0"/>
                  <w:vAlign w:val="center"/>
                </w:tcPr>
                <w:p>
                  <w:pPr>
                    <w:pStyle w:val="34"/>
                    <w:bidi w:val="0"/>
                    <w:jc w:val="center"/>
                    <w:rPr>
                      <w:rFonts w:hint="default"/>
                      <w:color w:val="auto"/>
                      <w:highlight w:val="none"/>
                      <w:lang w:val="en-US"/>
                    </w:rPr>
                  </w:pPr>
                  <w:r>
                    <w:rPr>
                      <w:rFonts w:hint="default"/>
                      <w:color w:val="auto"/>
                      <w:highlight w:val="none"/>
                      <w:lang w:val="en-US"/>
                    </w:rPr>
                    <w:t>深入打好红河水系（玉溪段）保护修复攻坚战。强化红河水系（玉溪段）空间管控，持续抓好流域历史遗留矿山生态修复工作。开展沿河城镇、农村生活污水治理，加大农业面源污染治理力度。执行最严格水资源管理制度。</w:t>
                  </w:r>
                </w:p>
              </w:tc>
              <w:tc>
                <w:tcPr>
                  <w:tcW w:w="2130" w:type="pct"/>
                  <w:tcBorders>
                    <w:tl2br w:val="nil"/>
                    <w:tr2bl w:val="nil"/>
                  </w:tcBorders>
                  <w:noWrap w:val="0"/>
                  <w:vAlign w:val="center"/>
                </w:tcPr>
                <w:p>
                  <w:pPr>
                    <w:pStyle w:val="34"/>
                    <w:bidi w:val="0"/>
                    <w:jc w:val="center"/>
                    <w:rPr>
                      <w:rFonts w:hint="eastAsia"/>
                      <w:color w:val="auto"/>
                      <w:highlight w:val="none"/>
                      <w:lang w:val="en-US" w:eastAsia="zh-CN"/>
                    </w:rPr>
                  </w:pPr>
                  <w:r>
                    <w:rPr>
                      <w:rFonts w:hint="eastAsia" w:cs="Times New Roman"/>
                      <w:color w:val="auto"/>
                      <w:highlight w:val="none"/>
                      <w:lang w:val="en-US" w:eastAsia="zh-CN"/>
                    </w:rPr>
                    <w:t>根据现场踏勘，</w:t>
                  </w:r>
                  <w:r>
                    <w:rPr>
                      <w:rFonts w:hint="default" w:ascii="Times New Roman" w:hAnsi="Times New Roman" w:cs="Times New Roman"/>
                      <w:color w:val="auto"/>
                      <w:highlight w:val="none"/>
                      <w:lang w:val="en-US" w:eastAsia="zh-CN"/>
                    </w:rPr>
                    <w:t>项目周边距离最近的地表水体为项目区东南侧2960m处的双龙河，双龙河自北向东南汇入扒河，最终汇入绿汁江。根据《2024年玉溪</w:t>
                  </w:r>
                  <w:r>
                    <w:rPr>
                      <w:rFonts w:hint="default" w:ascii="Times New Roman" w:hAnsi="Times New Roman" w:eastAsia="宋体" w:cs="Times New Roman"/>
                      <w:color w:val="auto"/>
                      <w:highlight w:val="none"/>
                      <w:lang w:val="en-US" w:eastAsia="zh-CN"/>
                    </w:rPr>
                    <w:t>市生态环境状况公报》，大谷厂水管所监测断面（地表径流汇入口上游）水质类别为Ⅰ类</w:t>
                  </w:r>
                  <w:r>
                    <w:rPr>
                      <w:rFonts w:hint="eastAsia" w:ascii="Times New Roman" w:hAnsi="Times New Roman" w:eastAsia="宋体" w:cs="Times New Roman"/>
                      <w:color w:val="auto"/>
                      <w:highlight w:val="none"/>
                      <w:lang w:val="en-US" w:eastAsia="zh-CN"/>
                    </w:rPr>
                    <w:t>，绿汁江江边（炉房）</w:t>
                  </w:r>
                  <w:r>
                    <w:rPr>
                      <w:rFonts w:hint="default" w:ascii="Times New Roman" w:hAnsi="Times New Roman" w:eastAsia="宋体" w:cs="Times New Roman"/>
                      <w:color w:val="auto"/>
                      <w:highlight w:val="none"/>
                      <w:lang w:val="en-US" w:eastAsia="zh-CN"/>
                    </w:rPr>
                    <w:t>监测断面（地表径流汇入口</w:t>
                  </w:r>
                  <w:r>
                    <w:rPr>
                      <w:rFonts w:hint="eastAsia" w:eastAsia="宋体" w:cs="Times New Roman"/>
                      <w:color w:val="auto"/>
                      <w:highlight w:val="none"/>
                      <w:lang w:val="en-US" w:eastAsia="zh-CN"/>
                    </w:rPr>
                    <w:t>下</w:t>
                  </w:r>
                  <w:r>
                    <w:rPr>
                      <w:rFonts w:hint="default" w:ascii="Times New Roman" w:hAnsi="Times New Roman" w:eastAsia="宋体" w:cs="Times New Roman"/>
                      <w:color w:val="auto"/>
                      <w:highlight w:val="none"/>
                      <w:lang w:val="en-US" w:eastAsia="zh-CN"/>
                    </w:rPr>
                    <w:t>游）水质类别为</w:t>
                  </w:r>
                  <w:r>
                    <w:rPr>
                      <w:rFonts w:hint="default" w:ascii="Times New Roman" w:hAnsi="Times New Roman" w:eastAsia="微软雅黑" w:cs="Times New Roman"/>
                      <w:color w:val="auto"/>
                      <w:highlight w:val="none"/>
                      <w:lang w:val="en-US" w:eastAsia="zh-CN"/>
                    </w:rPr>
                    <w:t>Ⅱ</w:t>
                  </w:r>
                  <w:r>
                    <w:rPr>
                      <w:rFonts w:hint="default" w:ascii="Times New Roman" w:hAnsi="Times New Roman" w:eastAsia="宋体" w:cs="Times New Roman"/>
                      <w:color w:val="auto"/>
                      <w:highlight w:val="none"/>
                      <w:lang w:val="en-US" w:eastAsia="zh-CN"/>
                    </w:rPr>
                    <w:t>类，</w:t>
                  </w:r>
                  <w:r>
                    <w:rPr>
                      <w:rFonts w:hint="eastAsia" w:ascii="Times New Roman" w:hAnsi="Times New Roman" w:eastAsia="宋体" w:cs="Times New Roman"/>
                      <w:color w:val="auto"/>
                      <w:highlight w:val="none"/>
                      <w:lang w:val="en-US" w:eastAsia="zh-CN"/>
                    </w:rPr>
                    <w:t>因此，双龙河</w:t>
                  </w:r>
                  <w:r>
                    <w:rPr>
                      <w:rFonts w:hint="default" w:ascii="Times New Roman" w:hAnsi="Times New Roman" w:cs="Times New Roman"/>
                      <w:color w:val="auto"/>
                      <w:highlight w:val="none"/>
                      <w:lang w:val="en-US" w:eastAsia="zh-CN"/>
                    </w:rPr>
                    <w:t>水质能</w:t>
                  </w:r>
                  <w:r>
                    <w:rPr>
                      <w:rFonts w:hint="eastAsia" w:ascii="Times New Roman" w:hAnsi="Times New Roman" w:cs="Times New Roman"/>
                      <w:color w:val="auto"/>
                      <w:highlight w:val="none"/>
                      <w:lang w:val="en-US" w:eastAsia="zh-CN"/>
                    </w:rPr>
                    <w:t>够</w:t>
                  </w:r>
                  <w:r>
                    <w:rPr>
                      <w:rFonts w:hint="default" w:ascii="Times New Roman" w:hAnsi="Times New Roman" w:cs="Times New Roman"/>
                      <w:color w:val="auto"/>
                      <w:highlight w:val="none"/>
                      <w:lang w:val="en-US" w:eastAsia="zh-CN"/>
                    </w:rPr>
                    <w:t>达到《地表水环境质量标准》（GB3838-2002）Ⅲ类</w:t>
                  </w:r>
                  <w:r>
                    <w:rPr>
                      <w:rFonts w:hint="eastAsia" w:ascii="Times New Roman" w:hAnsi="Times New Roman" w:cs="Times New Roman"/>
                      <w:color w:val="auto"/>
                      <w:highlight w:val="none"/>
                      <w:lang w:val="en-US" w:eastAsia="zh-CN"/>
                    </w:rPr>
                    <w:t>水质</w:t>
                  </w:r>
                  <w:r>
                    <w:rPr>
                      <w:rFonts w:hint="default" w:ascii="Times New Roman" w:hAnsi="Times New Roman" w:cs="Times New Roman"/>
                      <w:color w:val="auto"/>
                      <w:highlight w:val="none"/>
                      <w:lang w:val="en-US" w:eastAsia="zh-CN"/>
                    </w:rPr>
                    <w:t>标准要求</w:t>
                  </w:r>
                  <w:r>
                    <w:rPr>
                      <w:rFonts w:hint="eastAsia" w:ascii="Times New Roman" w:hAnsi="Times New Roman" w:cs="Times New Roman"/>
                      <w:color w:val="auto"/>
                      <w:highlight w:val="none"/>
                      <w:lang w:val="en-US" w:eastAsia="zh-CN"/>
                    </w:rPr>
                    <w:t>。</w:t>
                  </w:r>
                </w:p>
              </w:tc>
              <w:tc>
                <w:tcPr>
                  <w:tcW w:w="431" w:type="pct"/>
                  <w:tcBorders>
                    <w:tl2br w:val="nil"/>
                    <w:tr2bl w:val="nil"/>
                  </w:tcBorders>
                  <w:noWrap w:val="0"/>
                  <w:vAlign w:val="center"/>
                </w:tcPr>
                <w:p>
                  <w:pPr>
                    <w:pStyle w:val="34"/>
                    <w:bidi w:val="0"/>
                    <w:jc w:val="center"/>
                    <w:rPr>
                      <w:rFonts w:hint="eastAsia"/>
                      <w:color w:val="auto"/>
                      <w:highlight w:val="none"/>
                      <w:lang w:val="en-US" w:eastAsia="zh-CN"/>
                    </w:rPr>
                  </w:pPr>
                  <w:r>
                    <w:rPr>
                      <w:rFonts w:hint="eastAsia"/>
                      <w:color w:val="auto"/>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48" w:type="pct"/>
                  <w:vMerge w:val="continue"/>
                  <w:tcBorders>
                    <w:tl2br w:val="nil"/>
                    <w:tr2bl w:val="nil"/>
                  </w:tcBorders>
                  <w:noWrap w:val="0"/>
                  <w:vAlign w:val="center"/>
                </w:tcPr>
                <w:p>
                  <w:pPr>
                    <w:pStyle w:val="34"/>
                    <w:bidi w:val="0"/>
                    <w:jc w:val="center"/>
                    <w:rPr>
                      <w:rFonts w:hint="default"/>
                      <w:color w:val="auto"/>
                      <w:highlight w:val="none"/>
                      <w:lang w:val="en-US" w:eastAsia="zh-CN"/>
                    </w:rPr>
                  </w:pPr>
                </w:p>
              </w:tc>
              <w:tc>
                <w:tcPr>
                  <w:tcW w:w="1990" w:type="pct"/>
                  <w:tcBorders>
                    <w:tl2br w:val="nil"/>
                    <w:tr2bl w:val="nil"/>
                  </w:tcBorders>
                  <w:noWrap w:val="0"/>
                  <w:vAlign w:val="center"/>
                </w:tcPr>
                <w:p>
                  <w:pPr>
                    <w:pStyle w:val="34"/>
                    <w:bidi w:val="0"/>
                    <w:jc w:val="center"/>
                    <w:rPr>
                      <w:rFonts w:hint="default"/>
                      <w:color w:val="auto"/>
                      <w:highlight w:val="none"/>
                      <w:lang w:val="en-US"/>
                    </w:rPr>
                  </w:pPr>
                  <w:r>
                    <w:rPr>
                      <w:rFonts w:hint="default"/>
                      <w:color w:val="auto"/>
                      <w:highlight w:val="none"/>
                      <w:lang w:val="en-US"/>
                    </w:rPr>
                    <w:t>强化陆域水域污染协同治理。持续开展入河排污口“查、测、溯、治”。完善水污染防治流域协同机制，深化重点流域综合治理，推进重要河湖污染防治和生态修复。积极开展美丽河湖建设。</w:t>
                  </w:r>
                </w:p>
              </w:tc>
              <w:tc>
                <w:tcPr>
                  <w:tcW w:w="2130" w:type="pct"/>
                  <w:tcBorders>
                    <w:tl2br w:val="nil"/>
                    <w:tr2bl w:val="nil"/>
                  </w:tcBorders>
                  <w:noWrap w:val="0"/>
                  <w:vAlign w:val="center"/>
                </w:tcPr>
                <w:p>
                  <w:pPr>
                    <w:pStyle w:val="34"/>
                    <w:bidi w:val="0"/>
                    <w:jc w:val="center"/>
                    <w:rPr>
                      <w:rFonts w:hint="eastAsia"/>
                      <w:color w:val="auto"/>
                      <w:highlight w:val="none"/>
                      <w:lang w:val="en-US" w:eastAsia="zh-CN"/>
                    </w:rPr>
                  </w:pPr>
                  <w:r>
                    <w:rPr>
                      <w:rFonts w:hint="eastAsia"/>
                      <w:color w:val="auto"/>
                      <w:highlight w:val="none"/>
                      <w:lang w:val="en-US" w:eastAsia="zh-CN"/>
                    </w:rPr>
                    <w:t>本项目循环冷却水循环使用，循环冷却系统排污水经厂区已建生产废水深度水处理站处理达标后回用于易门铜业有限公司冶炼渣缓冷场，不外排；生活污水经收集后进入厂区生活污水处理站进行处理，处理达标后回用于绿化浇洒，不外排。</w:t>
                  </w:r>
                </w:p>
              </w:tc>
              <w:tc>
                <w:tcPr>
                  <w:tcW w:w="431" w:type="pct"/>
                  <w:tcBorders>
                    <w:tl2br w:val="nil"/>
                    <w:tr2bl w:val="nil"/>
                  </w:tcBorders>
                  <w:noWrap w:val="0"/>
                  <w:vAlign w:val="center"/>
                </w:tcPr>
                <w:p>
                  <w:pPr>
                    <w:pStyle w:val="34"/>
                    <w:bidi w:val="0"/>
                    <w:jc w:val="center"/>
                    <w:rPr>
                      <w:rFonts w:hint="eastAsia"/>
                      <w:color w:val="auto"/>
                      <w:highlight w:val="none"/>
                      <w:lang w:val="en-US" w:eastAsia="zh-CN"/>
                    </w:rPr>
                  </w:pPr>
                  <w:r>
                    <w:rPr>
                      <w:rFonts w:hint="eastAsia"/>
                      <w:color w:val="auto"/>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48" w:type="pct"/>
                  <w:vMerge w:val="restart"/>
                  <w:tcBorders>
                    <w:tl2br w:val="nil"/>
                    <w:tr2bl w:val="nil"/>
                  </w:tcBorders>
                  <w:noWrap w:val="0"/>
                  <w:vAlign w:val="center"/>
                </w:tcPr>
                <w:p>
                  <w:pPr>
                    <w:pStyle w:val="34"/>
                    <w:bidi w:val="0"/>
                    <w:jc w:val="center"/>
                    <w:rPr>
                      <w:rFonts w:hint="default"/>
                      <w:color w:val="auto"/>
                      <w:highlight w:val="none"/>
                      <w:lang w:val="en-US" w:eastAsia="zh-CN"/>
                    </w:rPr>
                  </w:pPr>
                  <w:r>
                    <w:rPr>
                      <w:rFonts w:hint="default"/>
                      <w:color w:val="auto"/>
                      <w:highlight w:val="none"/>
                      <w:lang w:val="en-US" w:eastAsia="zh-CN"/>
                    </w:rPr>
                    <w:t>深入打好净土保卫战</w:t>
                  </w:r>
                </w:p>
              </w:tc>
              <w:tc>
                <w:tcPr>
                  <w:tcW w:w="1990" w:type="pct"/>
                  <w:tcBorders>
                    <w:tl2br w:val="nil"/>
                    <w:tr2bl w:val="nil"/>
                  </w:tcBorders>
                  <w:noWrap w:val="0"/>
                  <w:vAlign w:val="center"/>
                </w:tcPr>
                <w:p>
                  <w:pPr>
                    <w:pStyle w:val="34"/>
                    <w:bidi w:val="0"/>
                    <w:jc w:val="center"/>
                    <w:rPr>
                      <w:rFonts w:hint="default"/>
                      <w:color w:val="auto"/>
                      <w:highlight w:val="none"/>
                      <w:lang w:val="en-US"/>
                    </w:rPr>
                  </w:pPr>
                  <w:r>
                    <w:rPr>
                      <w:rFonts w:hint="default"/>
                      <w:color w:val="auto"/>
                      <w:highlight w:val="none"/>
                      <w:lang w:val="en-US"/>
                    </w:rPr>
                    <w:t>有效管控建设用地土壤污染风险。严格建设用地土壤污染风险管控和修复名录内地块的准入管理。落实土壤污染状况调查和风险评估要求，从严管控化工等行业重度污染地块的规划用途。</w:t>
                  </w:r>
                </w:p>
              </w:tc>
              <w:tc>
                <w:tcPr>
                  <w:tcW w:w="2130" w:type="pct"/>
                  <w:tcBorders>
                    <w:tl2br w:val="nil"/>
                    <w:tr2bl w:val="nil"/>
                  </w:tcBorders>
                  <w:noWrap w:val="0"/>
                  <w:vAlign w:val="center"/>
                </w:tcPr>
                <w:p>
                  <w:pPr>
                    <w:pStyle w:val="34"/>
                    <w:bidi w:val="0"/>
                    <w:jc w:val="center"/>
                    <w:rPr>
                      <w:rFonts w:hint="eastAsia"/>
                      <w:color w:val="auto"/>
                      <w:highlight w:val="none"/>
                      <w:lang w:val="en-US" w:eastAsia="zh-CN"/>
                    </w:rPr>
                  </w:pPr>
                  <w:r>
                    <w:rPr>
                      <w:rFonts w:hint="eastAsia"/>
                      <w:color w:val="auto"/>
                      <w:highlight w:val="none"/>
                      <w:lang w:val="en-US" w:eastAsia="zh-CN"/>
                    </w:rPr>
                    <w:t>项目采取分区防渗措施，项目建成后对区域土壤环境质量影响较小，土壤环境风险较低。</w:t>
                  </w:r>
                </w:p>
              </w:tc>
              <w:tc>
                <w:tcPr>
                  <w:tcW w:w="431" w:type="pct"/>
                  <w:tcBorders>
                    <w:tl2br w:val="nil"/>
                    <w:tr2bl w:val="nil"/>
                  </w:tcBorders>
                  <w:noWrap w:val="0"/>
                  <w:vAlign w:val="center"/>
                </w:tcPr>
                <w:p>
                  <w:pPr>
                    <w:pStyle w:val="34"/>
                    <w:bidi w:val="0"/>
                    <w:jc w:val="center"/>
                    <w:rPr>
                      <w:rFonts w:hint="eastAsia"/>
                      <w:color w:val="auto"/>
                      <w:highlight w:val="none"/>
                      <w:lang w:val="en-US" w:eastAsia="zh-CN"/>
                    </w:rPr>
                  </w:pPr>
                  <w:r>
                    <w:rPr>
                      <w:rFonts w:hint="eastAsia"/>
                      <w:color w:val="auto"/>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48" w:type="pct"/>
                  <w:vMerge w:val="continue"/>
                  <w:tcBorders>
                    <w:tl2br w:val="nil"/>
                    <w:tr2bl w:val="nil"/>
                  </w:tcBorders>
                  <w:noWrap w:val="0"/>
                  <w:vAlign w:val="center"/>
                </w:tcPr>
                <w:p>
                  <w:pPr>
                    <w:pStyle w:val="34"/>
                    <w:bidi w:val="0"/>
                    <w:jc w:val="center"/>
                    <w:rPr>
                      <w:rFonts w:hint="default"/>
                      <w:color w:val="auto"/>
                      <w:highlight w:val="none"/>
                      <w:lang w:val="en-US" w:eastAsia="zh-CN"/>
                    </w:rPr>
                  </w:pPr>
                </w:p>
              </w:tc>
              <w:tc>
                <w:tcPr>
                  <w:tcW w:w="1990" w:type="pct"/>
                  <w:tcBorders>
                    <w:tl2br w:val="nil"/>
                    <w:tr2bl w:val="nil"/>
                  </w:tcBorders>
                  <w:noWrap w:val="0"/>
                  <w:vAlign w:val="center"/>
                </w:tcPr>
                <w:p>
                  <w:pPr>
                    <w:pStyle w:val="34"/>
                    <w:bidi w:val="0"/>
                    <w:jc w:val="center"/>
                    <w:rPr>
                      <w:rFonts w:hint="default"/>
                      <w:color w:val="auto"/>
                      <w:highlight w:val="none"/>
                      <w:lang w:val="en-US"/>
                    </w:rPr>
                  </w:pPr>
                  <w:r>
                    <w:rPr>
                      <w:rFonts w:hint="default"/>
                      <w:color w:val="auto"/>
                      <w:highlight w:val="none"/>
                      <w:lang w:val="en-US"/>
                    </w:rPr>
                    <w:t>稳步推进“无废城市”建设。稳步推进玉溪市“无废城市”建设，推进城市固体废物精细化管理。积极推进无废学校、社区、企业等“无废细胞”建设。</w:t>
                  </w:r>
                </w:p>
              </w:tc>
              <w:tc>
                <w:tcPr>
                  <w:tcW w:w="2130" w:type="pct"/>
                  <w:tcBorders>
                    <w:tl2br w:val="nil"/>
                    <w:tr2bl w:val="nil"/>
                  </w:tcBorders>
                  <w:noWrap w:val="0"/>
                  <w:vAlign w:val="center"/>
                </w:tcPr>
                <w:p>
                  <w:pPr>
                    <w:pStyle w:val="34"/>
                    <w:bidi w:val="0"/>
                    <w:jc w:val="center"/>
                    <w:rPr>
                      <w:rFonts w:hint="eastAsia"/>
                      <w:color w:val="auto"/>
                      <w:highlight w:val="none"/>
                      <w:lang w:val="en-US" w:eastAsia="zh-CN"/>
                    </w:rPr>
                  </w:pPr>
                  <w:r>
                    <w:rPr>
                      <w:rFonts w:hint="eastAsia"/>
                      <w:color w:val="auto"/>
                      <w:highlight w:val="none"/>
                      <w:lang w:val="en-US" w:eastAsia="zh-CN"/>
                    </w:rPr>
                    <w:t>本项目产生的固体废物100%处置，处置措施合理可行。</w:t>
                  </w:r>
                </w:p>
              </w:tc>
              <w:tc>
                <w:tcPr>
                  <w:tcW w:w="431" w:type="pct"/>
                  <w:tcBorders>
                    <w:tl2br w:val="nil"/>
                    <w:tr2bl w:val="nil"/>
                  </w:tcBorders>
                  <w:noWrap w:val="0"/>
                  <w:vAlign w:val="center"/>
                </w:tcPr>
                <w:p>
                  <w:pPr>
                    <w:pStyle w:val="34"/>
                    <w:bidi w:val="0"/>
                    <w:jc w:val="center"/>
                    <w:rPr>
                      <w:rFonts w:hint="eastAsia"/>
                      <w:color w:val="auto"/>
                      <w:highlight w:val="none"/>
                      <w:lang w:val="en-US" w:eastAsia="zh-CN"/>
                    </w:rPr>
                  </w:pPr>
                  <w:r>
                    <w:rPr>
                      <w:rFonts w:hint="eastAsia"/>
                      <w:color w:val="auto"/>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48" w:type="pct"/>
                  <w:tcBorders>
                    <w:tl2br w:val="nil"/>
                    <w:tr2bl w:val="nil"/>
                  </w:tcBorders>
                  <w:noWrap w:val="0"/>
                  <w:vAlign w:val="center"/>
                </w:tcPr>
                <w:p>
                  <w:pPr>
                    <w:pStyle w:val="34"/>
                    <w:bidi w:val="0"/>
                    <w:jc w:val="center"/>
                    <w:rPr>
                      <w:rFonts w:hint="default"/>
                      <w:color w:val="auto"/>
                      <w:highlight w:val="none"/>
                      <w:lang w:val="en-US" w:eastAsia="zh-CN"/>
                    </w:rPr>
                  </w:pPr>
                  <w:r>
                    <w:rPr>
                      <w:rFonts w:hint="default"/>
                      <w:color w:val="auto"/>
                      <w:highlight w:val="none"/>
                      <w:lang w:val="en-US" w:eastAsia="zh-CN"/>
                    </w:rPr>
                    <w:t>切实维护生态环境安全</w:t>
                  </w:r>
                </w:p>
              </w:tc>
              <w:tc>
                <w:tcPr>
                  <w:tcW w:w="1990" w:type="pct"/>
                  <w:tcBorders>
                    <w:tl2br w:val="nil"/>
                    <w:tr2bl w:val="nil"/>
                  </w:tcBorders>
                  <w:noWrap w:val="0"/>
                  <w:vAlign w:val="center"/>
                </w:tcPr>
                <w:p>
                  <w:pPr>
                    <w:pStyle w:val="34"/>
                    <w:bidi w:val="0"/>
                    <w:jc w:val="center"/>
                    <w:rPr>
                      <w:rFonts w:hint="default"/>
                      <w:color w:val="auto"/>
                      <w:highlight w:val="none"/>
                      <w:lang w:val="en-US"/>
                    </w:rPr>
                  </w:pPr>
                  <w:r>
                    <w:rPr>
                      <w:rFonts w:hint="default"/>
                      <w:color w:val="auto"/>
                      <w:highlight w:val="none"/>
                      <w:lang w:val="en-US"/>
                    </w:rPr>
                    <w:t>严密防控环境风险。开展涉危险废物涉重金属企业、化工园区等重点领域环境风险调查评估，加强危险化学品运输全链条安全监管。完善环境应急管理体系，提升市县两级环境应急响应能力，推进应急物资库建设。开展涉铊企业排查整治行动。建立“平战结合”医疗废物应急处置体系。</w:t>
                  </w:r>
                </w:p>
              </w:tc>
              <w:tc>
                <w:tcPr>
                  <w:tcW w:w="2130" w:type="pct"/>
                  <w:tcBorders>
                    <w:tl2br w:val="nil"/>
                    <w:tr2bl w:val="nil"/>
                  </w:tcBorders>
                  <w:noWrap w:val="0"/>
                  <w:vAlign w:val="center"/>
                </w:tcPr>
                <w:p>
                  <w:pPr>
                    <w:pStyle w:val="34"/>
                    <w:bidi w:val="0"/>
                    <w:jc w:val="center"/>
                    <w:rPr>
                      <w:rFonts w:hint="eastAsia"/>
                      <w:color w:val="auto"/>
                      <w:highlight w:val="none"/>
                      <w:lang w:val="en-US" w:eastAsia="zh-CN"/>
                    </w:rPr>
                  </w:pPr>
                  <w:r>
                    <w:rPr>
                      <w:rFonts w:hint="eastAsia"/>
                      <w:color w:val="auto"/>
                      <w:highlight w:val="none"/>
                      <w:lang w:val="en-US" w:eastAsia="zh-CN"/>
                    </w:rPr>
                    <w:t>本项目改建完成后</w:t>
                  </w:r>
                  <w:r>
                    <w:rPr>
                      <w:rFonts w:hint="eastAsia"/>
                      <w:color w:val="auto"/>
                      <w:highlight w:val="none"/>
                    </w:rPr>
                    <w:t>建设单位</w:t>
                  </w:r>
                  <w:r>
                    <w:rPr>
                      <w:rFonts w:hint="eastAsia"/>
                      <w:color w:val="auto"/>
                      <w:highlight w:val="none"/>
                      <w:lang w:val="en-US" w:eastAsia="zh-CN"/>
                    </w:rPr>
                    <w:t>应及时对全场应急预案进行修编，并</w:t>
                  </w:r>
                  <w:r>
                    <w:rPr>
                      <w:rFonts w:hint="eastAsia"/>
                      <w:color w:val="auto"/>
                      <w:highlight w:val="none"/>
                    </w:rPr>
                    <w:t>结合</w:t>
                  </w:r>
                  <w:r>
                    <w:rPr>
                      <w:rFonts w:hint="eastAsia"/>
                      <w:color w:val="auto"/>
                      <w:highlight w:val="none"/>
                      <w:lang w:eastAsia="zh-CN"/>
                    </w:rPr>
                    <w:t>项目</w:t>
                  </w:r>
                  <w:r>
                    <w:rPr>
                      <w:rFonts w:hint="eastAsia"/>
                      <w:color w:val="auto"/>
                      <w:highlight w:val="none"/>
                    </w:rPr>
                    <w:t>实际情况，</w:t>
                  </w:r>
                  <w:r>
                    <w:rPr>
                      <w:color w:val="auto"/>
                      <w:highlight w:val="none"/>
                    </w:rPr>
                    <w:t>建立健全</w:t>
                  </w:r>
                  <w:r>
                    <w:rPr>
                      <w:rFonts w:hint="eastAsia"/>
                      <w:color w:val="auto"/>
                      <w:highlight w:val="none"/>
                    </w:rPr>
                    <w:t>的</w:t>
                  </w:r>
                  <w:r>
                    <w:rPr>
                      <w:color w:val="auto"/>
                      <w:highlight w:val="none"/>
                    </w:rPr>
                    <w:t>突发环境事件预警应急机制</w:t>
                  </w:r>
                  <w:r>
                    <w:rPr>
                      <w:rFonts w:hint="eastAsia"/>
                      <w:color w:val="auto"/>
                      <w:highlight w:val="none"/>
                      <w:lang w:eastAsia="zh-CN"/>
                    </w:rPr>
                    <w:t>，建立完善的环境监测制度</w:t>
                  </w:r>
                  <w:r>
                    <w:rPr>
                      <w:color w:val="auto"/>
                      <w:highlight w:val="none"/>
                    </w:rPr>
                    <w:t>。</w:t>
                  </w:r>
                </w:p>
              </w:tc>
              <w:tc>
                <w:tcPr>
                  <w:tcW w:w="431" w:type="pct"/>
                  <w:tcBorders>
                    <w:tl2br w:val="nil"/>
                    <w:tr2bl w:val="nil"/>
                  </w:tcBorders>
                  <w:noWrap w:val="0"/>
                  <w:vAlign w:val="center"/>
                </w:tcPr>
                <w:p>
                  <w:pPr>
                    <w:pStyle w:val="34"/>
                    <w:bidi w:val="0"/>
                    <w:jc w:val="center"/>
                    <w:rPr>
                      <w:rFonts w:hint="eastAsia"/>
                      <w:color w:val="auto"/>
                      <w:highlight w:val="none"/>
                      <w:lang w:val="en-US" w:eastAsia="zh-CN"/>
                    </w:rPr>
                  </w:pPr>
                  <w:r>
                    <w:rPr>
                      <w:rFonts w:hint="eastAsia"/>
                      <w:color w:val="auto"/>
                      <w:highlight w:val="none"/>
                      <w:lang w:val="en-US" w:eastAsia="zh-CN"/>
                    </w:rPr>
                    <w:t>符合</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color w:val="auto"/>
                <w:highlight w:val="none"/>
                <w:lang w:val="en-US" w:eastAsia="zh-CN"/>
              </w:rPr>
            </w:pPr>
            <w:r>
              <w:rPr>
                <w:rFonts w:hint="eastAsia"/>
                <w:color w:val="auto"/>
                <w:highlight w:val="none"/>
                <w:lang w:val="en-US" w:eastAsia="zh-CN"/>
              </w:rPr>
              <w:t>综上，本项目的建设符合</w:t>
            </w:r>
            <w:r>
              <w:rPr>
                <w:rFonts w:hint="eastAsia"/>
                <w:color w:val="auto"/>
                <w:highlight w:val="none"/>
                <w:lang w:val="en-GB" w:eastAsia="zh-CN"/>
              </w:rPr>
              <w:t>《</w:t>
            </w:r>
            <w:r>
              <w:rPr>
                <w:rFonts w:hint="eastAsia"/>
                <w:color w:val="auto"/>
                <w:highlight w:val="none"/>
                <w:lang w:val="en-US" w:eastAsia="zh-CN"/>
              </w:rPr>
              <w:t>玉溪市人民政府关于深入打好污染防治攻坚战的实施方案</w:t>
            </w:r>
            <w:r>
              <w:rPr>
                <w:rFonts w:hint="eastAsia"/>
                <w:color w:val="auto"/>
                <w:highlight w:val="none"/>
                <w:lang w:val="en-GB" w:eastAsia="zh-CN"/>
              </w:rPr>
              <w:t>》</w:t>
            </w:r>
            <w:r>
              <w:rPr>
                <w:rFonts w:hint="eastAsia"/>
                <w:color w:val="auto"/>
                <w:highlight w:val="none"/>
                <w:lang w:val="en-US" w:eastAsia="zh-CN"/>
              </w:rPr>
              <w:t>的相关要求。</w:t>
            </w:r>
          </w:p>
          <w:p>
            <w:pPr>
              <w:bidi w:val="0"/>
              <w:ind w:left="0" w:leftChars="0" w:firstLine="0" w:firstLineChars="0"/>
              <w:rPr>
                <w:rFonts w:hint="eastAsia"/>
                <w:color w:val="auto"/>
                <w:highlight w:val="none"/>
                <w:lang w:val="en-US" w:eastAsia="zh-CN"/>
              </w:rPr>
            </w:pPr>
            <w:r>
              <w:rPr>
                <w:rFonts w:hint="eastAsia" w:ascii="黑体" w:hAnsi="黑体" w:eastAsia="黑体" w:cs="黑体"/>
                <w:color w:val="auto"/>
                <w:highlight w:val="none"/>
                <w:lang w:val="en-US" w:eastAsia="zh-CN"/>
              </w:rPr>
              <w:t>13、</w:t>
            </w:r>
            <w:r>
              <w:rPr>
                <w:rFonts w:hint="eastAsia" w:ascii="黑体" w:hAnsi="黑体" w:eastAsia="黑体" w:cs="黑体"/>
                <w:color w:val="auto"/>
                <w:highlight w:val="none"/>
              </w:rPr>
              <w:t>与《玉溪市“十四五”生态建设和环境保护规划》（2021-2025年）的符合性</w:t>
            </w:r>
            <w:r>
              <w:rPr>
                <w:rFonts w:hint="eastAsia" w:ascii="黑体" w:hAnsi="黑体" w:eastAsia="黑体" w:cs="黑体"/>
                <w:color w:val="auto"/>
                <w:highlight w:val="none"/>
                <w:lang w:val="en-US" w:eastAsia="zh-CN"/>
              </w:rPr>
              <w:t>分析</w:t>
            </w:r>
          </w:p>
          <w:p>
            <w:pPr>
              <w:bidi w:val="0"/>
              <w:rPr>
                <w:rFonts w:hint="default"/>
                <w:color w:val="auto"/>
                <w:highlight w:val="none"/>
              </w:rPr>
            </w:pPr>
            <w:r>
              <w:rPr>
                <w:rFonts w:hint="default"/>
                <w:color w:val="auto"/>
                <w:highlight w:val="none"/>
              </w:rPr>
              <w:t>2022年5月10日，玉溪市生态环境局印发《玉溪市“十四五”生态建设和环境保护规划》（2021-2025年）（以下简称《规划》）。项目与其符合性分析见下表：</w:t>
            </w:r>
          </w:p>
          <w:p>
            <w:pPr>
              <w:pStyle w:val="35"/>
              <w:bidi w:val="0"/>
              <w:rPr>
                <w:rFonts w:hint="default"/>
                <w:color w:val="auto"/>
                <w:highlight w:val="none"/>
              </w:rPr>
            </w:pPr>
            <w:r>
              <w:rPr>
                <w:rFonts w:hint="default"/>
                <w:color w:val="auto"/>
                <w:highlight w:val="none"/>
              </w:rPr>
              <w:t>表</w:t>
            </w:r>
            <w:r>
              <w:rPr>
                <w:rFonts w:hint="default"/>
                <w:color w:val="auto"/>
                <w:highlight w:val="none"/>
                <w:lang w:val="en-US" w:eastAsia="zh-CN"/>
              </w:rPr>
              <w:t>1-</w:t>
            </w:r>
            <w:r>
              <w:rPr>
                <w:rFonts w:hint="eastAsia"/>
                <w:color w:val="auto"/>
                <w:highlight w:val="none"/>
                <w:lang w:val="en-US" w:eastAsia="zh-CN"/>
              </w:rPr>
              <w:t>17</w:t>
            </w:r>
            <w:r>
              <w:rPr>
                <w:rFonts w:hint="default"/>
                <w:color w:val="auto"/>
                <w:highlight w:val="none"/>
                <w:lang w:val="en-US" w:eastAsia="zh-CN"/>
              </w:rPr>
              <w:t xml:space="preserve">  </w:t>
            </w:r>
            <w:r>
              <w:rPr>
                <w:rFonts w:hint="eastAsia"/>
                <w:color w:val="auto"/>
                <w:highlight w:val="none"/>
                <w:lang w:val="en-US" w:eastAsia="zh-CN"/>
              </w:rPr>
              <w:t>项目</w:t>
            </w:r>
            <w:r>
              <w:rPr>
                <w:rFonts w:hint="default"/>
                <w:color w:val="auto"/>
                <w:highlight w:val="none"/>
              </w:rPr>
              <w:t>与</w:t>
            </w:r>
            <w:r>
              <w:rPr>
                <w:rFonts w:hint="eastAsia"/>
                <w:color w:val="auto"/>
                <w:highlight w:val="none"/>
                <w:lang w:eastAsia="zh-CN"/>
              </w:rPr>
              <w:t>“</w:t>
            </w:r>
            <w:r>
              <w:rPr>
                <w:rFonts w:hint="eastAsia"/>
                <w:color w:val="auto"/>
                <w:highlight w:val="none"/>
                <w:lang w:val="en-US" w:eastAsia="zh-CN"/>
              </w:rPr>
              <w:t>规划</w:t>
            </w:r>
            <w:r>
              <w:rPr>
                <w:rFonts w:hint="eastAsia"/>
                <w:color w:val="auto"/>
                <w:highlight w:val="none"/>
                <w:lang w:eastAsia="zh-CN"/>
              </w:rPr>
              <w:t>”</w:t>
            </w:r>
            <w:r>
              <w:rPr>
                <w:rFonts w:hint="eastAsia"/>
                <w:color w:val="auto"/>
                <w:highlight w:val="none"/>
                <w:lang w:val="en-US" w:eastAsia="zh-CN"/>
              </w:rPr>
              <w:t>的</w:t>
            </w:r>
            <w:r>
              <w:rPr>
                <w:rFonts w:hint="default"/>
                <w:color w:val="auto"/>
                <w:highlight w:val="none"/>
              </w:rPr>
              <w:t>符合性分析一览表</w:t>
            </w:r>
          </w:p>
          <w:tbl>
            <w:tblPr>
              <w:tblStyle w:val="23"/>
              <w:tblW w:w="699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9"/>
              <w:gridCol w:w="3481"/>
              <w:gridCol w:w="1930"/>
              <w:gridCol w:w="7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序号</w:t>
                  </w:r>
                </w:p>
              </w:tc>
              <w:tc>
                <w:tcPr>
                  <w:tcW w:w="2487" w:type="pct"/>
                  <w:tcBorders>
                    <w:tl2br w:val="nil"/>
                    <w:tr2bl w:val="nil"/>
                  </w:tcBorders>
                  <w:noWrap w:val="0"/>
                  <w:vAlign w:val="center"/>
                </w:tcPr>
                <w:p>
                  <w:pPr>
                    <w:pStyle w:val="34"/>
                    <w:bidi w:val="0"/>
                    <w:rPr>
                      <w:rFonts w:hint="default"/>
                      <w:color w:val="auto"/>
                      <w:highlight w:val="none"/>
                    </w:rPr>
                  </w:pPr>
                  <w:r>
                    <w:rPr>
                      <w:rFonts w:hint="eastAsia"/>
                      <w:color w:val="auto"/>
                      <w:highlight w:val="none"/>
                      <w:lang w:eastAsia="zh-CN"/>
                    </w:rPr>
                    <w:t>“</w:t>
                  </w:r>
                  <w:r>
                    <w:rPr>
                      <w:rFonts w:hint="eastAsia"/>
                      <w:color w:val="auto"/>
                      <w:highlight w:val="none"/>
                      <w:lang w:val="en-US" w:eastAsia="zh-CN"/>
                    </w:rPr>
                    <w:t>规划</w:t>
                  </w:r>
                  <w:r>
                    <w:rPr>
                      <w:rFonts w:hint="eastAsia"/>
                      <w:color w:val="auto"/>
                      <w:highlight w:val="none"/>
                      <w:lang w:eastAsia="zh-CN"/>
                    </w:rPr>
                    <w:t>”</w:t>
                  </w:r>
                  <w:r>
                    <w:rPr>
                      <w:rFonts w:hint="default"/>
                      <w:color w:val="auto"/>
                      <w:highlight w:val="none"/>
                    </w:rPr>
                    <w:t>相关内容</w:t>
                  </w:r>
                </w:p>
              </w:tc>
              <w:tc>
                <w:tcPr>
                  <w:tcW w:w="1379" w:type="pct"/>
                  <w:tcBorders>
                    <w:tl2br w:val="nil"/>
                    <w:tr2bl w:val="nil"/>
                  </w:tcBorders>
                  <w:noWrap w:val="0"/>
                  <w:vAlign w:val="center"/>
                </w:tcPr>
                <w:p>
                  <w:pPr>
                    <w:pStyle w:val="34"/>
                    <w:bidi w:val="0"/>
                    <w:rPr>
                      <w:rFonts w:hint="default"/>
                      <w:color w:val="auto"/>
                      <w:highlight w:val="none"/>
                    </w:rPr>
                  </w:pPr>
                  <w:r>
                    <w:rPr>
                      <w:rFonts w:hint="eastAsia"/>
                      <w:color w:val="auto"/>
                      <w:highlight w:val="none"/>
                      <w:lang w:val="en-US" w:eastAsia="zh-CN"/>
                    </w:rPr>
                    <w:t>本项目</w:t>
                  </w:r>
                  <w:r>
                    <w:rPr>
                      <w:rFonts w:hint="default"/>
                      <w:color w:val="auto"/>
                      <w:highlight w:val="none"/>
                    </w:rPr>
                    <w:t>情况</w:t>
                  </w:r>
                </w:p>
              </w:tc>
              <w:tc>
                <w:tcPr>
                  <w:tcW w:w="540"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tcBorders>
                    <w:tl2br w:val="nil"/>
                    <w:tr2bl w:val="nil"/>
                  </w:tcBorders>
                  <w:noWrap w:val="0"/>
                  <w:vAlign w:val="center"/>
                </w:tcPr>
                <w:p>
                  <w:pPr>
                    <w:pStyle w:val="34"/>
                    <w:bidi w:val="0"/>
                    <w:jc w:val="both"/>
                    <w:rPr>
                      <w:rFonts w:hint="default"/>
                      <w:color w:val="auto"/>
                      <w:highlight w:val="none"/>
                    </w:rPr>
                  </w:pPr>
                  <w:r>
                    <w:rPr>
                      <w:rFonts w:hint="default"/>
                      <w:color w:val="auto"/>
                      <w:highlight w:val="none"/>
                    </w:rPr>
                    <w:t>第五章 坚持创新引领，推动绿色低碳发展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第一节</w:t>
                  </w:r>
                </w:p>
              </w:tc>
              <w:tc>
                <w:tcPr>
                  <w:tcW w:w="4407" w:type="pct"/>
                  <w:gridSpan w:val="3"/>
                  <w:tcBorders>
                    <w:tl2br w:val="nil"/>
                    <w:tr2bl w:val="nil"/>
                  </w:tcBorders>
                  <w:noWrap w:val="0"/>
                  <w:vAlign w:val="center"/>
                </w:tcPr>
                <w:p>
                  <w:pPr>
                    <w:pStyle w:val="34"/>
                    <w:bidi w:val="0"/>
                    <w:rPr>
                      <w:rFonts w:hint="default"/>
                      <w:color w:val="auto"/>
                      <w:highlight w:val="none"/>
                    </w:rPr>
                  </w:pPr>
                  <w:r>
                    <w:rPr>
                      <w:rFonts w:hint="default"/>
                      <w:color w:val="auto"/>
                      <w:highlight w:val="none"/>
                    </w:rPr>
                    <w:t>调整产业结构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1</w:t>
                  </w:r>
                </w:p>
              </w:tc>
              <w:tc>
                <w:tcPr>
                  <w:tcW w:w="2487"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加快构建现代化产业体系。落实碳达峰、碳中和决策部署，严格实行能源消费强度和总量双控，加快节能降碳工艺革新，推进矿冶产业向开放型、创新型和绿色化、信息化、高端化发展。以产业兼并重组、淘汰落后产能和技术升级改造为抓手，推动矿山、冶炼、加工全链条发展，加快钢铁行业转型升级，建成现代化“绿色钢城”。</w:t>
                  </w:r>
                </w:p>
              </w:tc>
              <w:tc>
                <w:tcPr>
                  <w:tcW w:w="1379"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项目</w:t>
                  </w:r>
                  <w:r>
                    <w:rPr>
                      <w:rFonts w:hint="eastAsia" w:ascii="宋体" w:hAnsi="宋体" w:cs="宋体"/>
                      <w:color w:val="auto"/>
                      <w:highlight w:val="none"/>
                      <w:lang w:val="en-US" w:eastAsia="zh-CN"/>
                    </w:rPr>
                    <w:t>为</w:t>
                  </w:r>
                  <w:r>
                    <w:rPr>
                      <w:rFonts w:hint="default" w:ascii="Times New Roman" w:hAnsi="Times New Roman" w:eastAsia="宋体" w:cs="Times New Roman"/>
                      <w:b w:val="0"/>
                      <w:bCs/>
                      <w:color w:val="auto"/>
                      <w:sz w:val="18"/>
                      <w:szCs w:val="18"/>
                      <w:highlight w:val="none"/>
                      <w:vertAlign w:val="baseline"/>
                      <w:lang w:val="en-US" w:eastAsia="zh-CN"/>
                    </w:rPr>
                    <w:t>制氧系统技术改造节能项目，属于易门铜业有限公司铜冶炼配套公用工程，</w:t>
                  </w:r>
                  <w:r>
                    <w:rPr>
                      <w:rFonts w:hint="default"/>
                      <w:color w:val="auto"/>
                      <w:highlight w:val="none"/>
                    </w:rPr>
                    <w:t>不属于高耗能项目，也不属于钢铁行业。</w:t>
                  </w:r>
                </w:p>
              </w:tc>
              <w:tc>
                <w:tcPr>
                  <w:tcW w:w="540"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2</w:t>
                  </w:r>
                </w:p>
              </w:tc>
              <w:tc>
                <w:tcPr>
                  <w:tcW w:w="2487"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严控产业准入门槛。</w:t>
                  </w:r>
                  <w:r>
                    <w:rPr>
                      <w:rFonts w:hint="default"/>
                      <w:color w:val="auto"/>
                      <w:highlight w:val="none"/>
                      <w:lang w:val="zh-CN"/>
                    </w:rPr>
                    <w:t>调整优化产业结构，推进产业绿色发展。加快完成生态保护红线、环境质量底线、资源利用上线、环境准入清单编制工作，明确禁止和限制发展的行业、生产工艺和产业目录。修订完善高耗能、高污染和资源型行业准入条件，制订更严格的产业准入门槛。</w:t>
                  </w:r>
                </w:p>
              </w:tc>
              <w:tc>
                <w:tcPr>
                  <w:tcW w:w="1379"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对照《玉溪市</w:t>
                  </w:r>
                  <w:r>
                    <w:rPr>
                      <w:rFonts w:hint="default"/>
                      <w:color w:val="auto"/>
                      <w:highlight w:val="none"/>
                      <w:lang w:val="zh-CN"/>
                    </w:rPr>
                    <w:t>生态环境分区管控实施方案</w:t>
                  </w:r>
                  <w:r>
                    <w:rPr>
                      <w:rFonts w:hint="default"/>
                      <w:color w:val="auto"/>
                      <w:highlight w:val="none"/>
                    </w:rPr>
                    <w:t>》</w:t>
                  </w:r>
                  <w:r>
                    <w:rPr>
                      <w:rFonts w:hint="eastAsia"/>
                      <w:color w:val="auto"/>
                      <w:highlight w:val="none"/>
                      <w:lang w:val="en-US" w:eastAsia="zh-CN"/>
                    </w:rPr>
                    <w:t>相关内容</w:t>
                  </w:r>
                  <w:r>
                    <w:rPr>
                      <w:rFonts w:hint="default"/>
                      <w:color w:val="auto"/>
                      <w:highlight w:val="none"/>
                    </w:rPr>
                    <w:t>，本项目</w:t>
                  </w:r>
                  <w:r>
                    <w:rPr>
                      <w:rFonts w:hint="eastAsia"/>
                      <w:color w:val="auto"/>
                      <w:highlight w:val="none"/>
                      <w:lang w:val="en-US" w:eastAsia="zh-CN"/>
                    </w:rPr>
                    <w:t>的建设</w:t>
                  </w:r>
                  <w:r>
                    <w:rPr>
                      <w:rFonts w:hint="default"/>
                      <w:color w:val="auto"/>
                      <w:highlight w:val="none"/>
                    </w:rPr>
                    <w:t>符合所在区域的相关要求</w:t>
                  </w:r>
                  <w:r>
                    <w:rPr>
                      <w:rFonts w:hint="eastAsia"/>
                      <w:color w:val="auto"/>
                      <w:highlight w:val="none"/>
                      <w:lang w:eastAsia="zh-CN"/>
                    </w:rPr>
                    <w:t>，</w:t>
                  </w:r>
                  <w:r>
                    <w:rPr>
                      <w:rFonts w:hint="eastAsia"/>
                      <w:color w:val="auto"/>
                      <w:highlight w:val="none"/>
                      <w:lang w:val="en-US" w:eastAsia="zh-CN"/>
                    </w:rPr>
                    <w:t>且项目不属于</w:t>
                  </w:r>
                  <w:r>
                    <w:rPr>
                      <w:rFonts w:hint="default"/>
                      <w:color w:val="auto"/>
                      <w:highlight w:val="none"/>
                      <w:lang w:val="zh-CN"/>
                    </w:rPr>
                    <w:t>高耗能、高污染和资源型行业</w:t>
                  </w:r>
                  <w:r>
                    <w:rPr>
                      <w:rFonts w:hint="default"/>
                      <w:color w:val="auto"/>
                      <w:highlight w:val="none"/>
                    </w:rPr>
                    <w:t>。</w:t>
                  </w:r>
                </w:p>
              </w:tc>
              <w:tc>
                <w:tcPr>
                  <w:tcW w:w="540"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3</w:t>
                  </w:r>
                </w:p>
              </w:tc>
              <w:tc>
                <w:tcPr>
                  <w:tcW w:w="2487"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淘汰落后产能。认真落实产业政策，严格环境影响评价，坚决遏制高耗能高排放项目盲目发展，加快淘汰落后产能，推动产业结构优化升级。</w:t>
                  </w:r>
                </w:p>
              </w:tc>
              <w:tc>
                <w:tcPr>
                  <w:tcW w:w="1379"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项目为</w:t>
                  </w:r>
                  <w:r>
                    <w:rPr>
                      <w:rFonts w:hint="default" w:ascii="Times New Roman" w:hAnsi="Times New Roman" w:eastAsia="宋体" w:cs="Times New Roman"/>
                      <w:b w:val="0"/>
                      <w:bCs/>
                      <w:color w:val="auto"/>
                      <w:sz w:val="18"/>
                      <w:szCs w:val="18"/>
                      <w:highlight w:val="none"/>
                      <w:vertAlign w:val="baseline"/>
                      <w:lang w:val="en-US" w:eastAsia="zh-CN"/>
                    </w:rPr>
                    <w:t>制氧系统技术改造节能项目，属于易门铜业有限公司铜冶炼配套公用工程，</w:t>
                  </w:r>
                  <w:r>
                    <w:rPr>
                      <w:rFonts w:hint="default"/>
                      <w:color w:val="auto"/>
                      <w:highlight w:val="none"/>
                    </w:rPr>
                    <w:t>不属于淘汰落后产能，项目的建设符合</w:t>
                  </w:r>
                  <w:r>
                    <w:rPr>
                      <w:rFonts w:hint="eastAsia"/>
                      <w:color w:val="auto"/>
                      <w:highlight w:val="none"/>
                      <w:lang w:val="en-US" w:eastAsia="zh-CN"/>
                    </w:rPr>
                    <w:t>相关产业政策</w:t>
                  </w:r>
                  <w:r>
                    <w:rPr>
                      <w:rFonts w:hint="default"/>
                      <w:color w:val="auto"/>
                      <w:highlight w:val="none"/>
                    </w:rPr>
                    <w:t>，</w:t>
                  </w:r>
                  <w:r>
                    <w:rPr>
                      <w:rFonts w:hint="eastAsia"/>
                      <w:color w:val="auto"/>
                      <w:highlight w:val="none"/>
                      <w:lang w:val="en-US" w:eastAsia="zh-CN"/>
                    </w:rPr>
                    <w:t>目前</w:t>
                  </w:r>
                  <w:r>
                    <w:rPr>
                      <w:rFonts w:hint="default"/>
                      <w:color w:val="auto"/>
                      <w:highlight w:val="none"/>
                    </w:rPr>
                    <w:t>正在进行环境影响评价。</w:t>
                  </w:r>
                </w:p>
              </w:tc>
              <w:tc>
                <w:tcPr>
                  <w:tcW w:w="540"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第二节</w:t>
                  </w:r>
                </w:p>
              </w:tc>
              <w:tc>
                <w:tcPr>
                  <w:tcW w:w="4407" w:type="pct"/>
                  <w:gridSpan w:val="3"/>
                  <w:tcBorders>
                    <w:tl2br w:val="nil"/>
                    <w:tr2bl w:val="nil"/>
                  </w:tcBorders>
                  <w:noWrap w:val="0"/>
                  <w:vAlign w:val="center"/>
                </w:tcPr>
                <w:p>
                  <w:pPr>
                    <w:pStyle w:val="34"/>
                    <w:bidi w:val="0"/>
                    <w:rPr>
                      <w:rFonts w:hint="default"/>
                      <w:color w:val="auto"/>
                      <w:highlight w:val="none"/>
                    </w:rPr>
                  </w:pPr>
                  <w:r>
                    <w:rPr>
                      <w:rFonts w:hint="default"/>
                      <w:color w:val="auto"/>
                      <w:highlight w:val="none"/>
                    </w:rPr>
                    <w:t>优化产业布局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1</w:t>
                  </w:r>
                </w:p>
              </w:tc>
              <w:tc>
                <w:tcPr>
                  <w:tcW w:w="2487" w:type="pct"/>
                  <w:tcBorders>
                    <w:tl2br w:val="nil"/>
                    <w:tr2bl w:val="nil"/>
                  </w:tcBorders>
                  <w:noWrap w:val="0"/>
                  <w:vAlign w:val="center"/>
                </w:tcPr>
                <w:p>
                  <w:pPr>
                    <w:pStyle w:val="34"/>
                    <w:bidi w:val="0"/>
                    <w:rPr>
                      <w:rFonts w:hint="default"/>
                      <w:color w:val="auto"/>
                      <w:highlight w:val="none"/>
                    </w:rPr>
                  </w:pPr>
                  <w:r>
                    <w:rPr>
                      <w:rFonts w:hint="default"/>
                      <w:color w:val="auto"/>
                      <w:highlight w:val="none"/>
                      <w:lang w:val="zh-CN"/>
                    </w:rPr>
                    <w:t>资源型经济转型发展带。以新平县、峨山县、易门县三个资源类型地区为主，以两型三化为方向，推动资源型经济转型发展，培育接续产业，加速新旧动能转换，大力发展循环经济。</w:t>
                  </w:r>
                </w:p>
              </w:tc>
              <w:tc>
                <w:tcPr>
                  <w:tcW w:w="1379" w:type="pct"/>
                  <w:tcBorders>
                    <w:tl2br w:val="nil"/>
                    <w:tr2bl w:val="nil"/>
                  </w:tcBorders>
                  <w:noWrap w:val="0"/>
                  <w:vAlign w:val="center"/>
                </w:tcPr>
                <w:p>
                  <w:pPr>
                    <w:pStyle w:val="34"/>
                    <w:bidi w:val="0"/>
                    <w:rPr>
                      <w:rFonts w:hint="default"/>
                      <w:color w:val="auto"/>
                      <w:highlight w:val="none"/>
                    </w:rPr>
                  </w:pPr>
                  <w:r>
                    <w:rPr>
                      <w:rFonts w:hint="eastAsia"/>
                      <w:color w:val="auto"/>
                      <w:highlight w:val="none"/>
                      <w:lang w:val="en-US" w:eastAsia="zh-CN"/>
                    </w:rPr>
                    <w:t>本项目位于云南易门产业园区大椿树片区</w:t>
                  </w:r>
                  <w:r>
                    <w:rPr>
                      <w:rFonts w:hint="default"/>
                      <w:color w:val="auto"/>
                      <w:highlight w:val="none"/>
                      <w:lang w:val="en-US" w:eastAsia="zh-CN"/>
                    </w:rPr>
                    <w:t>，</w:t>
                  </w:r>
                  <w:r>
                    <w:rPr>
                      <w:rFonts w:hint="default"/>
                      <w:color w:val="auto"/>
                      <w:highlight w:val="none"/>
                    </w:rPr>
                    <w:t>用地性质为工业用地，</w:t>
                  </w:r>
                  <w:r>
                    <w:rPr>
                      <w:rFonts w:hint="default"/>
                      <w:color w:val="auto"/>
                      <w:highlight w:val="none"/>
                      <w:lang w:val="en-US" w:eastAsia="zh-CN"/>
                    </w:rPr>
                    <w:t>项目为制氧系统技术改造节能项目，属于易门铜业有限公司铜冶炼配套公用工程，符合大椿树片区重点有色金属产业（以稀贵金属和铜产业为重点）的产业定位及发展方向</w:t>
                  </w:r>
                  <w:r>
                    <w:rPr>
                      <w:rFonts w:hint="eastAsia"/>
                      <w:color w:val="auto"/>
                      <w:highlight w:val="none"/>
                      <w:lang w:val="en-US" w:eastAsia="zh-CN"/>
                    </w:rPr>
                    <w:t>。</w:t>
                  </w:r>
                </w:p>
              </w:tc>
              <w:tc>
                <w:tcPr>
                  <w:tcW w:w="540" w:type="pct"/>
                  <w:tcBorders>
                    <w:tl2br w:val="nil"/>
                    <w:tr2bl w:val="nil"/>
                  </w:tcBorders>
                  <w:noWrap w:val="0"/>
                  <w:vAlign w:val="center"/>
                </w:tcPr>
                <w:p>
                  <w:pPr>
                    <w:pStyle w:val="34"/>
                    <w:bidi w:val="0"/>
                    <w:rPr>
                      <w:rFonts w:hint="eastAsia" w:eastAsia="宋体"/>
                      <w:color w:val="auto"/>
                      <w:highlight w:val="none"/>
                      <w:lang w:eastAsia="zh-CN"/>
                    </w:rPr>
                  </w:pPr>
                  <w:r>
                    <w:rPr>
                      <w:rFonts w:hint="eastAsia"/>
                      <w:color w:val="auto"/>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第三节</w:t>
                  </w:r>
                </w:p>
              </w:tc>
              <w:tc>
                <w:tcPr>
                  <w:tcW w:w="4407" w:type="pct"/>
                  <w:gridSpan w:val="3"/>
                  <w:tcBorders>
                    <w:tl2br w:val="nil"/>
                    <w:tr2bl w:val="nil"/>
                  </w:tcBorders>
                  <w:noWrap w:val="0"/>
                  <w:vAlign w:val="center"/>
                </w:tcPr>
                <w:p>
                  <w:pPr>
                    <w:pStyle w:val="34"/>
                    <w:bidi w:val="0"/>
                    <w:rPr>
                      <w:rFonts w:hint="default"/>
                      <w:color w:val="auto"/>
                      <w:highlight w:val="none"/>
                    </w:rPr>
                  </w:pPr>
                  <w:r>
                    <w:rPr>
                      <w:rFonts w:hint="default"/>
                      <w:color w:val="auto"/>
                      <w:highlight w:val="none"/>
                    </w:rPr>
                    <w:t>加快推动绿色低碳发展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tcBorders>
                    <w:tl2br w:val="nil"/>
                    <w:tr2bl w:val="nil"/>
                  </w:tcBorders>
                  <w:noWrap w:val="0"/>
                  <w:vAlign w:val="center"/>
                </w:tcPr>
                <w:p>
                  <w:pPr>
                    <w:pStyle w:val="34"/>
                    <w:bidi w:val="0"/>
                    <w:rPr>
                      <w:rFonts w:hint="default"/>
                      <w:color w:val="auto"/>
                      <w:highlight w:val="none"/>
                      <w:lang w:eastAsia="zh-CN"/>
                    </w:rPr>
                  </w:pPr>
                  <w:r>
                    <w:rPr>
                      <w:rFonts w:hint="default"/>
                      <w:color w:val="auto"/>
                      <w:highlight w:val="none"/>
                      <w:lang w:val="en-US" w:eastAsia="zh-CN"/>
                    </w:rPr>
                    <w:t>1</w:t>
                  </w:r>
                </w:p>
              </w:tc>
              <w:tc>
                <w:tcPr>
                  <w:tcW w:w="2487"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健全绿色低碳发展支撑体系。强化绿色发展的法规和政策保障，推进环境保护、节能减排约束性指标的刚性管理。</w:t>
                  </w:r>
                </w:p>
              </w:tc>
              <w:tc>
                <w:tcPr>
                  <w:tcW w:w="1379"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本项目为</w:t>
                  </w:r>
                  <w:r>
                    <w:rPr>
                      <w:rFonts w:hint="default" w:ascii="Times New Roman" w:hAnsi="Times New Roman" w:eastAsia="宋体" w:cs="Times New Roman"/>
                      <w:b w:val="0"/>
                      <w:bCs/>
                      <w:color w:val="auto"/>
                      <w:sz w:val="18"/>
                      <w:szCs w:val="18"/>
                      <w:highlight w:val="none"/>
                      <w:vertAlign w:val="baseline"/>
                      <w:lang w:val="en-US" w:eastAsia="zh-CN"/>
                    </w:rPr>
                    <w:t>制氧系统技术改造节能项目，属于易门铜业有限公司铜冶炼配套公用工程，</w:t>
                  </w:r>
                  <w:r>
                    <w:rPr>
                      <w:rFonts w:hint="default"/>
                      <w:color w:val="auto"/>
                      <w:highlight w:val="none"/>
                    </w:rPr>
                    <w:t>不属于高耗能、高排放项目。项目</w:t>
                  </w:r>
                  <w:r>
                    <w:rPr>
                      <w:rFonts w:hint="eastAsia"/>
                      <w:color w:val="auto"/>
                      <w:highlight w:val="none"/>
                      <w:lang w:val="en-US" w:eastAsia="zh-CN"/>
                    </w:rPr>
                    <w:t>将</w:t>
                  </w:r>
                  <w:r>
                    <w:rPr>
                      <w:rFonts w:hint="default"/>
                      <w:color w:val="auto"/>
                      <w:highlight w:val="none"/>
                    </w:rPr>
                    <w:t>严格落实环境保护措施。</w:t>
                  </w:r>
                </w:p>
              </w:tc>
              <w:tc>
                <w:tcPr>
                  <w:tcW w:w="540"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tcBorders>
                    <w:tl2br w:val="nil"/>
                    <w:tr2bl w:val="nil"/>
                  </w:tcBorders>
                  <w:noWrap w:val="0"/>
                  <w:vAlign w:val="center"/>
                </w:tcPr>
                <w:p>
                  <w:pPr>
                    <w:pStyle w:val="34"/>
                    <w:bidi w:val="0"/>
                    <w:jc w:val="both"/>
                    <w:rPr>
                      <w:rFonts w:hint="default"/>
                      <w:color w:val="auto"/>
                      <w:highlight w:val="none"/>
                    </w:rPr>
                  </w:pPr>
                  <w:r>
                    <w:rPr>
                      <w:rFonts w:hint="default"/>
                      <w:color w:val="auto"/>
                      <w:highlight w:val="none"/>
                    </w:rPr>
                    <w:fldChar w:fldCharType="begin"/>
                  </w:r>
                  <w:r>
                    <w:rPr>
                      <w:rFonts w:hint="default"/>
                      <w:color w:val="auto"/>
                      <w:highlight w:val="none"/>
                    </w:rPr>
                    <w:instrText xml:space="preserve"> HYPERLINK \l "_Toc6776_WPSOffice_Level1" </w:instrText>
                  </w:r>
                  <w:r>
                    <w:rPr>
                      <w:rFonts w:hint="default"/>
                      <w:color w:val="auto"/>
                      <w:highlight w:val="none"/>
                    </w:rPr>
                    <w:fldChar w:fldCharType="separate"/>
                  </w:r>
                  <w:r>
                    <w:rPr>
                      <w:rFonts w:hint="default"/>
                      <w:color w:val="auto"/>
                      <w:highlight w:val="none"/>
                    </w:rPr>
                    <w:t>第六章  优化空间布局，构建生态保护空间格局</w:t>
                  </w:r>
                  <w:r>
                    <w:rPr>
                      <w:rFonts w:hint="default"/>
                      <w:color w:val="auto"/>
                      <w:highlight w:val="none"/>
                    </w:rPr>
                    <w:fldChar w:fldCharType="end"/>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第一节</w:t>
                  </w:r>
                </w:p>
              </w:tc>
              <w:tc>
                <w:tcPr>
                  <w:tcW w:w="4407" w:type="pct"/>
                  <w:gridSpan w:val="3"/>
                  <w:tcBorders>
                    <w:tl2br w:val="nil"/>
                    <w:tr2bl w:val="nil"/>
                  </w:tcBorders>
                  <w:noWrap w:val="0"/>
                  <w:vAlign w:val="center"/>
                </w:tcPr>
                <w:p>
                  <w:pPr>
                    <w:pStyle w:val="34"/>
                    <w:bidi w:val="0"/>
                    <w:rPr>
                      <w:rFonts w:hint="default"/>
                      <w:color w:val="auto"/>
                      <w:highlight w:val="none"/>
                    </w:rPr>
                  </w:pPr>
                  <w:r>
                    <w:rPr>
                      <w:rFonts w:hint="default"/>
                      <w:color w:val="auto"/>
                      <w:highlight w:val="none"/>
                    </w:rPr>
                    <w:t>明确主体功能分区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1</w:t>
                  </w:r>
                </w:p>
              </w:tc>
              <w:tc>
                <w:tcPr>
                  <w:tcW w:w="2487"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按照《全国主体功能区规划》以及《云南省主体功能区划》有关要求，云南省构建“三屏两带”为主体的生态安全战略格局。</w:t>
                  </w:r>
                </w:p>
              </w:tc>
              <w:tc>
                <w:tcPr>
                  <w:tcW w:w="1379" w:type="pct"/>
                  <w:tcBorders>
                    <w:tl2br w:val="nil"/>
                    <w:tr2bl w:val="nil"/>
                  </w:tcBorders>
                  <w:noWrap w:val="0"/>
                  <w:vAlign w:val="center"/>
                </w:tcPr>
                <w:p>
                  <w:pPr>
                    <w:pStyle w:val="34"/>
                    <w:bidi w:val="0"/>
                    <w:rPr>
                      <w:rFonts w:hint="default"/>
                      <w:color w:val="auto"/>
                      <w:highlight w:val="none"/>
                    </w:rPr>
                  </w:pPr>
                  <w:r>
                    <w:rPr>
                      <w:rFonts w:hint="eastAsia"/>
                      <w:color w:val="auto"/>
                      <w:highlight w:val="none"/>
                      <w:lang w:val="en-US" w:eastAsia="zh-CN"/>
                    </w:rPr>
                    <w:t>本</w:t>
                  </w:r>
                  <w:r>
                    <w:rPr>
                      <w:rFonts w:hint="default"/>
                      <w:color w:val="auto"/>
                      <w:highlight w:val="none"/>
                    </w:rPr>
                    <w:t>项目的建设符合《全国主体功能区规划》以及《云南省主体功能区划》</w:t>
                  </w:r>
                  <w:r>
                    <w:rPr>
                      <w:rFonts w:hint="eastAsia"/>
                      <w:color w:val="auto"/>
                      <w:highlight w:val="none"/>
                      <w:lang w:val="en-US" w:eastAsia="zh-CN"/>
                    </w:rPr>
                    <w:t>的相关</w:t>
                  </w:r>
                  <w:r>
                    <w:rPr>
                      <w:rFonts w:hint="default"/>
                      <w:color w:val="auto"/>
                      <w:highlight w:val="none"/>
                    </w:rPr>
                    <w:t>要求。</w:t>
                  </w:r>
                </w:p>
              </w:tc>
              <w:tc>
                <w:tcPr>
                  <w:tcW w:w="540"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第二节</w:t>
                  </w:r>
                </w:p>
              </w:tc>
              <w:tc>
                <w:tcPr>
                  <w:tcW w:w="4407" w:type="pct"/>
                  <w:gridSpan w:val="3"/>
                  <w:tcBorders>
                    <w:tl2br w:val="nil"/>
                    <w:tr2bl w:val="nil"/>
                  </w:tcBorders>
                  <w:noWrap w:val="0"/>
                  <w:vAlign w:val="center"/>
                </w:tcPr>
                <w:p>
                  <w:pPr>
                    <w:pStyle w:val="34"/>
                    <w:bidi w:val="0"/>
                    <w:rPr>
                      <w:rFonts w:hint="default"/>
                      <w:color w:val="auto"/>
                      <w:highlight w:val="none"/>
                    </w:rPr>
                  </w:pPr>
                  <w:r>
                    <w:rPr>
                      <w:rFonts w:hint="default"/>
                      <w:color w:val="auto"/>
                      <w:highlight w:val="none"/>
                    </w:rPr>
                    <w:t>构建空间格局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1</w:t>
                  </w:r>
                </w:p>
              </w:tc>
              <w:tc>
                <w:tcPr>
                  <w:tcW w:w="2487"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统筹国土空间开发保护格局。严控生态保护红线，加强对三大高原湖泊、自然保护区、风景名胜区、森林公园、饮用水源地等区域生态管控和保护，强化南盘江、曲江流域和红河谷-绿汁江流域的生态修复与治理，发挥生态保护红线对国土空间开发底线的约束作用。严守永久基本农田红线，强化永久基本农田对各类建设布局的约束。科学划定城镇开发边界，充分考虑地形条件、自然生态、环境容量等因素，综合分析人口、产业、城镇规模和发展趋势等，框定总量、限定容量，防止城镇无序蔓延；统筹保护与开发，科学预留一定比例的留白区，为未来发展留有开发空间。</w:t>
                  </w:r>
                </w:p>
              </w:tc>
              <w:tc>
                <w:tcPr>
                  <w:tcW w:w="1379"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根据</w:t>
                  </w:r>
                  <w:r>
                    <w:rPr>
                      <w:rFonts w:hint="eastAsia"/>
                      <w:color w:val="auto"/>
                      <w:highlight w:val="none"/>
                      <w:lang w:val="en-US" w:eastAsia="zh-CN"/>
                    </w:rPr>
                    <w:t>易门县</w:t>
                  </w:r>
                  <w:r>
                    <w:rPr>
                      <w:rFonts w:hint="default"/>
                      <w:color w:val="auto"/>
                      <w:highlight w:val="none"/>
                    </w:rPr>
                    <w:t>自然资源局出具的“三区三线”情况说明，本项目占地范围不涉及永久基本农田和生态保护红线、不在城镇开发边界</w:t>
                  </w:r>
                  <w:r>
                    <w:rPr>
                      <w:rFonts w:hint="eastAsia"/>
                      <w:color w:val="auto"/>
                      <w:highlight w:val="none"/>
                      <w:lang w:val="en-US" w:eastAsia="zh-CN"/>
                    </w:rPr>
                    <w:t>范围</w:t>
                  </w:r>
                  <w:r>
                    <w:rPr>
                      <w:rFonts w:hint="default"/>
                      <w:color w:val="auto"/>
                      <w:highlight w:val="none"/>
                    </w:rPr>
                    <w:t>内，项目占地不涉及</w:t>
                  </w:r>
                  <w:r>
                    <w:rPr>
                      <w:rFonts w:hint="eastAsia"/>
                      <w:color w:val="auto"/>
                      <w:highlight w:val="none"/>
                      <w:lang w:val="en-US" w:eastAsia="zh-CN"/>
                    </w:rPr>
                    <w:t>易门县</w:t>
                  </w:r>
                  <w:r>
                    <w:rPr>
                      <w:rFonts w:hint="default"/>
                      <w:color w:val="auto"/>
                      <w:highlight w:val="none"/>
                    </w:rPr>
                    <w:t>“三区三线”划定范围。</w:t>
                  </w:r>
                </w:p>
              </w:tc>
              <w:tc>
                <w:tcPr>
                  <w:tcW w:w="540"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2</w:t>
                  </w:r>
                </w:p>
              </w:tc>
              <w:tc>
                <w:tcPr>
                  <w:tcW w:w="2487"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落实空间管控布局。实行“三区三线”分级管控。</w:t>
                  </w:r>
                </w:p>
              </w:tc>
              <w:tc>
                <w:tcPr>
                  <w:tcW w:w="1379"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根据</w:t>
                  </w:r>
                  <w:r>
                    <w:rPr>
                      <w:rFonts w:hint="eastAsia"/>
                      <w:color w:val="auto"/>
                      <w:highlight w:val="none"/>
                      <w:lang w:val="en-US" w:eastAsia="zh-CN"/>
                    </w:rPr>
                    <w:t>易门县</w:t>
                  </w:r>
                  <w:r>
                    <w:rPr>
                      <w:rFonts w:hint="default"/>
                      <w:color w:val="auto"/>
                      <w:highlight w:val="none"/>
                    </w:rPr>
                    <w:t>自然资源局出具的“三区三线”情况说明，本项目占地范围不涉及永久基本农田和生态保护红线、不在城镇开发边界</w:t>
                  </w:r>
                  <w:r>
                    <w:rPr>
                      <w:rFonts w:hint="eastAsia"/>
                      <w:color w:val="auto"/>
                      <w:highlight w:val="none"/>
                      <w:lang w:val="en-US" w:eastAsia="zh-CN"/>
                    </w:rPr>
                    <w:t>范围</w:t>
                  </w:r>
                  <w:r>
                    <w:rPr>
                      <w:rFonts w:hint="default"/>
                      <w:color w:val="auto"/>
                      <w:highlight w:val="none"/>
                    </w:rPr>
                    <w:t>内，项目占地不涉及</w:t>
                  </w:r>
                  <w:r>
                    <w:rPr>
                      <w:rFonts w:hint="eastAsia"/>
                      <w:color w:val="auto"/>
                      <w:highlight w:val="none"/>
                      <w:lang w:val="en-US" w:eastAsia="zh-CN"/>
                    </w:rPr>
                    <w:t>易门县</w:t>
                  </w:r>
                  <w:r>
                    <w:rPr>
                      <w:rFonts w:hint="default"/>
                      <w:color w:val="auto"/>
                      <w:highlight w:val="none"/>
                    </w:rPr>
                    <w:t>“三区三线”划定范围。</w:t>
                  </w:r>
                </w:p>
              </w:tc>
              <w:tc>
                <w:tcPr>
                  <w:tcW w:w="540"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tcBorders>
                    <w:tl2br w:val="nil"/>
                    <w:tr2bl w:val="nil"/>
                  </w:tcBorders>
                  <w:noWrap w:val="0"/>
                  <w:vAlign w:val="center"/>
                </w:tcPr>
                <w:p>
                  <w:pPr>
                    <w:pStyle w:val="34"/>
                    <w:bidi w:val="0"/>
                    <w:jc w:val="both"/>
                    <w:rPr>
                      <w:rFonts w:hint="default"/>
                      <w:color w:val="auto"/>
                      <w:highlight w:val="none"/>
                    </w:rPr>
                  </w:pPr>
                  <w:r>
                    <w:rPr>
                      <w:rFonts w:hint="default"/>
                      <w:color w:val="auto"/>
                      <w:highlight w:val="none"/>
                    </w:rPr>
                    <w:t>第七章 应对气候变化，控制温室气体排放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第二节</w:t>
                  </w:r>
                </w:p>
              </w:tc>
              <w:tc>
                <w:tcPr>
                  <w:tcW w:w="4407" w:type="pct"/>
                  <w:gridSpan w:val="3"/>
                  <w:tcBorders>
                    <w:tl2br w:val="nil"/>
                    <w:tr2bl w:val="nil"/>
                  </w:tcBorders>
                  <w:noWrap w:val="0"/>
                  <w:vAlign w:val="center"/>
                </w:tcPr>
                <w:p>
                  <w:pPr>
                    <w:pStyle w:val="34"/>
                    <w:bidi w:val="0"/>
                    <w:rPr>
                      <w:rFonts w:hint="default"/>
                      <w:color w:val="auto"/>
                      <w:highlight w:val="none"/>
                    </w:rPr>
                  </w:pPr>
                  <w:r>
                    <w:rPr>
                      <w:rFonts w:hint="default"/>
                      <w:color w:val="auto"/>
                      <w:highlight w:val="none"/>
                    </w:rPr>
                    <w:t>控制温室气体排放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1</w:t>
                  </w:r>
                </w:p>
              </w:tc>
              <w:tc>
                <w:tcPr>
                  <w:tcW w:w="2487"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推动能源清洁化。优化工业能源消费结构，做优做强绿色能源产业，加快推进低碳玉溪建设。</w:t>
                  </w:r>
                </w:p>
              </w:tc>
              <w:tc>
                <w:tcPr>
                  <w:tcW w:w="1379" w:type="pct"/>
                  <w:tcBorders>
                    <w:tl2br w:val="nil"/>
                    <w:tr2bl w:val="nil"/>
                  </w:tcBorders>
                  <w:noWrap w:val="0"/>
                  <w:vAlign w:val="center"/>
                </w:tcPr>
                <w:p>
                  <w:pPr>
                    <w:pStyle w:val="34"/>
                    <w:bidi w:val="0"/>
                    <w:rPr>
                      <w:rFonts w:hint="default"/>
                      <w:color w:val="auto"/>
                      <w:highlight w:val="none"/>
                    </w:rPr>
                  </w:pPr>
                  <w:r>
                    <w:rPr>
                      <w:rFonts w:hint="eastAsia"/>
                      <w:color w:val="auto"/>
                      <w:highlight w:val="none"/>
                      <w:lang w:val="en-US" w:eastAsia="zh-CN"/>
                    </w:rPr>
                    <w:t>本</w:t>
                  </w:r>
                  <w:r>
                    <w:rPr>
                      <w:rFonts w:hint="default"/>
                      <w:color w:val="auto"/>
                      <w:highlight w:val="none"/>
                    </w:rPr>
                    <w:t>项目为</w:t>
                  </w:r>
                  <w:r>
                    <w:rPr>
                      <w:rFonts w:hint="default" w:ascii="Times New Roman" w:hAnsi="Times New Roman" w:eastAsia="宋体" w:cs="Times New Roman"/>
                      <w:b w:val="0"/>
                      <w:bCs/>
                      <w:color w:val="auto"/>
                      <w:sz w:val="18"/>
                      <w:szCs w:val="18"/>
                      <w:highlight w:val="none"/>
                      <w:vertAlign w:val="baseline"/>
                      <w:lang w:val="en-US" w:eastAsia="zh-CN"/>
                    </w:rPr>
                    <w:t>制氧系统技术改造节能项目，属于易门铜业有限公司铜冶炼配套公用工程，</w:t>
                  </w:r>
                  <w:r>
                    <w:rPr>
                      <w:rFonts w:hint="eastAsia" w:eastAsia="宋体"/>
                      <w:color w:val="auto"/>
                      <w:highlight w:val="none"/>
                      <w:lang w:val="en-US" w:eastAsia="zh-CN"/>
                    </w:rPr>
                    <w:t>运营过程中仅使用少量的水、电等资源，且均属于清洁能源</w:t>
                  </w:r>
                  <w:r>
                    <w:rPr>
                      <w:rFonts w:hint="default"/>
                      <w:color w:val="auto"/>
                      <w:highlight w:val="none"/>
                    </w:rPr>
                    <w:t>。</w:t>
                  </w:r>
                </w:p>
              </w:tc>
              <w:tc>
                <w:tcPr>
                  <w:tcW w:w="540" w:type="pct"/>
                  <w:tcBorders>
                    <w:tl2br w:val="nil"/>
                    <w:tr2bl w:val="nil"/>
                  </w:tcBorders>
                  <w:noWrap w:val="0"/>
                  <w:vAlign w:val="center"/>
                </w:tcPr>
                <w:p>
                  <w:pPr>
                    <w:pStyle w:val="34"/>
                    <w:bidi w:val="0"/>
                    <w:rPr>
                      <w:rFonts w:hint="default"/>
                      <w:color w:val="auto"/>
                      <w:highlight w:val="none"/>
                    </w:rPr>
                  </w:pPr>
                  <w:r>
                    <w:rPr>
                      <w:rFonts w:hint="default"/>
                      <w:color w:val="auto"/>
                      <w:highlight w:val="none"/>
                    </w:rPr>
                    <w:t>符合</w:t>
                  </w:r>
                </w:p>
              </w:tc>
            </w:tr>
          </w:tbl>
          <w:p>
            <w:pPr>
              <w:bidi w:val="0"/>
              <w:rPr>
                <w:rFonts w:hint="default"/>
                <w:color w:val="auto"/>
                <w:highlight w:val="none"/>
                <w:lang w:val="en-US" w:eastAsia="zh-CN"/>
              </w:rPr>
            </w:pPr>
            <w:r>
              <w:rPr>
                <w:rFonts w:hint="eastAsia"/>
                <w:color w:val="auto"/>
                <w:highlight w:val="none"/>
                <w:lang w:val="en-US" w:eastAsia="zh-CN"/>
              </w:rPr>
              <w:t>综上所述，本项目的建设符合</w:t>
            </w:r>
            <w:r>
              <w:rPr>
                <w:rFonts w:hint="default"/>
                <w:color w:val="auto"/>
                <w:highlight w:val="none"/>
              </w:rPr>
              <w:t>《玉溪市“十四五”生态建设和环境保护规划》（2021-2025年）</w:t>
            </w:r>
            <w:r>
              <w:rPr>
                <w:rFonts w:hint="eastAsia"/>
                <w:color w:val="auto"/>
                <w:highlight w:val="none"/>
                <w:lang w:val="en-US" w:eastAsia="zh-CN"/>
              </w:rPr>
              <w:t>的相关要求。</w:t>
            </w:r>
          </w:p>
          <w:p>
            <w:pPr>
              <w:bidi w:val="0"/>
              <w:ind w:left="0" w:leftChars="0" w:firstLine="0" w:firstLineChars="0"/>
              <w:rPr>
                <w:rFonts w:hint="default"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14、与《云南省生物多样性保护战略与行动计划（2024—2030年）》的符合性分析</w:t>
            </w:r>
          </w:p>
          <w:p>
            <w:pPr>
              <w:bidi w:val="0"/>
              <w:rPr>
                <w:rFonts w:hint="default"/>
                <w:color w:val="auto"/>
                <w:highlight w:val="none"/>
                <w:lang w:val="en-US" w:eastAsia="zh-CN"/>
              </w:rPr>
            </w:pPr>
            <w:r>
              <w:rPr>
                <w:rFonts w:hint="eastAsia"/>
                <w:color w:val="auto"/>
                <w:highlight w:val="none"/>
                <w:lang w:val="en-US" w:eastAsia="zh-CN"/>
              </w:rPr>
              <w:t>2024年5月20日，</w:t>
            </w:r>
            <w:r>
              <w:rPr>
                <w:color w:val="auto"/>
                <w:highlight w:val="none"/>
              </w:rPr>
              <w:t>经省政府同意，省生态环境厅、省发展改革委、省工业和信息化厅、省教育厅、省财政厅、省自然资源厅、省住房城乡建设厅、省农业农村厅、省文化和旅游厅、省卫生健康委、省林草局等部门联合印发《云南省生物多样性保护战略与行动计划（2024—2030年）》。</w:t>
            </w:r>
          </w:p>
          <w:p>
            <w:pPr>
              <w:bidi w:val="0"/>
              <w:rPr>
                <w:color w:val="auto"/>
                <w:highlight w:val="none"/>
              </w:rPr>
            </w:pPr>
            <w:r>
              <w:rPr>
                <w:rFonts w:hint="eastAsia"/>
                <w:color w:val="auto"/>
                <w:highlight w:val="none"/>
              </w:rPr>
              <w:t>《行动计划》部署了完善生物多样性保护空间网络、构建生物多样性现代化治理体系、推进生物生态资源可持续利用与绿色发展、强化生物安全管理与风险防控、增强生物多样性治理能力保障等5大战略任务。从优先领域、优先行动和优先项目三个层次梳理明确“5+30+n”具体任务，提出了推进生物多样性主流化、强化生物多样性保护体系、应对生物多样性丧失威胁、加大生物多样性可持续利用和惠益分享，以及提高生物多样性治理能力5个优先领域的30项优先行动、84个优先项目。</w:t>
            </w:r>
          </w:p>
          <w:p>
            <w:pPr>
              <w:bidi w:val="0"/>
              <w:rPr>
                <w:rFonts w:hint="eastAsia"/>
                <w:color w:val="auto"/>
                <w:highlight w:val="none"/>
              </w:rPr>
            </w:pPr>
            <w:r>
              <w:rPr>
                <w:rFonts w:hint="eastAsia"/>
                <w:color w:val="auto"/>
                <w:highlight w:val="none"/>
              </w:rPr>
              <w:t>《行动计划》明确了战略目标，到2030年，推动生物多样性保护相关政策、法规、制度、标准和监测体系全面建立。以国家公园为主体的自然保护地面积占国土面积的14.5%以上，生态保护红线面积不低于国土面积的30%，重点保护野生动植物物种种数保护率达到90%以上，生物遗传资源收集保藏量保持世界前列。超过30%的退化生态系统得到恢复，生态系统服务功能明显增强。生物生态资源可持续利用水平显著提高，利用遗传资源与相关传统知识产生的惠益得到公正和公平分享。生产生活方式生物多样性友好转型成效突出，生态产品价值实现机制基本建立。人与自然和谐共生的发展格局初步形成。到2035年，生物多样性治理体系和治理能力现代化目标基本实现，人与自然和谐共生的发展格局基本形成。到2050年，全面形成绿色发展方式和生活方式，建成人与自然和谐共生的美丽中国七彩云南，成为生物多样性保护的国际典范。</w:t>
            </w:r>
          </w:p>
          <w:p>
            <w:pPr>
              <w:bidi w:val="0"/>
              <w:rPr>
                <w:rFonts w:hint="default"/>
                <w:color w:val="auto"/>
                <w:highlight w:val="none"/>
                <w:lang w:val="en-US" w:eastAsia="zh-CN"/>
              </w:rPr>
            </w:pPr>
            <w:r>
              <w:rPr>
                <w:rFonts w:hint="default"/>
                <w:color w:val="auto"/>
                <w:highlight w:val="none"/>
                <w:lang w:val="en-US" w:eastAsia="zh-CN"/>
              </w:rPr>
              <w:t>根据叠图分析，本</w:t>
            </w:r>
            <w:r>
              <w:rPr>
                <w:rFonts w:hint="eastAsia"/>
                <w:color w:val="auto"/>
                <w:highlight w:val="none"/>
                <w:lang w:val="en-US" w:eastAsia="zh-CN"/>
              </w:rPr>
              <w:t>项目占地范围</w:t>
            </w:r>
            <w:r>
              <w:rPr>
                <w:rFonts w:hint="default"/>
                <w:color w:val="auto"/>
                <w:highlight w:val="none"/>
                <w:lang w:val="en-US" w:eastAsia="zh-CN"/>
              </w:rPr>
              <w:t>不涉及云南省生物多样性保护优先区域</w:t>
            </w:r>
            <w:r>
              <w:rPr>
                <w:rFonts w:hint="eastAsia"/>
                <w:color w:val="auto"/>
                <w:highlight w:val="none"/>
                <w:lang w:val="en-US" w:eastAsia="zh-CN"/>
              </w:rPr>
              <w:t>（项目与</w:t>
            </w:r>
            <w:r>
              <w:rPr>
                <w:rFonts w:hint="default"/>
                <w:color w:val="auto"/>
                <w:highlight w:val="none"/>
                <w:lang w:val="en-US" w:eastAsia="zh-CN"/>
              </w:rPr>
              <w:t>云南省生物多样性保护优先区域</w:t>
            </w:r>
            <w:r>
              <w:rPr>
                <w:rFonts w:hint="eastAsia"/>
                <w:color w:val="auto"/>
                <w:highlight w:val="none"/>
                <w:lang w:val="en-US" w:eastAsia="zh-CN"/>
              </w:rPr>
              <w:t>的位置关系详见附图）</w:t>
            </w:r>
            <w:r>
              <w:rPr>
                <w:rFonts w:hint="default"/>
                <w:color w:val="auto"/>
                <w:highlight w:val="none"/>
                <w:lang w:val="en-US" w:eastAsia="zh-CN"/>
              </w:rPr>
              <w:t>。</w:t>
            </w:r>
            <w:r>
              <w:rPr>
                <w:rFonts w:hint="default"/>
                <w:color w:val="auto"/>
                <w:highlight w:val="none"/>
              </w:rPr>
              <w:t>根据现场调查，项目区生态评价范围内未发现国家级、省级保护植物，也未发现有</w:t>
            </w:r>
            <w:r>
              <w:rPr>
                <w:rFonts w:hint="eastAsia"/>
                <w:color w:val="auto"/>
                <w:highlight w:val="none"/>
                <w:lang w:val="en-US" w:eastAsia="zh-CN"/>
              </w:rPr>
              <w:t>易门县</w:t>
            </w:r>
            <w:r>
              <w:rPr>
                <w:rFonts w:hint="default"/>
                <w:color w:val="auto"/>
                <w:highlight w:val="none"/>
              </w:rPr>
              <w:t>所保护的名木古树分布，不属于重要生态环境。项目区内及周边人类活动频繁，经现场踏勘，项目周边野生动物仅有少量田鼠、家鼠等动物分布，均属常见种类，无国家规定保护的野生动物，也无其生境和栖息地</w:t>
            </w:r>
            <w:r>
              <w:rPr>
                <w:rFonts w:hint="default"/>
                <w:color w:val="auto"/>
                <w:highlight w:val="none"/>
                <w:lang w:eastAsia="zh-CN"/>
              </w:rPr>
              <w:t>。</w:t>
            </w:r>
            <w:r>
              <w:rPr>
                <w:rFonts w:hint="default"/>
                <w:color w:val="auto"/>
                <w:highlight w:val="none"/>
                <w:lang w:val="en-US" w:eastAsia="zh-CN"/>
              </w:rPr>
              <w:t>项目区域植被为当地特有种类，本项目实施对云南省生物多样性保护优先区域的影响不大，与《云南省生物多样性保护战略与行动计划（20</w:t>
            </w:r>
            <w:r>
              <w:rPr>
                <w:rFonts w:hint="eastAsia"/>
                <w:color w:val="auto"/>
                <w:highlight w:val="none"/>
                <w:lang w:val="en-US" w:eastAsia="zh-CN"/>
              </w:rPr>
              <w:t>24</w:t>
            </w:r>
            <w:r>
              <w:rPr>
                <w:rFonts w:hint="default"/>
                <w:color w:val="auto"/>
                <w:highlight w:val="none"/>
                <w:lang w:val="en-US" w:eastAsia="zh-CN"/>
              </w:rPr>
              <w:t>- 2030年）》统筹生物多样性保护与经济社会发展，保护优先、科学利用的指导思想和基本原则是一致的。</w:t>
            </w:r>
            <w:r>
              <w:rPr>
                <w:rFonts w:hint="eastAsia"/>
                <w:color w:val="auto"/>
                <w:highlight w:val="none"/>
                <w:lang w:val="en-US" w:eastAsia="zh-CN"/>
              </w:rPr>
              <w:t>因此，</w:t>
            </w:r>
            <w:r>
              <w:rPr>
                <w:rFonts w:hint="default"/>
                <w:color w:val="auto"/>
                <w:highlight w:val="none"/>
                <w:lang w:val="en-US" w:eastAsia="zh-CN"/>
              </w:rPr>
              <w:t>本项目与《云南省生物多样性保护战略与行动计划（20</w:t>
            </w:r>
            <w:r>
              <w:rPr>
                <w:rFonts w:hint="eastAsia"/>
                <w:color w:val="auto"/>
                <w:highlight w:val="none"/>
                <w:lang w:val="en-US" w:eastAsia="zh-CN"/>
              </w:rPr>
              <w:t>24</w:t>
            </w:r>
            <w:r>
              <w:rPr>
                <w:rFonts w:hint="default"/>
                <w:color w:val="auto"/>
                <w:highlight w:val="none"/>
                <w:lang w:val="en-US" w:eastAsia="zh-CN"/>
              </w:rPr>
              <w:t>-2030 年）》不冲突。</w:t>
            </w:r>
          </w:p>
          <w:p>
            <w:pPr>
              <w:bidi w:val="0"/>
              <w:ind w:left="0" w:leftChars="0" w:firstLine="0" w:firstLineChars="0"/>
              <w:rPr>
                <w:rFonts w:hint="default"/>
                <w:color w:val="auto"/>
                <w:highlight w:val="none"/>
                <w:lang w:val="en-US" w:eastAsia="zh-CN"/>
              </w:rPr>
            </w:pPr>
            <w:r>
              <w:rPr>
                <w:rFonts w:hint="eastAsia" w:ascii="黑体" w:hAnsi="黑体" w:eastAsia="黑体" w:cs="黑体"/>
                <w:color w:val="auto"/>
                <w:kern w:val="2"/>
                <w:sz w:val="24"/>
                <w:szCs w:val="24"/>
                <w:highlight w:val="none"/>
                <w:lang w:val="en-US" w:eastAsia="zh-CN" w:bidi="ar-SA"/>
              </w:rPr>
              <w:t>15</w:t>
            </w:r>
            <w:r>
              <w:rPr>
                <w:rFonts w:hint="default" w:ascii="黑体" w:hAnsi="黑体" w:eastAsia="黑体" w:cs="黑体"/>
                <w:color w:val="auto"/>
                <w:kern w:val="2"/>
                <w:sz w:val="24"/>
                <w:szCs w:val="24"/>
                <w:highlight w:val="none"/>
                <w:lang w:val="en-US" w:eastAsia="zh-CN" w:bidi="ar-SA"/>
              </w:rPr>
              <w:t>、</w:t>
            </w:r>
            <w:r>
              <w:rPr>
                <w:rFonts w:hint="eastAsia" w:ascii="黑体" w:hAnsi="黑体" w:eastAsia="黑体" w:cs="黑体"/>
                <w:color w:val="auto"/>
                <w:kern w:val="2"/>
                <w:sz w:val="24"/>
                <w:szCs w:val="24"/>
                <w:highlight w:val="none"/>
                <w:lang w:val="en-US" w:eastAsia="zh-CN" w:bidi="ar-SA"/>
              </w:rPr>
              <w:t>平面布置的合理</w:t>
            </w:r>
            <w:r>
              <w:rPr>
                <w:rFonts w:hint="default" w:ascii="黑体" w:hAnsi="黑体" w:eastAsia="黑体" w:cs="黑体"/>
                <w:color w:val="auto"/>
                <w:kern w:val="2"/>
                <w:sz w:val="24"/>
                <w:szCs w:val="24"/>
                <w:highlight w:val="none"/>
                <w:lang w:val="en-US" w:eastAsia="zh-CN" w:bidi="ar-SA"/>
              </w:rPr>
              <w:t>性分析</w:t>
            </w:r>
          </w:p>
          <w:p>
            <w:pPr>
              <w:bidi w:val="0"/>
              <w:rPr>
                <w:rFonts w:ascii="Times New Roman" w:hAnsi="Times New Roman" w:eastAsia="宋体" w:cs="Times New Roman"/>
                <w:color w:val="auto"/>
                <w:sz w:val="24"/>
                <w:highlight w:val="none"/>
              </w:rPr>
            </w:pPr>
            <w:r>
              <w:rPr>
                <w:rFonts w:hint="eastAsia"/>
                <w:color w:val="auto"/>
                <w:highlight w:val="none"/>
                <w:lang w:val="en-US" w:eastAsia="zh-CN"/>
              </w:rPr>
              <w:t>本项目位于</w:t>
            </w:r>
            <w:r>
              <w:rPr>
                <w:rFonts w:hint="eastAsia" w:cs="Times New Roman"/>
                <w:i w:val="0"/>
                <w:iCs w:val="0"/>
                <w:color w:val="auto"/>
                <w:sz w:val="24"/>
                <w:szCs w:val="24"/>
                <w:highlight w:val="none"/>
                <w:u w:val="none"/>
                <w:lang w:val="en-US" w:eastAsia="zh-CN"/>
              </w:rPr>
              <w:t>云南易门产业园区大椿树片区</w:t>
            </w:r>
            <w:r>
              <w:rPr>
                <w:rFonts w:hint="eastAsia"/>
                <w:color w:val="auto"/>
                <w:highlight w:val="none"/>
                <w:lang w:val="en-US" w:eastAsia="zh-CN"/>
              </w:rPr>
              <w:t>易门铜业有限公司现有厂区内，</w:t>
            </w:r>
            <w:r>
              <w:rPr>
                <w:rFonts w:hint="eastAsia"/>
                <w:color w:val="auto"/>
                <w:highlight w:val="none"/>
              </w:rPr>
              <w:t>项目</w:t>
            </w:r>
            <w:r>
              <w:rPr>
                <w:rFonts w:hint="eastAsia"/>
                <w:color w:val="auto"/>
                <w:highlight w:val="none"/>
                <w:lang w:val="en-US" w:eastAsia="zh-CN"/>
              </w:rPr>
              <w:t>占地面积约为1350m</w:t>
            </w:r>
            <w:r>
              <w:rPr>
                <w:rFonts w:hint="eastAsia"/>
                <w:color w:val="auto"/>
                <w:highlight w:val="none"/>
                <w:vertAlign w:val="superscript"/>
                <w:lang w:val="en-US" w:eastAsia="zh-CN"/>
              </w:rPr>
              <w:t>2</w:t>
            </w:r>
            <w:r>
              <w:rPr>
                <w:rFonts w:hint="eastAsia"/>
                <w:color w:val="auto"/>
                <w:highlight w:val="none"/>
                <w:lang w:val="en-US" w:eastAsia="zh-CN"/>
              </w:rPr>
              <w:t>。根据</w:t>
            </w:r>
            <w:r>
              <w:rPr>
                <w:rFonts w:hint="default"/>
                <w:color w:val="auto"/>
                <w:highlight w:val="none"/>
                <w:lang w:val="zh-CN" w:eastAsia="zh-CN"/>
              </w:rPr>
              <w:t>《氧气站设计规范》（GB50030-2013）、</w:t>
            </w:r>
            <w:r>
              <w:rPr>
                <w:rFonts w:hint="default"/>
                <w:color w:val="auto"/>
                <w:highlight w:val="none"/>
                <w:lang w:val="en-US" w:eastAsia="zh-CN"/>
              </w:rPr>
              <w:t>《工业企业总平面设计规范》（GB50187-2012）、《建筑设计防火规范（2018年版）》（GB50016-2014）等标准、规范的要求</w:t>
            </w:r>
            <w:r>
              <w:rPr>
                <w:rFonts w:hint="eastAsia"/>
                <w:color w:val="auto"/>
                <w:highlight w:val="none"/>
                <w:lang w:val="en-US" w:eastAsia="zh-CN"/>
              </w:rPr>
              <w:t>，本项目平面布置的合理性分析情况详见下表：</w:t>
            </w:r>
          </w:p>
          <w:p>
            <w:pPr>
              <w:pStyle w:val="35"/>
              <w:bidi w:val="0"/>
              <w:rPr>
                <w:rFonts w:hint="default" w:ascii="Times New Roman" w:hAnsi="Times New Roman" w:eastAsia="宋体" w:cs="Times New Roman"/>
                <w:b/>
                <w:color w:val="auto"/>
                <w:szCs w:val="24"/>
                <w:highlight w:val="none"/>
                <w:lang w:val="en-US" w:eastAsia="zh-CN" w:bidi="ar"/>
              </w:rPr>
            </w:pPr>
            <w:r>
              <w:rPr>
                <w:rFonts w:hint="default"/>
                <w:color w:val="auto"/>
                <w:highlight w:val="none"/>
              </w:rPr>
              <w:t>表</w:t>
            </w:r>
            <w:r>
              <w:rPr>
                <w:rFonts w:hint="eastAsia"/>
                <w:color w:val="auto"/>
                <w:highlight w:val="none"/>
                <w:lang w:val="en-US" w:eastAsia="zh-CN"/>
              </w:rPr>
              <w:t xml:space="preserve">1-18  </w:t>
            </w:r>
            <w:r>
              <w:rPr>
                <w:rFonts w:hint="default"/>
                <w:color w:val="auto"/>
                <w:highlight w:val="none"/>
              </w:rPr>
              <w:t>制氧站总平面布置</w:t>
            </w:r>
            <w:r>
              <w:rPr>
                <w:rFonts w:hint="eastAsia"/>
                <w:color w:val="auto"/>
                <w:highlight w:val="none"/>
                <w:lang w:val="en-US" w:eastAsia="zh-CN"/>
              </w:rPr>
              <w:t>合理性分析一览表</w:t>
            </w:r>
          </w:p>
          <w:tbl>
            <w:tblPr>
              <w:tblStyle w:val="23"/>
              <w:tblW w:w="705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2"/>
              <w:gridCol w:w="2597"/>
              <w:gridCol w:w="1453"/>
              <w:gridCol w:w="1927"/>
              <w:gridCol w:w="6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0" w:hRule="exact"/>
                <w:tblHeader/>
                <w:jc w:val="center"/>
              </w:trPr>
              <w:tc>
                <w:tcPr>
                  <w:tcW w:w="452"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序号</w:t>
                  </w:r>
                </w:p>
              </w:tc>
              <w:tc>
                <w:tcPr>
                  <w:tcW w:w="2597" w:type="dxa"/>
                  <w:tcBorders>
                    <w:tl2br w:val="nil"/>
                    <w:tr2bl w:val="nil"/>
                  </w:tcBorders>
                  <w:noWrap w:val="0"/>
                  <w:vAlign w:val="center"/>
                </w:tcPr>
                <w:p>
                  <w:pPr>
                    <w:pStyle w:val="34"/>
                    <w:bidi w:val="0"/>
                    <w:rPr>
                      <w:rFonts w:hint="default"/>
                      <w:color w:val="auto"/>
                      <w:highlight w:val="none"/>
                    </w:rPr>
                  </w:pPr>
                  <w:r>
                    <w:rPr>
                      <w:rFonts w:hint="eastAsia"/>
                      <w:color w:val="auto"/>
                      <w:highlight w:val="none"/>
                      <w:lang w:val="en-US" w:eastAsia="zh-CN"/>
                    </w:rPr>
                    <w:t>要求</w:t>
                  </w:r>
                  <w:r>
                    <w:rPr>
                      <w:rFonts w:hint="default"/>
                      <w:color w:val="auto"/>
                      <w:highlight w:val="none"/>
                    </w:rPr>
                    <w:t>内容</w:t>
                  </w:r>
                </w:p>
              </w:tc>
              <w:tc>
                <w:tcPr>
                  <w:tcW w:w="1453"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依据标准</w:t>
                  </w:r>
                </w:p>
              </w:tc>
              <w:tc>
                <w:tcPr>
                  <w:tcW w:w="1927" w:type="dxa"/>
                  <w:tcBorders>
                    <w:tl2br w:val="nil"/>
                    <w:tr2bl w:val="nil"/>
                  </w:tcBorders>
                  <w:noWrap w:val="0"/>
                  <w:vAlign w:val="center"/>
                </w:tcPr>
                <w:p>
                  <w:pPr>
                    <w:pStyle w:val="34"/>
                    <w:bidi w:val="0"/>
                    <w:rPr>
                      <w:rFonts w:hint="default"/>
                      <w:color w:val="auto"/>
                      <w:highlight w:val="none"/>
                    </w:rPr>
                  </w:pPr>
                  <w:r>
                    <w:rPr>
                      <w:rFonts w:hint="eastAsia"/>
                      <w:color w:val="auto"/>
                      <w:highlight w:val="none"/>
                      <w:lang w:val="en-US" w:eastAsia="zh-CN"/>
                    </w:rPr>
                    <w:t>项目</w:t>
                  </w:r>
                  <w:r>
                    <w:rPr>
                      <w:rFonts w:hint="default"/>
                      <w:color w:val="auto"/>
                      <w:highlight w:val="none"/>
                    </w:rPr>
                    <w:t>情况</w:t>
                  </w:r>
                </w:p>
              </w:tc>
              <w:tc>
                <w:tcPr>
                  <w:tcW w:w="621" w:type="dxa"/>
                  <w:tcBorders>
                    <w:tl2br w:val="nil"/>
                    <w:tr2bl w:val="nil"/>
                  </w:tcBorders>
                  <w:noWrap w:val="0"/>
                  <w:vAlign w:val="center"/>
                </w:tcPr>
                <w:p>
                  <w:pPr>
                    <w:pStyle w:val="34"/>
                    <w:bidi w:val="0"/>
                    <w:rPr>
                      <w:rFonts w:hint="eastAsia" w:eastAsia="宋体"/>
                      <w:color w:val="auto"/>
                      <w:highlight w:val="none"/>
                      <w:lang w:eastAsia="zh-CN"/>
                    </w:rPr>
                  </w:pPr>
                  <w:r>
                    <w:rPr>
                      <w:rFonts w:hint="eastAsia"/>
                      <w:color w:val="auto"/>
                      <w:highlight w:val="no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2" w:type="dxa"/>
                  <w:tcBorders>
                    <w:tl2br w:val="nil"/>
                    <w:tr2bl w:val="nil"/>
                  </w:tcBorders>
                  <w:noWrap w:val="0"/>
                  <w:vAlign w:val="center"/>
                </w:tcPr>
                <w:p>
                  <w:pPr>
                    <w:pStyle w:val="34"/>
                    <w:bidi w:val="0"/>
                    <w:rPr>
                      <w:rFonts w:hint="eastAsia" w:eastAsia="宋体"/>
                      <w:color w:val="auto"/>
                      <w:highlight w:val="none"/>
                      <w:lang w:val="en-US" w:eastAsia="zh-CN"/>
                    </w:rPr>
                  </w:pPr>
                  <w:r>
                    <w:rPr>
                      <w:rFonts w:hint="eastAsia"/>
                      <w:color w:val="auto"/>
                      <w:highlight w:val="none"/>
                      <w:lang w:val="en-US" w:eastAsia="zh-CN"/>
                    </w:rPr>
                    <w:t>1</w:t>
                  </w:r>
                </w:p>
              </w:tc>
              <w:tc>
                <w:tcPr>
                  <w:tcW w:w="2597"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氧气站火灾危险性为乙类的建筑物及氧气贮罐与其他各建筑物、构筑物之间的防火间距不应小于表3.0.4的规定。</w:t>
                  </w:r>
                </w:p>
              </w:tc>
              <w:tc>
                <w:tcPr>
                  <w:tcW w:w="1453"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《氧气站设计规范》（GB50030-2013）第3.0.4条</w:t>
                  </w:r>
                </w:p>
              </w:tc>
              <w:tc>
                <w:tcPr>
                  <w:tcW w:w="1927" w:type="dxa"/>
                  <w:tcBorders>
                    <w:tl2br w:val="nil"/>
                    <w:tr2bl w:val="nil"/>
                  </w:tcBorders>
                  <w:noWrap w:val="0"/>
                  <w:vAlign w:val="center"/>
                </w:tcPr>
                <w:p>
                  <w:pPr>
                    <w:pStyle w:val="34"/>
                    <w:bidi w:val="0"/>
                    <w:rPr>
                      <w:rFonts w:hint="default"/>
                      <w:color w:val="auto"/>
                      <w:highlight w:val="none"/>
                    </w:rPr>
                  </w:pPr>
                  <w:r>
                    <w:rPr>
                      <w:rFonts w:hint="eastAsia"/>
                      <w:color w:val="auto"/>
                      <w:highlight w:val="none"/>
                      <w:lang w:val="en-US" w:eastAsia="zh-CN"/>
                    </w:rPr>
                    <w:t>根据设计资料，本项目</w:t>
                  </w:r>
                  <w:r>
                    <w:rPr>
                      <w:rFonts w:hint="default"/>
                      <w:color w:val="auto"/>
                      <w:highlight w:val="none"/>
                    </w:rPr>
                    <w:t>制氧</w:t>
                  </w:r>
                  <w:r>
                    <w:rPr>
                      <w:rFonts w:hint="eastAsia"/>
                      <w:color w:val="auto"/>
                      <w:highlight w:val="none"/>
                      <w:lang w:val="en-US" w:eastAsia="zh-CN"/>
                    </w:rPr>
                    <w:t>车间</w:t>
                  </w:r>
                  <w:r>
                    <w:rPr>
                      <w:rFonts w:hint="default"/>
                      <w:color w:val="auto"/>
                      <w:highlight w:val="none"/>
                    </w:rPr>
                    <w:t>、氧气贮罐</w:t>
                  </w:r>
                  <w:r>
                    <w:rPr>
                      <w:rFonts w:hint="eastAsia"/>
                      <w:color w:val="auto"/>
                      <w:highlight w:val="none"/>
                      <w:lang w:eastAsia="zh-CN"/>
                    </w:rPr>
                    <w:t>（</w:t>
                  </w:r>
                  <w:r>
                    <w:rPr>
                      <w:rFonts w:hint="eastAsia"/>
                      <w:color w:val="auto"/>
                      <w:highlight w:val="none"/>
                      <w:lang w:val="en-US" w:eastAsia="zh-CN"/>
                    </w:rPr>
                    <w:t>缓冲罐</w:t>
                  </w:r>
                  <w:r>
                    <w:rPr>
                      <w:rFonts w:hint="eastAsia"/>
                      <w:color w:val="auto"/>
                      <w:highlight w:val="none"/>
                      <w:lang w:eastAsia="zh-CN"/>
                    </w:rPr>
                    <w:t>）</w:t>
                  </w:r>
                  <w:r>
                    <w:rPr>
                      <w:rFonts w:hint="default"/>
                      <w:color w:val="auto"/>
                      <w:highlight w:val="none"/>
                    </w:rPr>
                    <w:t>与其他各建筑物、构筑物之间的防火间距设计值符合所述要求。</w:t>
                  </w:r>
                </w:p>
              </w:tc>
              <w:tc>
                <w:tcPr>
                  <w:tcW w:w="621"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2" w:type="dxa"/>
                  <w:tcBorders>
                    <w:tl2br w:val="nil"/>
                    <w:tr2bl w:val="nil"/>
                  </w:tcBorders>
                  <w:noWrap w:val="0"/>
                  <w:vAlign w:val="center"/>
                </w:tcPr>
                <w:p>
                  <w:pPr>
                    <w:pStyle w:val="34"/>
                    <w:bidi w:val="0"/>
                    <w:rPr>
                      <w:rFonts w:hint="eastAsia" w:eastAsia="宋体"/>
                      <w:color w:val="auto"/>
                      <w:highlight w:val="none"/>
                      <w:lang w:val="en-US" w:eastAsia="zh-CN"/>
                    </w:rPr>
                  </w:pPr>
                  <w:r>
                    <w:rPr>
                      <w:rFonts w:hint="eastAsia"/>
                      <w:color w:val="auto"/>
                      <w:highlight w:val="none"/>
                      <w:lang w:val="en-US" w:eastAsia="zh-CN"/>
                    </w:rPr>
                    <w:t>2</w:t>
                  </w:r>
                </w:p>
              </w:tc>
              <w:tc>
                <w:tcPr>
                  <w:tcW w:w="2597"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氧气站火灾危险性为乙类的建筑物与相邻建筑物或构筑物的防火间距，应其与相邻建筑物或构筑物的外墙、外壁、外缘的最近距离计算。两座生产建筑物的相邻较高一面的外墙为无门、窗、洞的防火墙时，其防火间距不限。</w:t>
                  </w:r>
                </w:p>
              </w:tc>
              <w:tc>
                <w:tcPr>
                  <w:tcW w:w="1453" w:type="dxa"/>
                  <w:tcBorders>
                    <w:tl2br w:val="nil"/>
                    <w:tr2bl w:val="nil"/>
                  </w:tcBorders>
                  <w:noWrap w:val="0"/>
                  <w:vAlign w:val="center"/>
                </w:tcPr>
                <w:p>
                  <w:pPr>
                    <w:pStyle w:val="34"/>
                    <w:bidi w:val="0"/>
                    <w:rPr>
                      <w:rFonts w:hint="default"/>
                      <w:color w:val="auto"/>
                      <w:highlight w:val="none"/>
                    </w:rPr>
                  </w:pPr>
                  <w:r>
                    <w:rPr>
                      <w:rFonts w:hint="default"/>
                      <w:color w:val="auto"/>
                      <w:highlight w:val="none"/>
                      <w:lang w:val="zh-CN"/>
                    </w:rPr>
                    <w:t>《氧气站设计规范》（GB50030-2013）第3.0.7条</w:t>
                  </w:r>
                </w:p>
              </w:tc>
              <w:tc>
                <w:tcPr>
                  <w:tcW w:w="1927" w:type="dxa"/>
                  <w:tcBorders>
                    <w:tl2br w:val="nil"/>
                    <w:tr2bl w:val="nil"/>
                  </w:tcBorders>
                  <w:noWrap w:val="0"/>
                  <w:vAlign w:val="center"/>
                </w:tcPr>
                <w:p>
                  <w:pPr>
                    <w:pStyle w:val="34"/>
                    <w:bidi w:val="0"/>
                    <w:rPr>
                      <w:rFonts w:hint="default"/>
                      <w:color w:val="auto"/>
                      <w:highlight w:val="none"/>
                    </w:rPr>
                  </w:pPr>
                  <w:r>
                    <w:rPr>
                      <w:rFonts w:hint="eastAsia"/>
                      <w:color w:val="auto"/>
                      <w:highlight w:val="none"/>
                      <w:lang w:val="en-US" w:eastAsia="zh-CN"/>
                    </w:rPr>
                    <w:t>本项目</w:t>
                  </w:r>
                  <w:r>
                    <w:rPr>
                      <w:rFonts w:hint="default"/>
                      <w:color w:val="auto"/>
                      <w:highlight w:val="none"/>
                    </w:rPr>
                    <w:t>制氧</w:t>
                  </w:r>
                  <w:r>
                    <w:rPr>
                      <w:rFonts w:hint="eastAsia"/>
                      <w:color w:val="auto"/>
                      <w:highlight w:val="none"/>
                      <w:lang w:val="en-US" w:eastAsia="zh-CN"/>
                    </w:rPr>
                    <w:t>车间</w:t>
                  </w:r>
                  <w:r>
                    <w:rPr>
                      <w:rFonts w:hint="default"/>
                      <w:color w:val="auto"/>
                      <w:highlight w:val="none"/>
                    </w:rPr>
                    <w:t>面向辅助生产厂房一侧设置无门、窗、洞的防火墙，其防火间距不限。</w:t>
                  </w:r>
                </w:p>
              </w:tc>
              <w:tc>
                <w:tcPr>
                  <w:tcW w:w="621"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2" w:type="dxa"/>
                  <w:tcBorders>
                    <w:tl2br w:val="nil"/>
                    <w:tr2bl w:val="nil"/>
                  </w:tcBorders>
                  <w:noWrap w:val="0"/>
                  <w:vAlign w:val="center"/>
                </w:tcPr>
                <w:p>
                  <w:pPr>
                    <w:pStyle w:val="34"/>
                    <w:bidi w:val="0"/>
                    <w:rPr>
                      <w:rFonts w:hint="eastAsia" w:eastAsia="宋体"/>
                      <w:color w:val="auto"/>
                      <w:highlight w:val="none"/>
                      <w:lang w:val="en-US" w:eastAsia="zh-CN"/>
                    </w:rPr>
                  </w:pPr>
                  <w:r>
                    <w:rPr>
                      <w:rFonts w:hint="eastAsia"/>
                      <w:color w:val="auto"/>
                      <w:highlight w:val="none"/>
                      <w:lang w:val="en-US" w:eastAsia="zh-CN"/>
                    </w:rPr>
                    <w:t>3</w:t>
                  </w:r>
                </w:p>
              </w:tc>
              <w:tc>
                <w:tcPr>
                  <w:tcW w:w="2597"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氧气贮罐、氮气、惰性气体贮罐、室外布置的工艺设备与其制氧站房等火灾危险性为乙类的建筑物的间距，可按工艺布置要求确定。容积小于或等于50m</w:t>
                  </w:r>
                  <w:r>
                    <w:rPr>
                      <w:rFonts w:hint="default"/>
                      <w:color w:val="auto"/>
                      <w:highlight w:val="none"/>
                      <w:vertAlign w:val="superscript"/>
                    </w:rPr>
                    <w:t>3</w:t>
                  </w:r>
                  <w:r>
                    <w:rPr>
                      <w:rFonts w:hint="default"/>
                      <w:color w:val="auto"/>
                      <w:highlight w:val="none"/>
                    </w:rPr>
                    <w:t>的氧气贮罐与其使用厂房的防火间距不限。</w:t>
                  </w:r>
                </w:p>
              </w:tc>
              <w:tc>
                <w:tcPr>
                  <w:tcW w:w="1453"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《氧气站设计规范》（GB50030-2013）第3.0.8条</w:t>
                  </w:r>
                </w:p>
              </w:tc>
              <w:tc>
                <w:tcPr>
                  <w:tcW w:w="1927" w:type="dxa"/>
                  <w:tcBorders>
                    <w:tl2br w:val="nil"/>
                    <w:tr2bl w:val="nil"/>
                  </w:tcBorders>
                  <w:noWrap w:val="0"/>
                  <w:vAlign w:val="center"/>
                </w:tcPr>
                <w:p>
                  <w:pPr>
                    <w:pStyle w:val="34"/>
                    <w:bidi w:val="0"/>
                    <w:rPr>
                      <w:rFonts w:hint="default"/>
                      <w:color w:val="auto"/>
                      <w:highlight w:val="none"/>
                    </w:rPr>
                  </w:pPr>
                  <w:r>
                    <w:rPr>
                      <w:rFonts w:hint="eastAsia"/>
                      <w:color w:val="auto"/>
                      <w:highlight w:val="none"/>
                      <w:lang w:val="en-US" w:eastAsia="zh-CN"/>
                    </w:rPr>
                    <w:t>根据设计资料，</w:t>
                  </w:r>
                  <w:r>
                    <w:rPr>
                      <w:rFonts w:hint="default"/>
                      <w:color w:val="auto"/>
                      <w:highlight w:val="none"/>
                    </w:rPr>
                    <w:t>结合</w:t>
                  </w:r>
                  <w:r>
                    <w:rPr>
                      <w:rFonts w:hint="eastAsia"/>
                      <w:color w:val="auto"/>
                      <w:highlight w:val="none"/>
                      <w:lang w:val="en-US" w:eastAsia="zh-CN"/>
                    </w:rPr>
                    <w:t>本项目</w:t>
                  </w:r>
                  <w:r>
                    <w:rPr>
                      <w:rFonts w:hint="default"/>
                      <w:color w:val="auto"/>
                      <w:highlight w:val="none"/>
                    </w:rPr>
                    <w:t>制氧站区总图布置，室外布置的工艺设备与制氧主厂房的间距</w:t>
                  </w:r>
                  <w:r>
                    <w:rPr>
                      <w:rFonts w:hint="eastAsia"/>
                      <w:color w:val="auto"/>
                      <w:highlight w:val="none"/>
                      <w:lang w:val="en-US" w:eastAsia="zh-CN"/>
                    </w:rPr>
                    <w:t>严格</w:t>
                  </w:r>
                  <w:r>
                    <w:rPr>
                      <w:rFonts w:hint="default"/>
                      <w:color w:val="auto"/>
                      <w:highlight w:val="none"/>
                    </w:rPr>
                    <w:t>按照所述要求确定。</w:t>
                  </w:r>
                </w:p>
              </w:tc>
              <w:tc>
                <w:tcPr>
                  <w:tcW w:w="621"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2" w:type="dxa"/>
                  <w:tcBorders>
                    <w:tl2br w:val="nil"/>
                    <w:tr2bl w:val="nil"/>
                  </w:tcBorders>
                  <w:noWrap w:val="0"/>
                  <w:vAlign w:val="center"/>
                </w:tcPr>
                <w:p>
                  <w:pPr>
                    <w:pStyle w:val="34"/>
                    <w:bidi w:val="0"/>
                    <w:rPr>
                      <w:rFonts w:hint="eastAsia" w:eastAsia="宋体"/>
                      <w:color w:val="auto"/>
                      <w:highlight w:val="none"/>
                      <w:lang w:val="en-US" w:eastAsia="zh-CN"/>
                    </w:rPr>
                  </w:pPr>
                  <w:r>
                    <w:rPr>
                      <w:rFonts w:hint="eastAsia"/>
                      <w:color w:val="auto"/>
                      <w:highlight w:val="none"/>
                      <w:lang w:val="en-US" w:eastAsia="zh-CN"/>
                    </w:rPr>
                    <w:t>4</w:t>
                  </w:r>
                </w:p>
              </w:tc>
              <w:tc>
                <w:tcPr>
                  <w:tcW w:w="2597"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氧气贮罐之间的防火间距不应小于相邻较大罐的半径。氧气贮罐与可燃气体贮罐之间的防火间距不应小于相邻较大罐的直径。</w:t>
                  </w:r>
                </w:p>
              </w:tc>
              <w:tc>
                <w:tcPr>
                  <w:tcW w:w="1453"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《氧气站设计规范》（GB50030-2013）第3.0.9条</w:t>
                  </w:r>
                </w:p>
              </w:tc>
              <w:tc>
                <w:tcPr>
                  <w:tcW w:w="1927" w:type="dxa"/>
                  <w:tcBorders>
                    <w:tl2br w:val="nil"/>
                    <w:tr2bl w:val="nil"/>
                  </w:tcBorders>
                  <w:noWrap w:val="0"/>
                  <w:vAlign w:val="center"/>
                </w:tcPr>
                <w:p>
                  <w:pPr>
                    <w:pStyle w:val="34"/>
                    <w:bidi w:val="0"/>
                    <w:rPr>
                      <w:rFonts w:hint="default"/>
                      <w:color w:val="auto"/>
                      <w:highlight w:val="none"/>
                    </w:rPr>
                  </w:pPr>
                  <w:r>
                    <w:rPr>
                      <w:rFonts w:hint="eastAsia"/>
                      <w:color w:val="auto"/>
                      <w:highlight w:val="none"/>
                      <w:lang w:val="en-US" w:eastAsia="zh-CN"/>
                    </w:rPr>
                    <w:t>厂区已建</w:t>
                  </w:r>
                  <w:r>
                    <w:rPr>
                      <w:rFonts w:hint="default"/>
                      <w:color w:val="auto"/>
                      <w:highlight w:val="none"/>
                    </w:rPr>
                    <w:t>氧气储罐之间的防火间距满足一个球罐的半径</w:t>
                  </w:r>
                  <w:r>
                    <w:rPr>
                      <w:rFonts w:hint="eastAsia"/>
                      <w:color w:val="auto"/>
                      <w:highlight w:val="none"/>
                      <w:lang w:val="en-US" w:eastAsia="zh-CN"/>
                    </w:rPr>
                    <w:t>要求</w:t>
                  </w:r>
                  <w:r>
                    <w:rPr>
                      <w:rFonts w:hint="default"/>
                      <w:color w:val="auto"/>
                      <w:highlight w:val="none"/>
                    </w:rPr>
                    <w:t>，</w:t>
                  </w:r>
                  <w:r>
                    <w:rPr>
                      <w:rFonts w:hint="eastAsia"/>
                      <w:color w:val="auto"/>
                      <w:highlight w:val="none"/>
                      <w:lang w:val="en-US" w:eastAsia="zh-CN"/>
                    </w:rPr>
                    <w:t>本次改建项目不新增储罐</w:t>
                  </w:r>
                  <w:r>
                    <w:rPr>
                      <w:rFonts w:hint="default"/>
                      <w:color w:val="auto"/>
                      <w:highlight w:val="none"/>
                    </w:rPr>
                    <w:t>。</w:t>
                  </w:r>
                </w:p>
              </w:tc>
              <w:tc>
                <w:tcPr>
                  <w:tcW w:w="621"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2" w:type="dxa"/>
                  <w:tcBorders>
                    <w:tl2br w:val="nil"/>
                    <w:tr2bl w:val="nil"/>
                  </w:tcBorders>
                  <w:noWrap w:val="0"/>
                  <w:vAlign w:val="center"/>
                </w:tcPr>
                <w:p>
                  <w:pPr>
                    <w:pStyle w:val="34"/>
                    <w:bidi w:val="0"/>
                    <w:rPr>
                      <w:rFonts w:hint="eastAsia" w:eastAsia="宋体"/>
                      <w:color w:val="auto"/>
                      <w:highlight w:val="none"/>
                      <w:lang w:val="en-US" w:eastAsia="zh-CN"/>
                    </w:rPr>
                  </w:pPr>
                  <w:r>
                    <w:rPr>
                      <w:rFonts w:hint="eastAsia"/>
                      <w:color w:val="auto"/>
                      <w:highlight w:val="none"/>
                      <w:lang w:val="en-US" w:eastAsia="zh-CN"/>
                    </w:rPr>
                    <w:t>5</w:t>
                  </w:r>
                </w:p>
              </w:tc>
              <w:tc>
                <w:tcPr>
                  <w:tcW w:w="2597"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制氧站房、灌氧站房、氧气压缩机间宜布置成独立建筑物，但可与不低于其耐火等级的除火灾危险性属甲、乙类的生产车间，以及无明火或散发火花作业的其他生产车间毗连建造，其毗连的墙应为无门、窗、洞的防火墙，并应设不少于一个直通室外的安全出口。</w:t>
                  </w:r>
                </w:p>
              </w:tc>
              <w:tc>
                <w:tcPr>
                  <w:tcW w:w="1453"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《氧气站设计规范》（GB50030-2013）第3.0.10条</w:t>
                  </w:r>
                </w:p>
              </w:tc>
              <w:tc>
                <w:tcPr>
                  <w:tcW w:w="1927" w:type="dxa"/>
                  <w:tcBorders>
                    <w:tl2br w:val="nil"/>
                    <w:tr2bl w:val="nil"/>
                  </w:tcBorders>
                  <w:noWrap w:val="0"/>
                  <w:vAlign w:val="center"/>
                </w:tcPr>
                <w:p>
                  <w:pPr>
                    <w:pStyle w:val="34"/>
                    <w:bidi w:val="0"/>
                    <w:rPr>
                      <w:rFonts w:hint="default"/>
                      <w:color w:val="auto"/>
                      <w:highlight w:val="none"/>
                    </w:rPr>
                  </w:pPr>
                  <w:r>
                    <w:rPr>
                      <w:rFonts w:hint="eastAsia"/>
                      <w:color w:val="auto"/>
                      <w:highlight w:val="none"/>
                      <w:lang w:val="en-US" w:eastAsia="zh-CN"/>
                    </w:rPr>
                    <w:t>本项目制氧车间为独立建筑，本次改建项目不包括氧气加压系统的建设及改造，厂区已有</w:t>
                  </w:r>
                  <w:r>
                    <w:rPr>
                      <w:rFonts w:hint="default"/>
                      <w:color w:val="auto"/>
                      <w:highlight w:val="none"/>
                    </w:rPr>
                    <w:t>氧气</w:t>
                  </w:r>
                  <w:r>
                    <w:rPr>
                      <w:rFonts w:hint="eastAsia"/>
                      <w:color w:val="auto"/>
                      <w:highlight w:val="none"/>
                      <w:lang w:val="en-US" w:eastAsia="zh-CN"/>
                    </w:rPr>
                    <w:t>站房单独布置</w:t>
                  </w:r>
                  <w:r>
                    <w:rPr>
                      <w:rFonts w:hint="default"/>
                      <w:color w:val="auto"/>
                      <w:highlight w:val="none"/>
                    </w:rPr>
                    <w:t>，制氧</w:t>
                  </w:r>
                  <w:r>
                    <w:rPr>
                      <w:rFonts w:hint="eastAsia"/>
                      <w:color w:val="auto"/>
                      <w:highlight w:val="none"/>
                      <w:lang w:val="en-US" w:eastAsia="zh-CN"/>
                    </w:rPr>
                    <w:t>车间</w:t>
                  </w:r>
                  <w:r>
                    <w:rPr>
                      <w:rFonts w:hint="default"/>
                      <w:color w:val="auto"/>
                      <w:highlight w:val="none"/>
                    </w:rPr>
                    <w:t>面向辅助生产厂房一侧</w:t>
                  </w:r>
                  <w:r>
                    <w:rPr>
                      <w:rFonts w:hint="eastAsia"/>
                      <w:color w:val="auto"/>
                      <w:highlight w:val="none"/>
                      <w:lang w:val="en-US" w:eastAsia="zh-CN"/>
                    </w:rPr>
                    <w:t>严格按照</w:t>
                  </w:r>
                  <w:r>
                    <w:rPr>
                      <w:rFonts w:hint="default"/>
                      <w:color w:val="auto"/>
                      <w:highlight w:val="none"/>
                    </w:rPr>
                    <w:t>所述要求设置防火墙。</w:t>
                  </w:r>
                </w:p>
              </w:tc>
              <w:tc>
                <w:tcPr>
                  <w:tcW w:w="621"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2" w:type="dxa"/>
                  <w:tcBorders>
                    <w:tl2br w:val="nil"/>
                    <w:tr2bl w:val="nil"/>
                  </w:tcBorders>
                  <w:noWrap w:val="0"/>
                  <w:vAlign w:val="center"/>
                </w:tcPr>
                <w:p>
                  <w:pPr>
                    <w:pStyle w:val="34"/>
                    <w:bidi w:val="0"/>
                    <w:rPr>
                      <w:rFonts w:hint="eastAsia" w:eastAsia="宋体"/>
                      <w:color w:val="auto"/>
                      <w:highlight w:val="none"/>
                      <w:lang w:val="en-US" w:eastAsia="zh-CN"/>
                    </w:rPr>
                  </w:pPr>
                  <w:r>
                    <w:rPr>
                      <w:rFonts w:hint="eastAsia"/>
                      <w:color w:val="auto"/>
                      <w:highlight w:val="none"/>
                      <w:lang w:val="en-US" w:eastAsia="zh-CN"/>
                    </w:rPr>
                    <w:t>6</w:t>
                  </w:r>
                </w:p>
              </w:tc>
              <w:tc>
                <w:tcPr>
                  <w:tcW w:w="2597"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氧气站的乙类生产场所不得设置在地下室或半地下室。</w:t>
                  </w:r>
                </w:p>
              </w:tc>
              <w:tc>
                <w:tcPr>
                  <w:tcW w:w="1453"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《氧气站设计规范》（GB50030-2013）第3.0.15条</w:t>
                  </w:r>
                </w:p>
              </w:tc>
              <w:tc>
                <w:tcPr>
                  <w:tcW w:w="1927" w:type="dxa"/>
                  <w:tcBorders>
                    <w:tl2br w:val="nil"/>
                    <w:tr2bl w:val="nil"/>
                  </w:tcBorders>
                  <w:noWrap w:val="0"/>
                  <w:vAlign w:val="center"/>
                </w:tcPr>
                <w:p>
                  <w:pPr>
                    <w:pStyle w:val="34"/>
                    <w:bidi w:val="0"/>
                    <w:rPr>
                      <w:rFonts w:hint="default"/>
                      <w:color w:val="auto"/>
                      <w:highlight w:val="none"/>
                    </w:rPr>
                  </w:pPr>
                  <w:r>
                    <w:rPr>
                      <w:rFonts w:hint="eastAsia"/>
                      <w:color w:val="auto"/>
                      <w:highlight w:val="none"/>
                      <w:lang w:val="en-US" w:eastAsia="zh-CN"/>
                    </w:rPr>
                    <w:t>本项目制氧车间</w:t>
                  </w:r>
                  <w:r>
                    <w:rPr>
                      <w:rFonts w:hint="default"/>
                      <w:color w:val="auto"/>
                      <w:highlight w:val="none"/>
                    </w:rPr>
                    <w:t>不设置地下室和半地下室。</w:t>
                  </w:r>
                </w:p>
              </w:tc>
              <w:tc>
                <w:tcPr>
                  <w:tcW w:w="621"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2" w:type="dxa"/>
                  <w:tcBorders>
                    <w:tl2br w:val="nil"/>
                    <w:tr2bl w:val="nil"/>
                  </w:tcBorders>
                  <w:noWrap w:val="0"/>
                  <w:vAlign w:val="center"/>
                </w:tcPr>
                <w:p>
                  <w:pPr>
                    <w:pStyle w:val="34"/>
                    <w:bidi w:val="0"/>
                    <w:rPr>
                      <w:rFonts w:hint="eastAsia" w:eastAsia="宋体"/>
                      <w:color w:val="auto"/>
                      <w:highlight w:val="none"/>
                      <w:lang w:val="en-US" w:eastAsia="zh-CN"/>
                    </w:rPr>
                  </w:pPr>
                  <w:r>
                    <w:rPr>
                      <w:rFonts w:hint="eastAsia"/>
                      <w:color w:val="auto"/>
                      <w:highlight w:val="none"/>
                      <w:lang w:val="en-US" w:eastAsia="zh-CN"/>
                    </w:rPr>
                    <w:t>7</w:t>
                  </w:r>
                </w:p>
              </w:tc>
              <w:tc>
                <w:tcPr>
                  <w:tcW w:w="2597"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液氧贮罐、低温液体贮槽宜室外布置，它与各类建筑物、构筑物的防火间距应符合表3.0.4的规定，当液氧贮罐的容积不超过3m</w:t>
                  </w:r>
                  <w:r>
                    <w:rPr>
                      <w:rFonts w:hint="default"/>
                      <w:color w:val="auto"/>
                      <w:highlight w:val="none"/>
                      <w:vertAlign w:val="superscript"/>
                    </w:rPr>
                    <w:t>3</w:t>
                  </w:r>
                  <w:r>
                    <w:rPr>
                      <w:rFonts w:hint="default"/>
                      <w:color w:val="auto"/>
                      <w:highlight w:val="none"/>
                    </w:rPr>
                    <w:t>时，与所有使用建筑的防火间距可减为10m。当液氧贮罐、低温液体贮槽确需室内布置时，宜设置在单独的房间内，且液氧贮罐的总几何容积不得超过10m</w:t>
                  </w:r>
                  <w:r>
                    <w:rPr>
                      <w:rFonts w:hint="default"/>
                      <w:color w:val="auto"/>
                      <w:highlight w:val="none"/>
                      <w:vertAlign w:val="superscript"/>
                    </w:rPr>
                    <w:t>3</w:t>
                  </w:r>
                  <w:r>
                    <w:rPr>
                      <w:rFonts w:hint="default"/>
                      <w:color w:val="auto"/>
                      <w:highlight w:val="none"/>
                    </w:rPr>
                    <w:t>,并应符合下列规定：1）当设置在独立的一、二级耐火等级的专用建筑物内，且与使用建筑一侧为无门、窗、洞的防火墙时，其防火间距不应小于6m；</w:t>
                  </w:r>
                  <w:r>
                    <w:rPr>
                      <w:rFonts w:hint="eastAsia"/>
                      <w:color w:val="auto"/>
                      <w:highlight w:val="none"/>
                      <w:lang w:val="en-US" w:eastAsia="zh-CN"/>
                    </w:rPr>
                    <w:t>2）</w:t>
                  </w:r>
                  <w:r>
                    <w:rPr>
                      <w:rFonts w:hint="default"/>
                      <w:color w:val="auto"/>
                      <w:highlight w:val="none"/>
                    </w:rPr>
                    <w:t>当设置在一、二级耐火等级的贮罐间内，且一面邻使用建筑物外墙时，应采用无门、窗、洞的耐火极限不低于2.0h的不燃烧体墙分隔，并应设直通室外的出口。</w:t>
                  </w:r>
                </w:p>
              </w:tc>
              <w:tc>
                <w:tcPr>
                  <w:tcW w:w="1453"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《氧气站设计规范》（GB50030-2013）第3.0.16条</w:t>
                  </w:r>
                </w:p>
              </w:tc>
              <w:tc>
                <w:tcPr>
                  <w:tcW w:w="1927" w:type="dxa"/>
                  <w:tcBorders>
                    <w:tl2br w:val="nil"/>
                    <w:tr2bl w:val="nil"/>
                  </w:tcBorders>
                  <w:noWrap w:val="0"/>
                  <w:vAlign w:val="center"/>
                </w:tcPr>
                <w:p>
                  <w:pPr>
                    <w:pStyle w:val="34"/>
                    <w:bidi w:val="0"/>
                    <w:rPr>
                      <w:rFonts w:hint="default"/>
                      <w:color w:val="auto"/>
                      <w:highlight w:val="none"/>
                    </w:rPr>
                  </w:pPr>
                  <w:r>
                    <w:rPr>
                      <w:rFonts w:hint="eastAsia"/>
                      <w:color w:val="auto"/>
                      <w:highlight w:val="none"/>
                      <w:lang w:val="en-US" w:eastAsia="zh-CN"/>
                    </w:rPr>
                    <w:t>本次改建项目不包括</w:t>
                  </w:r>
                  <w:r>
                    <w:rPr>
                      <w:rFonts w:hint="default"/>
                      <w:color w:val="auto"/>
                      <w:highlight w:val="none"/>
                    </w:rPr>
                    <w:t>液氧贮罐、低温液体贮槽</w:t>
                  </w:r>
                  <w:r>
                    <w:rPr>
                      <w:rFonts w:hint="eastAsia"/>
                      <w:color w:val="auto"/>
                      <w:highlight w:val="none"/>
                      <w:lang w:val="en-US" w:eastAsia="zh-CN"/>
                    </w:rPr>
                    <w:t>等内容的建设，厂区已建</w:t>
                  </w:r>
                  <w:r>
                    <w:rPr>
                      <w:rFonts w:hint="default"/>
                      <w:color w:val="auto"/>
                      <w:highlight w:val="none"/>
                    </w:rPr>
                    <w:t>液氧贮槽均</w:t>
                  </w:r>
                  <w:r>
                    <w:rPr>
                      <w:rFonts w:hint="eastAsia"/>
                      <w:color w:val="auto"/>
                      <w:highlight w:val="none"/>
                      <w:lang w:val="en-US" w:eastAsia="zh-CN"/>
                    </w:rPr>
                    <w:t>为</w:t>
                  </w:r>
                  <w:r>
                    <w:rPr>
                      <w:rFonts w:hint="default"/>
                      <w:color w:val="auto"/>
                      <w:highlight w:val="none"/>
                    </w:rPr>
                    <w:t>室外布置，其与制氧</w:t>
                  </w:r>
                  <w:r>
                    <w:rPr>
                      <w:rFonts w:hint="eastAsia"/>
                      <w:color w:val="auto"/>
                      <w:highlight w:val="none"/>
                      <w:lang w:val="en-US" w:eastAsia="zh-CN"/>
                    </w:rPr>
                    <w:t>车间</w:t>
                  </w:r>
                  <w:r>
                    <w:rPr>
                      <w:rFonts w:hint="default"/>
                      <w:color w:val="auto"/>
                      <w:highlight w:val="none"/>
                    </w:rPr>
                    <w:t>等建筑物、构筑物的防火间距设计值符合所述要求。</w:t>
                  </w:r>
                </w:p>
              </w:tc>
              <w:tc>
                <w:tcPr>
                  <w:tcW w:w="621"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2" w:type="dxa"/>
                  <w:tcBorders>
                    <w:tl2br w:val="nil"/>
                    <w:tr2bl w:val="nil"/>
                  </w:tcBorders>
                  <w:noWrap w:val="0"/>
                  <w:vAlign w:val="center"/>
                </w:tcPr>
                <w:p>
                  <w:pPr>
                    <w:pStyle w:val="34"/>
                    <w:bidi w:val="0"/>
                    <w:rPr>
                      <w:rFonts w:hint="eastAsia" w:eastAsia="宋体"/>
                      <w:color w:val="auto"/>
                      <w:highlight w:val="none"/>
                      <w:lang w:val="en-US" w:eastAsia="zh-CN"/>
                    </w:rPr>
                  </w:pPr>
                  <w:r>
                    <w:rPr>
                      <w:rFonts w:hint="eastAsia"/>
                      <w:color w:val="auto"/>
                      <w:highlight w:val="none"/>
                      <w:lang w:val="en-US" w:eastAsia="zh-CN"/>
                    </w:rPr>
                    <w:t>8</w:t>
                  </w:r>
                </w:p>
              </w:tc>
              <w:tc>
                <w:tcPr>
                  <w:tcW w:w="2597"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液氧贮罐和汽化器的周围宜设围墙或栅栏，并应设置明确的禁火标志。</w:t>
                  </w:r>
                </w:p>
              </w:tc>
              <w:tc>
                <w:tcPr>
                  <w:tcW w:w="1453"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《氧气站设计规范》（GB50030-2013）第3.0.17条</w:t>
                  </w:r>
                </w:p>
              </w:tc>
              <w:tc>
                <w:tcPr>
                  <w:tcW w:w="1927" w:type="dxa"/>
                  <w:tcBorders>
                    <w:tl2br w:val="nil"/>
                    <w:tr2bl w:val="nil"/>
                  </w:tcBorders>
                  <w:noWrap w:val="0"/>
                  <w:vAlign w:val="center"/>
                </w:tcPr>
                <w:p>
                  <w:pPr>
                    <w:pStyle w:val="34"/>
                    <w:bidi w:val="0"/>
                    <w:rPr>
                      <w:rFonts w:hint="default"/>
                      <w:color w:val="auto"/>
                      <w:highlight w:val="none"/>
                    </w:rPr>
                  </w:pPr>
                  <w:r>
                    <w:rPr>
                      <w:rFonts w:hint="eastAsia"/>
                      <w:color w:val="auto"/>
                      <w:highlight w:val="none"/>
                      <w:lang w:val="en-US" w:eastAsia="zh-CN"/>
                    </w:rPr>
                    <w:t>本次改建项目不包括</w:t>
                  </w:r>
                  <w:r>
                    <w:rPr>
                      <w:rFonts w:hint="default"/>
                      <w:color w:val="auto"/>
                      <w:highlight w:val="none"/>
                    </w:rPr>
                    <w:t>液氧贮罐和汽化器</w:t>
                  </w:r>
                  <w:r>
                    <w:rPr>
                      <w:rFonts w:hint="eastAsia"/>
                      <w:color w:val="auto"/>
                      <w:highlight w:val="none"/>
                      <w:lang w:val="en-US" w:eastAsia="zh-CN"/>
                    </w:rPr>
                    <w:t>等内容，厂区已建</w:t>
                  </w:r>
                  <w:r>
                    <w:rPr>
                      <w:rFonts w:hint="default"/>
                      <w:color w:val="auto"/>
                      <w:highlight w:val="none"/>
                    </w:rPr>
                    <w:t>液氧储罐周边设置禁火标志</w:t>
                  </w:r>
                  <w:r>
                    <w:rPr>
                      <w:rFonts w:hint="eastAsia"/>
                      <w:color w:val="auto"/>
                      <w:highlight w:val="none"/>
                      <w:lang w:eastAsia="zh-CN"/>
                    </w:rPr>
                    <w:t>、</w:t>
                  </w:r>
                  <w:r>
                    <w:rPr>
                      <w:rFonts w:hint="default"/>
                      <w:color w:val="auto"/>
                      <w:highlight w:val="none"/>
                    </w:rPr>
                    <w:t>设置</w:t>
                  </w:r>
                  <w:r>
                    <w:rPr>
                      <w:rFonts w:hint="eastAsia"/>
                      <w:color w:val="auto"/>
                      <w:highlight w:val="none"/>
                      <w:lang w:val="en-US" w:eastAsia="zh-CN"/>
                    </w:rPr>
                    <w:t>有</w:t>
                  </w:r>
                  <w:r>
                    <w:rPr>
                      <w:rFonts w:hint="default"/>
                      <w:color w:val="auto"/>
                      <w:highlight w:val="none"/>
                    </w:rPr>
                    <w:t>栅栏。</w:t>
                  </w:r>
                </w:p>
              </w:tc>
              <w:tc>
                <w:tcPr>
                  <w:tcW w:w="621" w:type="dxa"/>
                  <w:tcBorders>
                    <w:tl2br w:val="nil"/>
                    <w:tr2bl w:val="nil"/>
                  </w:tcBorders>
                  <w:noWrap w:val="0"/>
                  <w:vAlign w:val="center"/>
                </w:tcPr>
                <w:p>
                  <w:pPr>
                    <w:pStyle w:val="34"/>
                    <w:bidi w:val="0"/>
                    <w:rPr>
                      <w:rFonts w:hint="eastAsia" w:eastAsia="宋体"/>
                      <w:color w:val="auto"/>
                      <w:highlight w:val="none"/>
                      <w:lang w:eastAsia="zh-CN"/>
                    </w:rPr>
                  </w:pPr>
                  <w:r>
                    <w:rPr>
                      <w:rFonts w:hint="eastAsia"/>
                      <w:color w:val="auto"/>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2" w:type="dxa"/>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9</w:t>
                  </w:r>
                </w:p>
              </w:tc>
              <w:tc>
                <w:tcPr>
                  <w:tcW w:w="2597"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总平面布置，应在总体规划的基础上，根据工业企业的性质、规模、生产流程、交通运输、环境保护，以及防火、安全、卫生、节能、施工、检修、厂区发展等要求，结合场地自然条件，经技术经济比较后择优确定。</w:t>
                  </w:r>
                </w:p>
              </w:tc>
              <w:tc>
                <w:tcPr>
                  <w:tcW w:w="1453"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《工业企业总平面设计规范》（GB50187-2012）第5.1.1条</w:t>
                  </w:r>
                </w:p>
              </w:tc>
              <w:tc>
                <w:tcPr>
                  <w:tcW w:w="1927" w:type="dxa"/>
                  <w:tcBorders>
                    <w:tl2br w:val="nil"/>
                    <w:tr2bl w:val="nil"/>
                  </w:tcBorders>
                  <w:noWrap w:val="0"/>
                  <w:vAlign w:val="center"/>
                </w:tcPr>
                <w:p>
                  <w:pPr>
                    <w:pStyle w:val="34"/>
                    <w:bidi w:val="0"/>
                    <w:rPr>
                      <w:rFonts w:hint="default"/>
                      <w:color w:val="auto"/>
                      <w:highlight w:val="none"/>
                    </w:rPr>
                  </w:pPr>
                  <w:r>
                    <w:rPr>
                      <w:rFonts w:hint="eastAsia"/>
                      <w:color w:val="auto"/>
                      <w:highlight w:val="none"/>
                      <w:lang w:val="en-US" w:eastAsia="zh-CN"/>
                    </w:rPr>
                    <w:t>本</w:t>
                  </w:r>
                  <w:r>
                    <w:rPr>
                      <w:rFonts w:hint="default"/>
                      <w:color w:val="auto"/>
                      <w:highlight w:val="none"/>
                    </w:rPr>
                    <w:t>项目总平面布置设计根据工业企业的性质、规模、生产流程、交通运输、环境保护等要求，结合场地地形择优确定。</w:t>
                  </w:r>
                </w:p>
              </w:tc>
              <w:tc>
                <w:tcPr>
                  <w:tcW w:w="621"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2" w:type="dxa"/>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10</w:t>
                  </w:r>
                </w:p>
              </w:tc>
              <w:tc>
                <w:tcPr>
                  <w:tcW w:w="2597"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总平面布置应节约集约用地，提高土地利用率。布置时应符合下列要求：1）在符合生产流程、操作要求和使用功能的前提下，建筑物、构筑物等设施，应采用联合、集中、多层布置；2）应按企业规模和功能分区，合理地确定通道宽度；3）厂区功能分区及建筑物、构筑物的外形宜规整；4）功能分区内各项设施的布置，应紧凑、合理。</w:t>
                  </w:r>
                </w:p>
              </w:tc>
              <w:tc>
                <w:tcPr>
                  <w:tcW w:w="1453"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《工业企业总平面设计规范》（GB50187-2012）第5.1.2条</w:t>
                  </w:r>
                </w:p>
              </w:tc>
              <w:tc>
                <w:tcPr>
                  <w:tcW w:w="1927" w:type="dxa"/>
                  <w:tcBorders>
                    <w:tl2br w:val="nil"/>
                    <w:tr2bl w:val="nil"/>
                  </w:tcBorders>
                  <w:noWrap w:val="0"/>
                  <w:vAlign w:val="center"/>
                </w:tcPr>
                <w:p>
                  <w:pPr>
                    <w:pStyle w:val="34"/>
                    <w:bidi w:val="0"/>
                    <w:rPr>
                      <w:rFonts w:hint="default"/>
                      <w:color w:val="auto"/>
                      <w:highlight w:val="none"/>
                    </w:rPr>
                  </w:pPr>
                  <w:r>
                    <w:rPr>
                      <w:rFonts w:hint="eastAsia"/>
                      <w:color w:val="auto"/>
                      <w:highlight w:val="none"/>
                      <w:lang w:val="en-US" w:eastAsia="zh-CN"/>
                    </w:rPr>
                    <w:t>本</w:t>
                  </w:r>
                  <w:r>
                    <w:rPr>
                      <w:rFonts w:hint="default"/>
                      <w:color w:val="auto"/>
                      <w:highlight w:val="none"/>
                    </w:rPr>
                    <w:t>项目在布置中对建筑物、构筑物进行功能分区、合理划分通道，布置集中，紧凑合理。</w:t>
                  </w:r>
                </w:p>
              </w:tc>
              <w:tc>
                <w:tcPr>
                  <w:tcW w:w="621"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2" w:type="dxa"/>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11</w:t>
                  </w:r>
                </w:p>
              </w:tc>
              <w:tc>
                <w:tcPr>
                  <w:tcW w:w="2597" w:type="dxa"/>
                  <w:tcBorders>
                    <w:tl2br w:val="nil"/>
                    <w:tr2bl w:val="nil"/>
                  </w:tcBorders>
                  <w:noWrap w:val="0"/>
                  <w:vAlign w:val="center"/>
                </w:tcPr>
                <w:p>
                  <w:pPr>
                    <w:pStyle w:val="34"/>
                    <w:bidi w:val="0"/>
                    <w:jc w:val="left"/>
                    <w:rPr>
                      <w:rFonts w:hint="default"/>
                      <w:color w:val="auto"/>
                      <w:highlight w:val="none"/>
                    </w:rPr>
                  </w:pPr>
                  <w:r>
                    <w:rPr>
                      <w:rFonts w:hint="default"/>
                      <w:color w:val="auto"/>
                      <w:highlight w:val="none"/>
                    </w:rPr>
                    <w:t>厂区的通道宽度应符合下列要求：</w:t>
                  </w:r>
                </w:p>
                <w:p>
                  <w:pPr>
                    <w:pStyle w:val="34"/>
                    <w:bidi w:val="0"/>
                    <w:jc w:val="left"/>
                    <w:rPr>
                      <w:rFonts w:hint="default"/>
                      <w:color w:val="auto"/>
                      <w:highlight w:val="none"/>
                    </w:rPr>
                  </w:pPr>
                  <w:r>
                    <w:rPr>
                      <w:rFonts w:hint="default"/>
                      <w:color w:val="auto"/>
                      <w:highlight w:val="none"/>
                    </w:rPr>
                    <w:t>1）应符合通道两侧建筑物、构筑物及露天设施对防火、安全与卫生间距的要求；</w:t>
                  </w:r>
                </w:p>
                <w:p>
                  <w:pPr>
                    <w:pStyle w:val="34"/>
                    <w:bidi w:val="0"/>
                    <w:jc w:val="left"/>
                    <w:rPr>
                      <w:rFonts w:hint="default"/>
                      <w:color w:val="auto"/>
                      <w:highlight w:val="none"/>
                    </w:rPr>
                  </w:pPr>
                  <w:r>
                    <w:rPr>
                      <w:rFonts w:hint="default"/>
                      <w:color w:val="auto"/>
                      <w:highlight w:val="none"/>
                    </w:rPr>
                    <w:t>2）应符合铁路、道路与带式输送机通廊等工业运输线路的布置要求；</w:t>
                  </w:r>
                </w:p>
                <w:p>
                  <w:pPr>
                    <w:pStyle w:val="34"/>
                    <w:bidi w:val="0"/>
                    <w:jc w:val="left"/>
                    <w:rPr>
                      <w:rFonts w:hint="default"/>
                      <w:color w:val="auto"/>
                      <w:highlight w:val="none"/>
                    </w:rPr>
                  </w:pPr>
                  <w:r>
                    <w:rPr>
                      <w:rFonts w:hint="default"/>
                      <w:color w:val="auto"/>
                      <w:highlight w:val="none"/>
                    </w:rPr>
                    <w:t>3）应符合各种工程管线的布置要求；</w:t>
                  </w:r>
                </w:p>
                <w:p>
                  <w:pPr>
                    <w:pStyle w:val="34"/>
                    <w:bidi w:val="0"/>
                    <w:jc w:val="left"/>
                    <w:rPr>
                      <w:rFonts w:hint="default"/>
                      <w:color w:val="auto"/>
                      <w:highlight w:val="none"/>
                    </w:rPr>
                  </w:pPr>
                  <w:r>
                    <w:rPr>
                      <w:rFonts w:hint="default"/>
                      <w:color w:val="auto"/>
                      <w:highlight w:val="none"/>
                    </w:rPr>
                    <w:t>4）应符合绿化布置的要求；</w:t>
                  </w:r>
                </w:p>
                <w:p>
                  <w:pPr>
                    <w:pStyle w:val="34"/>
                    <w:bidi w:val="0"/>
                    <w:jc w:val="left"/>
                    <w:rPr>
                      <w:rFonts w:hint="default"/>
                      <w:color w:val="auto"/>
                      <w:highlight w:val="none"/>
                    </w:rPr>
                  </w:pPr>
                  <w:r>
                    <w:rPr>
                      <w:rFonts w:hint="default"/>
                      <w:color w:val="auto"/>
                      <w:highlight w:val="none"/>
                    </w:rPr>
                    <w:t>5）应符合施工、安装与检修的要求；</w:t>
                  </w:r>
                </w:p>
                <w:p>
                  <w:pPr>
                    <w:pStyle w:val="34"/>
                    <w:bidi w:val="0"/>
                    <w:jc w:val="left"/>
                    <w:rPr>
                      <w:rFonts w:hint="default"/>
                      <w:color w:val="auto"/>
                      <w:highlight w:val="none"/>
                    </w:rPr>
                  </w:pPr>
                  <w:r>
                    <w:rPr>
                      <w:rFonts w:hint="default"/>
                      <w:color w:val="auto"/>
                      <w:highlight w:val="none"/>
                    </w:rPr>
                    <w:t>6）应符合竖向设计的要求；</w:t>
                  </w:r>
                </w:p>
                <w:p>
                  <w:pPr>
                    <w:pStyle w:val="34"/>
                    <w:bidi w:val="0"/>
                    <w:jc w:val="left"/>
                    <w:rPr>
                      <w:rFonts w:hint="default"/>
                      <w:color w:val="auto"/>
                      <w:highlight w:val="none"/>
                    </w:rPr>
                  </w:pPr>
                  <w:r>
                    <w:rPr>
                      <w:rFonts w:hint="default"/>
                      <w:color w:val="auto"/>
                      <w:highlight w:val="none"/>
                    </w:rPr>
                    <w:t>7）应符合预留发展用地的要求。</w:t>
                  </w:r>
                </w:p>
              </w:tc>
              <w:tc>
                <w:tcPr>
                  <w:tcW w:w="1453"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《工业企业总平面设计规范》（GB50187-2012）第5.1.4条</w:t>
                  </w:r>
                </w:p>
              </w:tc>
              <w:tc>
                <w:tcPr>
                  <w:tcW w:w="1927" w:type="dxa"/>
                  <w:tcBorders>
                    <w:tl2br w:val="nil"/>
                    <w:tr2bl w:val="nil"/>
                  </w:tcBorders>
                  <w:noWrap w:val="0"/>
                  <w:vAlign w:val="center"/>
                </w:tcPr>
                <w:p>
                  <w:pPr>
                    <w:pStyle w:val="34"/>
                    <w:bidi w:val="0"/>
                    <w:rPr>
                      <w:rFonts w:hint="default"/>
                      <w:color w:val="auto"/>
                      <w:highlight w:val="none"/>
                    </w:rPr>
                  </w:pPr>
                  <w:r>
                    <w:rPr>
                      <w:rFonts w:hint="eastAsia"/>
                      <w:color w:val="auto"/>
                      <w:highlight w:val="none"/>
                      <w:lang w:val="en-US" w:eastAsia="zh-CN"/>
                    </w:rPr>
                    <w:t>根据项目设计资料</w:t>
                  </w:r>
                  <w:r>
                    <w:rPr>
                      <w:rFonts w:hint="default"/>
                      <w:color w:val="auto"/>
                      <w:highlight w:val="none"/>
                    </w:rPr>
                    <w:t>，</w:t>
                  </w:r>
                  <w:bookmarkStart w:id="237" w:name="_Toc232403379"/>
                  <w:bookmarkStart w:id="238" w:name="_Toc233264169"/>
                  <w:r>
                    <w:rPr>
                      <w:rFonts w:hint="default"/>
                      <w:color w:val="auto"/>
                      <w:highlight w:val="none"/>
                      <w:lang w:val="en-US" w:eastAsia="zh-CN"/>
                    </w:rPr>
                    <w:t>新增厂内消防道路采用城市型道路，总长约120m、宽4m、转弯半径9m、最大纵坡2.5%、净空高度5m</w:t>
                  </w:r>
                  <w:bookmarkEnd w:id="237"/>
                  <w:bookmarkEnd w:id="238"/>
                  <w:r>
                    <w:rPr>
                      <w:rFonts w:hint="eastAsia"/>
                      <w:color w:val="auto"/>
                      <w:highlight w:val="none"/>
                      <w:lang w:val="en-US" w:eastAsia="zh-CN"/>
                    </w:rPr>
                    <w:t>，</w:t>
                  </w:r>
                  <w:r>
                    <w:rPr>
                      <w:rFonts w:hint="default"/>
                      <w:color w:val="auto"/>
                      <w:highlight w:val="none"/>
                    </w:rPr>
                    <w:t>符合所述要求。</w:t>
                  </w:r>
                </w:p>
              </w:tc>
              <w:tc>
                <w:tcPr>
                  <w:tcW w:w="621"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2" w:type="dxa"/>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12</w:t>
                  </w:r>
                </w:p>
              </w:tc>
              <w:tc>
                <w:tcPr>
                  <w:tcW w:w="2597"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总平面布置，应结合当地气象条件，使建筑物具有良好的朝向、采光和自然通风条件。高温、热加工、有特殊要求和人员较多的建筑物，应避免西晒。</w:t>
                  </w:r>
                </w:p>
              </w:tc>
              <w:tc>
                <w:tcPr>
                  <w:tcW w:w="1453"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《工业企业总平面设计规范》（GB50187-2012）第5.1.6条</w:t>
                  </w:r>
                </w:p>
              </w:tc>
              <w:tc>
                <w:tcPr>
                  <w:tcW w:w="1927" w:type="dxa"/>
                  <w:tcBorders>
                    <w:tl2br w:val="nil"/>
                    <w:tr2bl w:val="nil"/>
                  </w:tcBorders>
                  <w:noWrap w:val="0"/>
                  <w:vAlign w:val="center"/>
                </w:tcPr>
                <w:p>
                  <w:pPr>
                    <w:pStyle w:val="34"/>
                    <w:bidi w:val="0"/>
                    <w:rPr>
                      <w:rFonts w:hint="default"/>
                      <w:color w:val="auto"/>
                      <w:highlight w:val="none"/>
                    </w:rPr>
                  </w:pPr>
                  <w:r>
                    <w:rPr>
                      <w:rFonts w:hint="eastAsia"/>
                      <w:color w:val="auto"/>
                      <w:highlight w:val="none"/>
                      <w:lang w:val="en-US" w:eastAsia="zh-CN"/>
                    </w:rPr>
                    <w:t>本项目</w:t>
                  </w:r>
                  <w:r>
                    <w:rPr>
                      <w:rFonts w:hint="default"/>
                      <w:color w:val="auto"/>
                      <w:highlight w:val="none"/>
                    </w:rPr>
                    <w:t>制氧站区平面布置结合当地气象条件，使建筑物具有良好的朝向、采光和自然通风条件，避免西晒。</w:t>
                  </w:r>
                </w:p>
              </w:tc>
              <w:tc>
                <w:tcPr>
                  <w:tcW w:w="621"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2" w:type="dxa"/>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13</w:t>
                  </w:r>
                </w:p>
              </w:tc>
              <w:tc>
                <w:tcPr>
                  <w:tcW w:w="2597"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总平面布置应采取防止高温、有害气体、烟、雾、粉尘、强烈振动和高噪声对周围环境和人身安全的危害的安全保障措施， 并应符合现行国家有关工业企业卫生设计标准的规定。</w:t>
                  </w:r>
                </w:p>
              </w:tc>
              <w:tc>
                <w:tcPr>
                  <w:tcW w:w="1453"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《工业企业总平面设计规范》（GB50187-2012） 第5.1.7条</w:t>
                  </w:r>
                </w:p>
              </w:tc>
              <w:tc>
                <w:tcPr>
                  <w:tcW w:w="1927" w:type="dxa"/>
                  <w:tcBorders>
                    <w:tl2br w:val="nil"/>
                    <w:tr2bl w:val="nil"/>
                  </w:tcBorders>
                  <w:noWrap w:val="0"/>
                  <w:vAlign w:val="center"/>
                </w:tcPr>
                <w:p>
                  <w:pPr>
                    <w:pStyle w:val="34"/>
                    <w:bidi w:val="0"/>
                    <w:rPr>
                      <w:rFonts w:hint="default"/>
                      <w:color w:val="auto"/>
                      <w:highlight w:val="none"/>
                    </w:rPr>
                  </w:pPr>
                  <w:r>
                    <w:rPr>
                      <w:rFonts w:hint="eastAsia"/>
                      <w:color w:val="auto"/>
                      <w:highlight w:val="none"/>
                      <w:lang w:val="en-US" w:eastAsia="zh-CN"/>
                    </w:rPr>
                    <w:t>本项目</w:t>
                  </w:r>
                  <w:r>
                    <w:rPr>
                      <w:rFonts w:hint="default"/>
                      <w:color w:val="auto"/>
                      <w:highlight w:val="none"/>
                    </w:rPr>
                    <w:t>制氧站原料为空气，产品为氧气</w:t>
                  </w:r>
                  <w:r>
                    <w:rPr>
                      <w:rFonts w:hint="eastAsia"/>
                      <w:color w:val="auto"/>
                      <w:highlight w:val="none"/>
                      <w:lang w:eastAsia="zh-CN"/>
                    </w:rPr>
                    <w:t>，</w:t>
                  </w:r>
                  <w:r>
                    <w:rPr>
                      <w:rFonts w:hint="default"/>
                      <w:color w:val="auto"/>
                      <w:highlight w:val="none"/>
                    </w:rPr>
                    <w:t>站内采取降噪措施。</w:t>
                  </w:r>
                </w:p>
              </w:tc>
              <w:tc>
                <w:tcPr>
                  <w:tcW w:w="621"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2" w:type="dxa"/>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14</w:t>
                  </w:r>
                </w:p>
              </w:tc>
              <w:tc>
                <w:tcPr>
                  <w:tcW w:w="2597" w:type="dxa"/>
                  <w:tcBorders>
                    <w:tl2br w:val="nil"/>
                    <w:tr2bl w:val="nil"/>
                  </w:tcBorders>
                  <w:noWrap w:val="0"/>
                  <w:vAlign w:val="center"/>
                </w:tcPr>
                <w:p>
                  <w:pPr>
                    <w:pStyle w:val="34"/>
                    <w:bidi w:val="0"/>
                    <w:jc w:val="left"/>
                    <w:rPr>
                      <w:rFonts w:hint="default"/>
                      <w:color w:val="auto"/>
                      <w:highlight w:val="none"/>
                    </w:rPr>
                  </w:pPr>
                  <w:r>
                    <w:rPr>
                      <w:rFonts w:hint="default"/>
                      <w:color w:val="auto"/>
                      <w:highlight w:val="none"/>
                    </w:rPr>
                    <w:t>总平面布置，应合理地组织货流和人流，并应符合下列要求：</w:t>
                  </w:r>
                </w:p>
                <w:p>
                  <w:pPr>
                    <w:pStyle w:val="34"/>
                    <w:bidi w:val="0"/>
                    <w:jc w:val="left"/>
                    <w:rPr>
                      <w:rFonts w:hint="default"/>
                      <w:color w:val="auto"/>
                      <w:highlight w:val="none"/>
                    </w:rPr>
                  </w:pPr>
                  <w:r>
                    <w:rPr>
                      <w:rFonts w:hint="default"/>
                      <w:color w:val="auto"/>
                      <w:highlight w:val="none"/>
                    </w:rPr>
                    <w:t>1）运输线路的布置，应保证物流顺畅、径路短捷、不折返；</w:t>
                  </w:r>
                </w:p>
                <w:p>
                  <w:pPr>
                    <w:pStyle w:val="34"/>
                    <w:bidi w:val="0"/>
                    <w:jc w:val="left"/>
                    <w:rPr>
                      <w:rFonts w:hint="default"/>
                      <w:color w:val="auto"/>
                      <w:highlight w:val="none"/>
                    </w:rPr>
                  </w:pPr>
                  <w:r>
                    <w:rPr>
                      <w:rFonts w:hint="default"/>
                      <w:color w:val="auto"/>
                      <w:highlight w:val="none"/>
                    </w:rPr>
                    <w:t>2）应避免运输繁忙的铁路与道路平面交叉；</w:t>
                  </w:r>
                </w:p>
                <w:p>
                  <w:pPr>
                    <w:pStyle w:val="34"/>
                    <w:bidi w:val="0"/>
                    <w:jc w:val="left"/>
                    <w:rPr>
                      <w:rFonts w:hint="default"/>
                      <w:color w:val="auto"/>
                      <w:highlight w:val="none"/>
                    </w:rPr>
                  </w:pPr>
                  <w:r>
                    <w:rPr>
                      <w:rFonts w:hint="default"/>
                      <w:color w:val="auto"/>
                      <w:highlight w:val="none"/>
                    </w:rPr>
                    <w:t>3）应使人、货分流，应避免运输繁忙的货流与人流交叉；</w:t>
                  </w:r>
                </w:p>
                <w:p>
                  <w:pPr>
                    <w:pStyle w:val="34"/>
                    <w:bidi w:val="0"/>
                    <w:jc w:val="left"/>
                    <w:rPr>
                      <w:rFonts w:hint="default"/>
                      <w:color w:val="auto"/>
                      <w:highlight w:val="none"/>
                    </w:rPr>
                  </w:pPr>
                  <w:r>
                    <w:rPr>
                      <w:rFonts w:hint="default"/>
                      <w:color w:val="auto"/>
                      <w:highlight w:val="none"/>
                    </w:rPr>
                    <w:t>4）应避免进出厂的主要货流与企业外部交通干线的平面交叉。</w:t>
                  </w:r>
                </w:p>
              </w:tc>
              <w:tc>
                <w:tcPr>
                  <w:tcW w:w="1453"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《工业企业总平面设计规范》（GB50187-2012）第5.1.8条</w:t>
                  </w:r>
                </w:p>
              </w:tc>
              <w:tc>
                <w:tcPr>
                  <w:tcW w:w="1927" w:type="dxa"/>
                  <w:tcBorders>
                    <w:tl2br w:val="nil"/>
                    <w:tr2bl w:val="nil"/>
                  </w:tcBorders>
                  <w:noWrap w:val="0"/>
                  <w:vAlign w:val="center"/>
                </w:tcPr>
                <w:p>
                  <w:pPr>
                    <w:pStyle w:val="34"/>
                    <w:bidi w:val="0"/>
                    <w:rPr>
                      <w:rFonts w:hint="default"/>
                      <w:color w:val="auto"/>
                      <w:highlight w:val="none"/>
                    </w:rPr>
                  </w:pPr>
                  <w:r>
                    <w:rPr>
                      <w:rFonts w:hint="eastAsia"/>
                      <w:color w:val="auto"/>
                      <w:highlight w:val="none"/>
                      <w:lang w:val="en-US" w:eastAsia="zh-CN"/>
                    </w:rPr>
                    <w:t>本项目</w:t>
                  </w:r>
                  <w:r>
                    <w:rPr>
                      <w:rFonts w:hint="default"/>
                      <w:color w:val="auto"/>
                      <w:highlight w:val="none"/>
                    </w:rPr>
                    <w:t>制氧站内平面布置可以满足货流和人流分开设置，符合所述要求。</w:t>
                  </w:r>
                </w:p>
              </w:tc>
              <w:tc>
                <w:tcPr>
                  <w:tcW w:w="621"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2" w:type="dxa"/>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15</w:t>
                  </w:r>
                </w:p>
              </w:tc>
              <w:tc>
                <w:tcPr>
                  <w:tcW w:w="2597"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行政办公及生活服务设施的布置，应位于厂区全年最小频率风向的下风侧，并应符合下列要求：1）应布置在便于行政办公、环境洁净、靠近主要人流出入口、与城镇和居住区联系方便的位置；2）行政办公及生活服务设施的用地面积，不得超过工业项目总用地面积的7%。</w:t>
                  </w:r>
                </w:p>
              </w:tc>
              <w:tc>
                <w:tcPr>
                  <w:tcW w:w="1453"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《工业企业总平面设计规范》（GB50187-2012）第5.7.1条</w:t>
                  </w:r>
                </w:p>
              </w:tc>
              <w:tc>
                <w:tcPr>
                  <w:tcW w:w="1927" w:type="dxa"/>
                  <w:tcBorders>
                    <w:tl2br w:val="nil"/>
                    <w:tr2bl w:val="nil"/>
                  </w:tcBorders>
                  <w:noWrap w:val="0"/>
                  <w:vAlign w:val="center"/>
                </w:tcPr>
                <w:p>
                  <w:pPr>
                    <w:pStyle w:val="34"/>
                    <w:bidi w:val="0"/>
                    <w:rPr>
                      <w:rFonts w:hint="default"/>
                      <w:color w:val="auto"/>
                      <w:highlight w:val="none"/>
                    </w:rPr>
                  </w:pPr>
                  <w:r>
                    <w:rPr>
                      <w:rFonts w:hint="eastAsia"/>
                      <w:color w:val="auto"/>
                      <w:highlight w:val="none"/>
                      <w:lang w:val="en-US" w:eastAsia="zh-CN"/>
                    </w:rPr>
                    <w:t>本项目</w:t>
                  </w:r>
                  <w:r>
                    <w:rPr>
                      <w:rFonts w:hint="default"/>
                      <w:color w:val="auto"/>
                      <w:highlight w:val="none"/>
                    </w:rPr>
                    <w:t>制氧站的办公生活区依托</w:t>
                  </w:r>
                  <w:r>
                    <w:rPr>
                      <w:rFonts w:hint="eastAsia"/>
                      <w:color w:val="auto"/>
                      <w:highlight w:val="none"/>
                      <w:lang w:val="en-US" w:eastAsia="zh-CN"/>
                    </w:rPr>
                    <w:t>易门铜业有限公司</w:t>
                  </w:r>
                  <w:r>
                    <w:rPr>
                      <w:rFonts w:hint="default"/>
                      <w:color w:val="auto"/>
                      <w:highlight w:val="none"/>
                    </w:rPr>
                    <w:t>现有</w:t>
                  </w:r>
                  <w:r>
                    <w:rPr>
                      <w:rFonts w:hint="eastAsia"/>
                      <w:color w:val="auto"/>
                      <w:highlight w:val="none"/>
                      <w:lang w:val="en-US" w:eastAsia="zh-CN"/>
                    </w:rPr>
                    <w:t>办公生活区</w:t>
                  </w:r>
                  <w:r>
                    <w:rPr>
                      <w:rFonts w:hint="default"/>
                      <w:color w:val="auto"/>
                      <w:highlight w:val="none"/>
                    </w:rPr>
                    <w:t>，其位于整</w:t>
                  </w:r>
                  <w:r>
                    <w:rPr>
                      <w:rFonts w:hint="eastAsia"/>
                      <w:color w:val="auto"/>
                      <w:highlight w:val="none"/>
                      <w:lang w:val="en-US" w:eastAsia="zh-CN"/>
                    </w:rPr>
                    <w:t>个</w:t>
                  </w:r>
                  <w:r>
                    <w:rPr>
                      <w:rFonts w:hint="default"/>
                      <w:color w:val="auto"/>
                      <w:highlight w:val="none"/>
                    </w:rPr>
                    <w:t>厂区全年最小频率风向的</w:t>
                  </w:r>
                  <w:r>
                    <w:rPr>
                      <w:rFonts w:hint="default"/>
                      <w:color w:val="auto"/>
                      <w:highlight w:val="none"/>
                      <w:lang w:val="en-US" w:eastAsia="zh-CN"/>
                    </w:rPr>
                    <w:t>下</w:t>
                  </w:r>
                  <w:r>
                    <w:rPr>
                      <w:rFonts w:hint="default"/>
                      <w:color w:val="auto"/>
                      <w:highlight w:val="none"/>
                    </w:rPr>
                    <w:t>风侧。</w:t>
                  </w:r>
                </w:p>
              </w:tc>
              <w:tc>
                <w:tcPr>
                  <w:tcW w:w="621"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2" w:type="dxa"/>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16</w:t>
                  </w:r>
                </w:p>
              </w:tc>
              <w:tc>
                <w:tcPr>
                  <w:tcW w:w="2597"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员工宿舍严禁设置在厂房内。</w:t>
                  </w:r>
                </w:p>
              </w:tc>
              <w:tc>
                <w:tcPr>
                  <w:tcW w:w="1453"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《建筑设计防火规范（2018年版）》（GB50016-2014）第3.3.5条</w:t>
                  </w:r>
                </w:p>
              </w:tc>
              <w:tc>
                <w:tcPr>
                  <w:tcW w:w="1927" w:type="dxa"/>
                  <w:tcBorders>
                    <w:tl2br w:val="nil"/>
                    <w:tr2bl w:val="nil"/>
                  </w:tcBorders>
                  <w:noWrap w:val="0"/>
                  <w:vAlign w:val="center"/>
                </w:tcPr>
                <w:p>
                  <w:pPr>
                    <w:pStyle w:val="34"/>
                    <w:bidi w:val="0"/>
                    <w:rPr>
                      <w:rFonts w:hint="default"/>
                      <w:color w:val="auto"/>
                      <w:highlight w:val="none"/>
                    </w:rPr>
                  </w:pPr>
                  <w:r>
                    <w:rPr>
                      <w:rFonts w:hint="eastAsia"/>
                      <w:color w:val="auto"/>
                      <w:highlight w:val="none"/>
                      <w:lang w:val="en-US" w:eastAsia="zh-CN"/>
                    </w:rPr>
                    <w:t>本项目</w:t>
                  </w:r>
                  <w:r>
                    <w:rPr>
                      <w:rFonts w:hint="default"/>
                      <w:color w:val="auto"/>
                      <w:highlight w:val="none"/>
                    </w:rPr>
                    <w:t>制氧</w:t>
                  </w:r>
                  <w:r>
                    <w:rPr>
                      <w:rFonts w:hint="eastAsia"/>
                      <w:color w:val="auto"/>
                      <w:highlight w:val="none"/>
                      <w:lang w:val="en-US" w:eastAsia="zh-CN"/>
                    </w:rPr>
                    <w:t>车间</w:t>
                  </w:r>
                  <w:r>
                    <w:rPr>
                      <w:rFonts w:hint="default"/>
                      <w:color w:val="auto"/>
                      <w:highlight w:val="none"/>
                    </w:rPr>
                    <w:t>内不设置员工宿舍。</w:t>
                  </w:r>
                </w:p>
              </w:tc>
              <w:tc>
                <w:tcPr>
                  <w:tcW w:w="621"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2" w:type="dxa"/>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17</w:t>
                  </w:r>
                </w:p>
              </w:tc>
              <w:tc>
                <w:tcPr>
                  <w:tcW w:w="2597" w:type="dxa"/>
                  <w:tcBorders>
                    <w:tl2br w:val="nil"/>
                    <w:tr2bl w:val="nil"/>
                  </w:tcBorders>
                  <w:noWrap w:val="0"/>
                  <w:vAlign w:val="top"/>
                </w:tcPr>
                <w:p>
                  <w:pPr>
                    <w:pStyle w:val="34"/>
                    <w:bidi w:val="0"/>
                    <w:rPr>
                      <w:rFonts w:hint="default"/>
                      <w:color w:val="auto"/>
                      <w:highlight w:val="none"/>
                    </w:rPr>
                  </w:pPr>
                  <w:r>
                    <w:rPr>
                      <w:rFonts w:hint="default"/>
                      <w:color w:val="auto"/>
                      <w:highlight w:val="none"/>
                    </w:rPr>
                    <w:t>工厂、仓库区内应设置消防车道。高层厂房，占地面积大于3000m</w:t>
                  </w:r>
                  <w:r>
                    <w:rPr>
                      <w:rFonts w:hint="default"/>
                      <w:color w:val="auto"/>
                      <w:highlight w:val="none"/>
                      <w:vertAlign w:val="superscript"/>
                    </w:rPr>
                    <w:t>2</w:t>
                  </w:r>
                  <w:r>
                    <w:rPr>
                      <w:rFonts w:hint="default"/>
                      <w:color w:val="auto"/>
                      <w:highlight w:val="none"/>
                    </w:rPr>
                    <w:t>的甲、乙、丙类厂房和占地面积大于1500m</w:t>
                  </w:r>
                  <w:r>
                    <w:rPr>
                      <w:rFonts w:hint="default"/>
                      <w:color w:val="auto"/>
                      <w:highlight w:val="none"/>
                      <w:vertAlign w:val="superscript"/>
                    </w:rPr>
                    <w:t>2</w:t>
                  </w:r>
                  <w:r>
                    <w:rPr>
                      <w:rFonts w:hint="default"/>
                      <w:color w:val="auto"/>
                      <w:highlight w:val="none"/>
                    </w:rPr>
                    <w:t>的乙、丙类仓库，应设置环形消防车道，确有困难时，应沿建筑物的两个长边设置消防车道。</w:t>
                  </w:r>
                </w:p>
              </w:tc>
              <w:tc>
                <w:tcPr>
                  <w:tcW w:w="1453"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《建筑设计防火规范（2018年版）》（GB50016-2014）第7.1.3条</w:t>
                  </w:r>
                </w:p>
              </w:tc>
              <w:tc>
                <w:tcPr>
                  <w:tcW w:w="1927" w:type="dxa"/>
                  <w:tcBorders>
                    <w:tl2br w:val="nil"/>
                    <w:tr2bl w:val="nil"/>
                  </w:tcBorders>
                  <w:noWrap w:val="0"/>
                  <w:vAlign w:val="center"/>
                </w:tcPr>
                <w:p>
                  <w:pPr>
                    <w:pStyle w:val="34"/>
                    <w:bidi w:val="0"/>
                    <w:rPr>
                      <w:rFonts w:hint="default"/>
                      <w:color w:val="auto"/>
                      <w:highlight w:val="none"/>
                    </w:rPr>
                  </w:pPr>
                  <w:r>
                    <w:rPr>
                      <w:rFonts w:hint="eastAsia"/>
                      <w:color w:val="auto"/>
                      <w:highlight w:val="none"/>
                      <w:lang w:val="en-US" w:eastAsia="zh-CN"/>
                    </w:rPr>
                    <w:t>本项目</w:t>
                  </w:r>
                  <w:r>
                    <w:rPr>
                      <w:rFonts w:hint="default"/>
                      <w:color w:val="auto"/>
                      <w:highlight w:val="none"/>
                    </w:rPr>
                    <w:t>制氧</w:t>
                  </w:r>
                  <w:r>
                    <w:rPr>
                      <w:rFonts w:hint="eastAsia"/>
                      <w:color w:val="auto"/>
                      <w:highlight w:val="none"/>
                      <w:lang w:val="en-US" w:eastAsia="zh-CN"/>
                    </w:rPr>
                    <w:t>车间</w:t>
                  </w:r>
                  <w:r>
                    <w:rPr>
                      <w:rFonts w:hint="default"/>
                      <w:color w:val="auto"/>
                      <w:highlight w:val="none"/>
                    </w:rPr>
                    <w:t>内</w:t>
                  </w:r>
                  <w:r>
                    <w:rPr>
                      <w:rFonts w:hint="eastAsia"/>
                      <w:color w:val="auto"/>
                      <w:highlight w:val="none"/>
                      <w:lang w:val="en-US" w:eastAsia="zh-CN"/>
                    </w:rPr>
                    <w:t>严格按照要求</w:t>
                  </w:r>
                  <w:r>
                    <w:rPr>
                      <w:rFonts w:hint="default"/>
                      <w:color w:val="auto"/>
                      <w:highlight w:val="none"/>
                    </w:rPr>
                    <w:t>设置消防通道，能满足消防要求。</w:t>
                  </w:r>
                </w:p>
              </w:tc>
              <w:tc>
                <w:tcPr>
                  <w:tcW w:w="621"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符合</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color w:val="auto"/>
                <w:highlight w:val="none"/>
                <w:lang w:val="en-US" w:eastAsia="zh-CN"/>
              </w:rPr>
            </w:pPr>
            <w:r>
              <w:rPr>
                <w:rFonts w:hint="eastAsia"/>
                <w:color w:val="auto"/>
                <w:highlight w:val="none"/>
                <w:lang w:val="en-US" w:eastAsia="zh-CN"/>
              </w:rPr>
              <w:t>根据上表分析结果，本项目的平面布置合理可行。</w:t>
            </w:r>
          </w:p>
          <w:p>
            <w:pPr>
              <w:pStyle w:val="40"/>
              <w:keepNext w:val="0"/>
              <w:keepLines w:val="0"/>
              <w:pageBreakBefore w:val="0"/>
              <w:widowControl w:val="0"/>
              <w:kinsoku/>
              <w:wordWrap/>
              <w:overflowPunct/>
              <w:topLinePunct w:val="0"/>
              <w:autoSpaceDE/>
              <w:autoSpaceDN/>
              <w:bidi w:val="0"/>
              <w:adjustRightInd/>
              <w:snapToGrid/>
              <w:textAlignment w:val="auto"/>
              <w:rPr>
                <w:rFonts w:hint="default"/>
                <w:color w:val="auto"/>
                <w:highlight w:val="none"/>
                <w:lang w:val="en-US" w:eastAsia="zh-CN"/>
              </w:rPr>
            </w:pPr>
            <w:r>
              <w:rPr>
                <w:rFonts w:hint="eastAsia"/>
                <w:color w:val="auto"/>
                <w:highlight w:val="none"/>
                <w:lang w:val="en-US" w:eastAsia="zh-CN"/>
              </w:rPr>
              <w:t>16</w:t>
            </w:r>
            <w:r>
              <w:rPr>
                <w:rFonts w:hint="default"/>
                <w:color w:val="auto"/>
                <w:highlight w:val="none"/>
                <w:lang w:val="en-US" w:eastAsia="zh-CN"/>
              </w:rPr>
              <w:t>、环境相容性分析</w:t>
            </w:r>
            <w:r>
              <w:rPr>
                <w:rFonts w:hint="eastAsia"/>
                <w:color w:val="auto"/>
                <w:highlight w:val="none"/>
                <w:lang w:val="en-US" w:eastAsia="zh-CN"/>
              </w:rPr>
              <w:t xml:space="preserve"> </w:t>
            </w:r>
          </w:p>
          <w:p>
            <w:pPr>
              <w:bidi w:val="0"/>
              <w:rPr>
                <w:rFonts w:hint="eastAsia"/>
                <w:color w:val="auto"/>
                <w:highlight w:val="none"/>
                <w:lang w:val="en-US" w:eastAsia="zh-CN"/>
              </w:rPr>
            </w:pPr>
            <w:r>
              <w:rPr>
                <w:rFonts w:hint="eastAsia"/>
                <w:color w:val="auto"/>
                <w:highlight w:val="none"/>
                <w:lang w:val="en-US" w:eastAsia="zh-CN"/>
              </w:rPr>
              <w:t>本项目位于云南易门产业园区大椿树片区，项目属于易门铜业有限公司配套的制氧系统技术改造节能项目，易门铜业有限公司与工业园区内部道路相连接，交通运输条件便利，</w:t>
            </w:r>
            <w:r>
              <w:rPr>
                <w:rFonts w:hint="eastAsia" w:ascii="宋体" w:hAnsi="宋体"/>
                <w:color w:val="auto"/>
                <w:sz w:val="24"/>
                <w:szCs w:val="24"/>
                <w:highlight w:val="none"/>
                <w:lang w:val="en-US" w:eastAsia="zh-CN"/>
              </w:rPr>
              <w:t>所在</w:t>
            </w:r>
            <w:r>
              <w:rPr>
                <w:rFonts w:hint="eastAsia" w:ascii="宋体" w:hAnsi="宋体"/>
                <w:color w:val="auto"/>
                <w:sz w:val="24"/>
                <w:szCs w:val="24"/>
                <w:highlight w:val="none"/>
                <w:lang w:eastAsia="zh-CN"/>
              </w:rPr>
              <w:t>区域对本项目</w:t>
            </w:r>
            <w:r>
              <w:rPr>
                <w:rFonts w:hint="eastAsia" w:ascii="宋体" w:hAnsi="宋体"/>
                <w:color w:val="auto"/>
                <w:sz w:val="24"/>
                <w:szCs w:val="24"/>
                <w:highlight w:val="none"/>
                <w:lang w:val="en-US" w:eastAsia="zh-CN"/>
              </w:rPr>
              <w:t>的建设</w:t>
            </w:r>
            <w:r>
              <w:rPr>
                <w:rFonts w:hint="eastAsia" w:ascii="宋体" w:hAnsi="宋体"/>
                <w:color w:val="auto"/>
                <w:sz w:val="24"/>
                <w:szCs w:val="24"/>
                <w:highlight w:val="none"/>
                <w:lang w:eastAsia="zh-CN"/>
              </w:rPr>
              <w:t>无制约因素。本项目</w:t>
            </w:r>
            <w:r>
              <w:rPr>
                <w:rFonts w:hint="eastAsia" w:ascii="宋体" w:hAnsi="宋体"/>
                <w:color w:val="auto"/>
                <w:sz w:val="24"/>
                <w:szCs w:val="24"/>
                <w:highlight w:val="none"/>
                <w:lang w:val="en-US" w:eastAsia="zh-CN"/>
              </w:rPr>
              <w:t>为制氧系统技术改造节能项目，属于易门铜业有限公司铜冶炼配套公用工程，</w:t>
            </w:r>
            <w:r>
              <w:rPr>
                <w:rFonts w:hint="eastAsia" w:ascii="宋体" w:hAnsi="宋体"/>
                <w:color w:val="auto"/>
                <w:sz w:val="24"/>
                <w:szCs w:val="24"/>
                <w:highlight w:val="none"/>
                <w:lang w:eastAsia="zh-CN"/>
              </w:rPr>
              <w:t>与周围环境功能兼容，项目</w:t>
            </w:r>
            <w:r>
              <w:rPr>
                <w:rFonts w:hint="eastAsia" w:ascii="宋体" w:hAnsi="宋体"/>
                <w:color w:val="auto"/>
                <w:sz w:val="24"/>
                <w:szCs w:val="24"/>
                <w:highlight w:val="none"/>
                <w:lang w:val="en-US" w:eastAsia="zh-CN"/>
              </w:rPr>
              <w:t>的</w:t>
            </w:r>
            <w:r>
              <w:rPr>
                <w:rFonts w:hint="eastAsia" w:ascii="宋体" w:hAnsi="宋体"/>
                <w:color w:val="auto"/>
                <w:sz w:val="24"/>
                <w:szCs w:val="24"/>
                <w:highlight w:val="none"/>
                <w:lang w:eastAsia="zh-CN"/>
              </w:rPr>
              <w:t>建设不会改变当地环境功能；</w:t>
            </w:r>
            <w:r>
              <w:rPr>
                <w:rFonts w:hint="eastAsia" w:ascii="宋体" w:hAnsi="宋体"/>
                <w:color w:val="auto"/>
                <w:sz w:val="24"/>
                <w:szCs w:val="24"/>
                <w:highlight w:val="none"/>
                <w:lang w:val="en-US" w:eastAsia="zh-CN"/>
              </w:rPr>
              <w:t>本项目建设单位在</w:t>
            </w:r>
            <w:r>
              <w:rPr>
                <w:rFonts w:hint="eastAsia" w:ascii="宋体" w:hAnsi="宋体"/>
                <w:color w:val="auto"/>
                <w:sz w:val="24"/>
                <w:szCs w:val="24"/>
                <w:highlight w:val="none"/>
                <w:lang w:eastAsia="zh-CN"/>
              </w:rPr>
              <w:t>落实本环评报告中提出的</w:t>
            </w:r>
            <w:r>
              <w:rPr>
                <w:rFonts w:hint="eastAsia" w:ascii="宋体" w:hAnsi="宋体"/>
                <w:color w:val="auto"/>
                <w:sz w:val="24"/>
                <w:szCs w:val="24"/>
                <w:highlight w:val="none"/>
                <w:lang w:val="en-US" w:eastAsia="zh-CN"/>
              </w:rPr>
              <w:t>各项污染</w:t>
            </w:r>
            <w:r>
              <w:rPr>
                <w:rFonts w:hint="eastAsia" w:ascii="宋体" w:hAnsi="宋体"/>
                <w:color w:val="auto"/>
                <w:sz w:val="24"/>
                <w:szCs w:val="24"/>
                <w:highlight w:val="none"/>
                <w:lang w:eastAsia="zh-CN"/>
              </w:rPr>
              <w:t>治理措施</w:t>
            </w:r>
            <w:r>
              <w:rPr>
                <w:rFonts w:hint="eastAsia" w:ascii="宋体" w:hAnsi="宋体"/>
                <w:color w:val="auto"/>
                <w:sz w:val="24"/>
                <w:szCs w:val="24"/>
                <w:highlight w:val="none"/>
                <w:lang w:val="en-US" w:eastAsia="zh-CN"/>
              </w:rPr>
              <w:t>后</w:t>
            </w:r>
            <w:r>
              <w:rPr>
                <w:rFonts w:hint="eastAsia" w:ascii="宋体" w:hAnsi="宋体"/>
                <w:color w:val="auto"/>
                <w:sz w:val="24"/>
                <w:szCs w:val="24"/>
                <w:highlight w:val="none"/>
                <w:lang w:eastAsia="zh-CN"/>
              </w:rPr>
              <w:t>，项目的建设和运营对周边环境影响较小。项目周边无特殊保护文物古迹、自然保护区和特殊环境制约因素。项目所在区域交通运输方便，配套设施齐全，劳动力资源丰富。因此本</w:t>
            </w:r>
            <w:r>
              <w:rPr>
                <w:rFonts w:hint="eastAsia" w:ascii="宋体" w:hAnsi="宋体"/>
                <w:color w:val="auto"/>
                <w:sz w:val="24"/>
                <w:szCs w:val="24"/>
                <w:highlight w:val="none"/>
                <w:lang w:val="en-US" w:eastAsia="zh-CN"/>
              </w:rPr>
              <w:t>项目</w:t>
            </w:r>
            <w:r>
              <w:rPr>
                <w:rFonts w:hint="eastAsia" w:ascii="宋体" w:hAnsi="宋体"/>
                <w:color w:val="auto"/>
                <w:sz w:val="24"/>
                <w:szCs w:val="24"/>
                <w:highlight w:val="none"/>
                <w:lang w:eastAsia="zh-CN"/>
              </w:rPr>
              <w:t>与区域环境兼容。</w:t>
            </w:r>
          </w:p>
          <w:p>
            <w:pPr>
              <w:pStyle w:val="40"/>
              <w:bidi w:val="0"/>
              <w:rPr>
                <w:rFonts w:hint="default"/>
                <w:color w:val="auto"/>
                <w:highlight w:val="none"/>
                <w:lang w:val="en-US" w:eastAsia="zh-CN"/>
              </w:rPr>
            </w:pPr>
            <w:r>
              <w:rPr>
                <w:rFonts w:hint="eastAsia"/>
                <w:color w:val="auto"/>
                <w:highlight w:val="none"/>
                <w:lang w:val="en-US" w:eastAsia="zh-CN"/>
              </w:rPr>
              <w:t>17</w:t>
            </w:r>
            <w:r>
              <w:rPr>
                <w:rFonts w:hint="default"/>
                <w:color w:val="auto"/>
                <w:highlight w:val="none"/>
                <w:lang w:val="en-US" w:eastAsia="zh-CN"/>
              </w:rPr>
              <w:t>、项目选址符合性分析</w:t>
            </w:r>
            <w:bookmarkEnd w:id="236"/>
          </w:p>
          <w:p>
            <w:pPr>
              <w:pageBreakBefore w:val="0"/>
              <w:widowControl w:val="0"/>
              <w:kinsoku/>
              <w:wordWrap/>
              <w:overflowPunct/>
              <w:topLinePunct w:val="0"/>
              <w:autoSpaceDE/>
              <w:autoSpaceDN/>
              <w:bidi w:val="0"/>
              <w:adjustRightInd/>
              <w:snapToGrid/>
              <w:ind w:firstLine="480" w:firstLineChars="200"/>
              <w:textAlignment w:val="auto"/>
              <w:rPr>
                <w:rFonts w:hint="default" w:cs="Times New Roman"/>
                <w:color w:val="auto"/>
                <w:highlight w:val="none"/>
                <w:lang w:val="en-US" w:eastAsia="zh-CN"/>
              </w:rPr>
            </w:pPr>
            <w:r>
              <w:rPr>
                <w:rFonts w:hint="eastAsia" w:ascii="Times New Roman" w:hAnsi="Times New Roman" w:eastAsia="宋体" w:cs="Times New Roman"/>
                <w:caps w:val="0"/>
                <w:smallCaps w:val="0"/>
                <w:color w:val="auto"/>
                <w:kern w:val="2"/>
                <w:sz w:val="24"/>
                <w:szCs w:val="24"/>
                <w:highlight w:val="none"/>
                <w:lang w:val="en-US" w:eastAsia="zh-CN" w:bidi="ar-SA"/>
              </w:rPr>
              <w:t>本项目为</w:t>
            </w:r>
            <w:r>
              <w:rPr>
                <w:rFonts w:hint="eastAsia"/>
                <w:color w:val="auto"/>
                <w:highlight w:val="none"/>
                <w:lang w:val="en-US" w:eastAsia="zh-CN"/>
              </w:rPr>
              <w:t>制氧系统技术改造节能项目，属于易门铜业有限公司铜冶炼配套公用工程</w:t>
            </w:r>
            <w:r>
              <w:rPr>
                <w:rFonts w:hint="default" w:ascii="Times New Roman" w:hAnsi="Times New Roman" w:eastAsia="宋体" w:cs="Times New Roman"/>
                <w:caps w:val="0"/>
                <w:smallCaps w:val="0"/>
                <w:color w:val="auto"/>
                <w:kern w:val="2"/>
                <w:sz w:val="24"/>
                <w:szCs w:val="24"/>
                <w:highlight w:val="none"/>
                <w:lang w:val="en-US" w:eastAsia="zh-CN" w:bidi="ar-SA"/>
              </w:rPr>
              <w:t>，</w:t>
            </w:r>
            <w:r>
              <w:rPr>
                <w:rFonts w:hint="default"/>
                <w:color w:val="auto"/>
                <w:highlight w:val="none"/>
              </w:rPr>
              <w:t>位于</w:t>
            </w:r>
            <w:r>
              <w:rPr>
                <w:rFonts w:hint="eastAsia"/>
                <w:color w:val="auto"/>
                <w:highlight w:val="none"/>
                <w:lang w:val="en-US" w:eastAsia="zh-CN"/>
              </w:rPr>
              <w:t>云南易门产业园区大椿树片区易门铜业有限公司既有厂区范围内</w:t>
            </w:r>
            <w:r>
              <w:rPr>
                <w:rFonts w:hint="eastAsia"/>
                <w:color w:val="auto"/>
                <w:highlight w:val="none"/>
                <w:lang w:eastAsia="zh-CN"/>
              </w:rPr>
              <w:t>，</w:t>
            </w:r>
            <w:r>
              <w:rPr>
                <w:rFonts w:hint="default" w:ascii="Times New Roman" w:hAnsi="Times New Roman" w:eastAsia="宋体" w:cs="Times New Roman"/>
                <w:color w:val="auto"/>
                <w:sz w:val="24"/>
                <w:szCs w:val="24"/>
                <w:highlight w:val="none"/>
                <w:lang w:val="en-US" w:eastAsia="zh-CN"/>
              </w:rPr>
              <w:t>项目用地类型为</w:t>
            </w:r>
            <w:r>
              <w:rPr>
                <w:rFonts w:hint="eastAsia" w:cs="Times New Roman"/>
                <w:color w:val="auto"/>
                <w:sz w:val="24"/>
                <w:szCs w:val="24"/>
                <w:highlight w:val="none"/>
                <w:lang w:val="en-US" w:eastAsia="zh-CN"/>
              </w:rPr>
              <w:t>工业用地</w:t>
            </w:r>
            <w:r>
              <w:rPr>
                <w:rFonts w:hint="default" w:ascii="Times New Roman" w:hAnsi="Times New Roman" w:eastAsia="宋体" w:cs="Times New Roman"/>
                <w:color w:val="auto"/>
                <w:sz w:val="24"/>
                <w:szCs w:val="24"/>
                <w:highlight w:val="none"/>
                <w:lang w:val="en-US" w:eastAsia="zh-CN"/>
              </w:rPr>
              <w:t>，项目所在区域地势平坦，地质条件良好。</w:t>
            </w:r>
            <w:r>
              <w:rPr>
                <w:rFonts w:hint="eastAsia"/>
                <w:color w:val="auto"/>
                <w:highlight w:val="none"/>
                <w:lang w:val="en-US" w:eastAsia="zh-CN"/>
              </w:rPr>
              <w:t>本次改建不新增用地，</w:t>
            </w:r>
            <w:r>
              <w:rPr>
                <w:color w:val="auto"/>
                <w:highlight w:val="none"/>
              </w:rPr>
              <w:t>不涉及占用</w:t>
            </w:r>
            <w:r>
              <w:rPr>
                <w:rFonts w:hint="eastAsia"/>
                <w:color w:val="auto"/>
                <w:highlight w:val="none"/>
                <w:lang w:val="en-US" w:eastAsia="zh-CN"/>
              </w:rPr>
              <w:t>易门县</w:t>
            </w:r>
            <w:r>
              <w:rPr>
                <w:color w:val="auto"/>
                <w:highlight w:val="none"/>
              </w:rPr>
              <w:t>生态</w:t>
            </w:r>
            <w:r>
              <w:rPr>
                <w:rFonts w:hint="eastAsia"/>
                <w:color w:val="auto"/>
                <w:highlight w:val="none"/>
                <w:lang w:val="en-US" w:eastAsia="zh-CN"/>
              </w:rPr>
              <w:t>保护</w:t>
            </w:r>
            <w:r>
              <w:rPr>
                <w:color w:val="auto"/>
                <w:highlight w:val="none"/>
              </w:rPr>
              <w:t>红线，符合</w:t>
            </w:r>
            <w:r>
              <w:rPr>
                <w:rFonts w:hint="eastAsia"/>
                <w:color w:val="auto"/>
                <w:highlight w:val="none"/>
                <w:lang w:val="en-US" w:eastAsia="zh-CN"/>
              </w:rPr>
              <w:t>云南省和玉溪市</w:t>
            </w:r>
            <w:r>
              <w:rPr>
                <w:rFonts w:hint="eastAsia"/>
                <w:color w:val="auto"/>
                <w:highlight w:val="none"/>
                <w:lang w:eastAsia="zh-CN"/>
              </w:rPr>
              <w:t>“</w:t>
            </w:r>
            <w:r>
              <w:rPr>
                <w:rFonts w:hint="eastAsia"/>
                <w:color w:val="auto"/>
                <w:highlight w:val="none"/>
                <w:lang w:val="en-US" w:eastAsia="zh-CN"/>
              </w:rPr>
              <w:t>三线一单</w:t>
            </w:r>
            <w:r>
              <w:rPr>
                <w:rFonts w:hint="eastAsia"/>
                <w:color w:val="auto"/>
                <w:highlight w:val="none"/>
                <w:lang w:eastAsia="zh-CN"/>
              </w:rPr>
              <w:t>”</w:t>
            </w:r>
            <w:r>
              <w:rPr>
                <w:rFonts w:hint="eastAsia"/>
                <w:color w:val="auto"/>
                <w:highlight w:val="none"/>
                <w:lang w:val="en-US" w:eastAsia="zh-CN"/>
              </w:rPr>
              <w:t>分区管控</w:t>
            </w:r>
            <w:r>
              <w:rPr>
                <w:color w:val="auto"/>
                <w:highlight w:val="none"/>
              </w:rPr>
              <w:t>要求</w:t>
            </w:r>
            <w:r>
              <w:rPr>
                <w:rFonts w:hint="eastAsia"/>
                <w:color w:val="auto"/>
                <w:highlight w:val="none"/>
                <w:lang w:val="en-US" w:eastAsia="zh-CN"/>
              </w:rPr>
              <w:t>。项目</w:t>
            </w:r>
            <w:r>
              <w:rPr>
                <w:rFonts w:hint="default"/>
                <w:color w:val="auto"/>
                <w:highlight w:val="none"/>
              </w:rPr>
              <w:t>选址符合</w:t>
            </w:r>
            <w:r>
              <w:rPr>
                <w:rFonts w:hint="eastAsia"/>
                <w:color w:val="auto"/>
                <w:highlight w:val="none"/>
                <w:lang w:eastAsia="zh-CN"/>
              </w:rPr>
              <w:t>“</w:t>
            </w:r>
            <w:r>
              <w:rPr>
                <w:rFonts w:hint="eastAsia"/>
                <w:color w:val="auto"/>
                <w:highlight w:val="none"/>
                <w:lang w:val="en-US" w:eastAsia="zh-CN"/>
              </w:rPr>
              <w:t>云南易门产业</w:t>
            </w:r>
            <w:r>
              <w:rPr>
                <w:rFonts w:hint="default"/>
                <w:color w:val="auto"/>
                <w:highlight w:val="none"/>
              </w:rPr>
              <w:t>园区总体规划</w:t>
            </w:r>
            <w:r>
              <w:rPr>
                <w:rFonts w:hint="eastAsia"/>
                <w:color w:val="auto"/>
                <w:highlight w:val="none"/>
                <w:lang w:eastAsia="zh-CN"/>
              </w:rPr>
              <w:t>”</w:t>
            </w:r>
            <w:r>
              <w:rPr>
                <w:rFonts w:hint="eastAsia"/>
                <w:color w:val="auto"/>
                <w:highlight w:val="none"/>
                <w:lang w:val="en-US" w:eastAsia="zh-CN"/>
              </w:rPr>
              <w:t>及“易门县国土空间规划”的相关要求，符合</w:t>
            </w:r>
            <w:r>
              <w:rPr>
                <w:rFonts w:hint="default"/>
                <w:color w:val="auto"/>
                <w:highlight w:val="none"/>
                <w:lang w:val="zh-CN" w:eastAsia="zh-CN"/>
              </w:rPr>
              <w:t>《氧气站设计规范》</w:t>
            </w:r>
            <w:r>
              <w:rPr>
                <w:rFonts w:hint="eastAsia"/>
                <w:color w:val="auto"/>
                <w:highlight w:val="none"/>
                <w:lang w:val="en-US" w:eastAsia="zh-CN"/>
              </w:rPr>
              <w:t>的相关要求。</w:t>
            </w:r>
            <w:r>
              <w:rPr>
                <w:rFonts w:hint="eastAsia" w:ascii="宋体" w:hAnsi="宋体"/>
                <w:color w:val="auto"/>
                <w:sz w:val="24"/>
                <w:szCs w:val="24"/>
                <w:highlight w:val="none"/>
                <w:lang w:val="en-US" w:eastAsia="zh-CN"/>
              </w:rPr>
              <w:t>且本项目已取得</w:t>
            </w:r>
            <w:r>
              <w:rPr>
                <w:rFonts w:hint="eastAsia"/>
                <w:color w:val="auto"/>
                <w:highlight w:val="none"/>
                <w:lang w:val="en-US" w:eastAsia="zh-CN"/>
              </w:rPr>
              <w:t>云南易门产业园区</w:t>
            </w:r>
            <w:r>
              <w:rPr>
                <w:rFonts w:hint="eastAsia"/>
                <w:color w:val="auto"/>
                <w:highlight w:val="none"/>
              </w:rPr>
              <w:t>管理委</w:t>
            </w:r>
            <w:r>
              <w:rPr>
                <w:rFonts w:hint="eastAsia"/>
                <w:color w:val="auto"/>
                <w:highlight w:val="none"/>
                <w:lang w:eastAsia="zh-CN"/>
              </w:rPr>
              <w:t>员会</w:t>
            </w:r>
            <w:r>
              <w:rPr>
                <w:rFonts w:hint="eastAsia"/>
                <w:color w:val="auto"/>
                <w:highlight w:val="none"/>
                <w:lang w:val="en-US" w:eastAsia="zh-CN"/>
              </w:rPr>
              <w:t>出具的</w:t>
            </w:r>
            <w:r>
              <w:rPr>
                <w:rFonts w:hint="eastAsia"/>
                <w:color w:val="auto"/>
                <w:highlight w:val="none"/>
              </w:rPr>
              <w:t>“入园</w:t>
            </w:r>
            <w:r>
              <w:rPr>
                <w:rFonts w:hint="eastAsia"/>
                <w:color w:val="auto"/>
                <w:highlight w:val="none"/>
                <w:lang w:val="en-US" w:eastAsia="zh-CN"/>
              </w:rPr>
              <w:t>证明</w:t>
            </w:r>
            <w:r>
              <w:rPr>
                <w:rFonts w:hint="eastAsia"/>
                <w:color w:val="auto"/>
                <w:highlight w:val="none"/>
              </w:rPr>
              <w:t>”</w:t>
            </w:r>
            <w:r>
              <w:rPr>
                <w:rFonts w:hint="eastAsia"/>
                <w:color w:val="auto"/>
                <w:highlight w:val="none"/>
                <w:lang w:eastAsia="zh-CN"/>
              </w:rPr>
              <w:t>（</w:t>
            </w:r>
            <w:r>
              <w:rPr>
                <w:rFonts w:hint="eastAsia"/>
                <w:color w:val="auto"/>
                <w:highlight w:val="none"/>
                <w:lang w:val="en-US" w:eastAsia="zh-CN"/>
              </w:rPr>
              <w:t>详</w:t>
            </w:r>
            <w:r>
              <w:rPr>
                <w:rFonts w:hint="eastAsia"/>
                <w:color w:val="auto"/>
                <w:highlight w:val="none"/>
              </w:rPr>
              <w:t>见相关附件</w:t>
            </w:r>
            <w:r>
              <w:rPr>
                <w:rFonts w:hint="eastAsia"/>
                <w:color w:val="auto"/>
                <w:highlight w:val="none"/>
                <w:lang w:eastAsia="zh-CN"/>
              </w:rPr>
              <w:t>）</w:t>
            </w:r>
            <w:r>
              <w:rPr>
                <w:rFonts w:hint="default"/>
                <w:color w:val="auto"/>
                <w:highlight w:val="none"/>
              </w:rPr>
              <w:t>。</w:t>
            </w:r>
            <w:r>
              <w:rPr>
                <w:rFonts w:hint="eastAsia"/>
                <w:color w:val="auto"/>
                <w:highlight w:val="none"/>
                <w:lang w:val="en-US" w:eastAsia="zh-CN"/>
              </w:rPr>
              <w:t>此外，</w:t>
            </w:r>
            <w:r>
              <w:rPr>
                <w:rFonts w:hint="default" w:ascii="Times New Roman" w:hAnsi="Times New Roman" w:cs="Times New Roman" w:eastAsiaTheme="minorEastAsia"/>
                <w:color w:val="auto"/>
                <w:sz w:val="24"/>
                <w:szCs w:val="24"/>
                <w:highlight w:val="none"/>
                <w:lang w:val="en-US" w:eastAsia="zh-CN"/>
              </w:rPr>
              <w:t>项目</w:t>
            </w:r>
            <w:r>
              <w:rPr>
                <w:rFonts w:hint="eastAsia" w:cs="Times New Roman" w:eastAsiaTheme="minorEastAsia"/>
                <w:color w:val="auto"/>
                <w:sz w:val="24"/>
                <w:szCs w:val="24"/>
                <w:highlight w:val="none"/>
                <w:lang w:val="en-US" w:eastAsia="zh-CN"/>
              </w:rPr>
              <w:t>所在区域</w:t>
            </w:r>
            <w:r>
              <w:rPr>
                <w:rFonts w:hint="default" w:ascii="Times New Roman" w:hAnsi="Times New Roman" w:cs="Times New Roman" w:eastAsiaTheme="minorEastAsia"/>
                <w:color w:val="auto"/>
                <w:sz w:val="24"/>
                <w:szCs w:val="24"/>
                <w:highlight w:val="none"/>
                <w:lang w:val="en-US" w:eastAsia="zh-CN"/>
              </w:rPr>
              <w:t>不属于法律、法规规定的其他禁止建设区域</w:t>
            </w:r>
            <w:r>
              <w:rPr>
                <w:rFonts w:hint="eastAsia" w:cs="Times New Roman" w:eastAsiaTheme="minorEastAsia"/>
                <w:color w:val="auto"/>
                <w:sz w:val="24"/>
                <w:szCs w:val="24"/>
                <w:highlight w:val="none"/>
                <w:lang w:val="en-US" w:eastAsia="zh-CN"/>
              </w:rPr>
              <w:t>；</w:t>
            </w:r>
            <w:r>
              <w:rPr>
                <w:rFonts w:hint="default" w:ascii="Times New Roman" w:hAnsi="Times New Roman" w:cs="Times New Roman" w:eastAsiaTheme="minorEastAsia"/>
                <w:color w:val="auto"/>
                <w:sz w:val="24"/>
                <w:szCs w:val="24"/>
                <w:highlight w:val="none"/>
                <w:lang w:val="en-US" w:eastAsia="zh-CN"/>
              </w:rPr>
              <w:t>项目区域范围内不涉及风景名胜区、自然保护区、饮用水源保护区等环境保护目标，项目建设不存在重大环境制约因素。</w:t>
            </w:r>
            <w:r>
              <w:rPr>
                <w:rFonts w:hint="default" w:ascii="Times New Roman" w:hAnsi="Times New Roman" w:cs="Times New Roman"/>
                <w:color w:val="auto"/>
                <w:highlight w:val="none"/>
                <w:lang w:val="en-US" w:eastAsia="zh-CN"/>
              </w:rPr>
              <w:t>故本项目选址合理可行</w:t>
            </w:r>
            <w:r>
              <w:rPr>
                <w:rFonts w:hint="eastAsia" w:cs="Times New Roman"/>
                <w:color w:val="auto"/>
                <w:highlight w:val="none"/>
                <w:lang w:val="en-US" w:eastAsia="zh-CN"/>
              </w:rPr>
              <w:t>。</w:t>
            </w:r>
          </w:p>
          <w:p>
            <w:pPr>
              <w:pageBreakBefore w:val="0"/>
              <w:widowControl w:val="0"/>
              <w:kinsoku/>
              <w:wordWrap/>
              <w:overflowPunct/>
              <w:topLinePunct w:val="0"/>
              <w:autoSpaceDE/>
              <w:autoSpaceDN/>
              <w:bidi w:val="0"/>
              <w:adjustRightInd/>
              <w:snapToGrid/>
              <w:ind w:firstLine="480" w:firstLineChars="200"/>
              <w:textAlignment w:val="auto"/>
              <w:rPr>
                <w:rFonts w:hint="default" w:cs="Times New Roman"/>
                <w:color w:val="auto"/>
                <w:highlight w:val="none"/>
                <w:lang w:val="en-US" w:eastAsia="zh-CN"/>
              </w:rPr>
            </w:pPr>
          </w:p>
          <w:p>
            <w:pPr>
              <w:pageBreakBefore w:val="0"/>
              <w:widowControl w:val="0"/>
              <w:kinsoku/>
              <w:wordWrap/>
              <w:overflowPunct/>
              <w:topLinePunct w:val="0"/>
              <w:autoSpaceDE/>
              <w:autoSpaceDN/>
              <w:bidi w:val="0"/>
              <w:adjustRightInd/>
              <w:snapToGrid/>
              <w:ind w:firstLine="480" w:firstLineChars="200"/>
              <w:textAlignment w:val="auto"/>
              <w:rPr>
                <w:rFonts w:hint="default" w:cs="Times New Roman"/>
                <w:color w:val="auto"/>
                <w:highlight w:val="none"/>
                <w:lang w:val="en-US" w:eastAsia="zh-CN"/>
              </w:rPr>
            </w:pPr>
          </w:p>
          <w:p>
            <w:pPr>
              <w:pageBreakBefore w:val="0"/>
              <w:widowControl w:val="0"/>
              <w:kinsoku/>
              <w:wordWrap/>
              <w:overflowPunct/>
              <w:topLinePunct w:val="0"/>
              <w:autoSpaceDE/>
              <w:autoSpaceDN/>
              <w:bidi w:val="0"/>
              <w:adjustRightInd/>
              <w:snapToGrid/>
              <w:ind w:firstLine="480" w:firstLineChars="200"/>
              <w:textAlignment w:val="auto"/>
              <w:rPr>
                <w:rFonts w:hint="default" w:cs="Times New Roman"/>
                <w:color w:val="auto"/>
                <w:highlight w:val="none"/>
                <w:lang w:val="en-US" w:eastAsia="zh-CN"/>
              </w:rPr>
            </w:pPr>
          </w:p>
          <w:p>
            <w:pPr>
              <w:pageBreakBefore w:val="0"/>
              <w:widowControl w:val="0"/>
              <w:kinsoku/>
              <w:wordWrap/>
              <w:overflowPunct/>
              <w:topLinePunct w:val="0"/>
              <w:autoSpaceDE/>
              <w:autoSpaceDN/>
              <w:bidi w:val="0"/>
              <w:adjustRightInd/>
              <w:snapToGrid/>
              <w:ind w:firstLine="480" w:firstLineChars="200"/>
              <w:textAlignment w:val="auto"/>
              <w:rPr>
                <w:rFonts w:hint="default" w:cs="Times New Roman"/>
                <w:color w:val="auto"/>
                <w:highlight w:val="none"/>
                <w:lang w:val="en-US" w:eastAsia="zh-CN"/>
              </w:rPr>
            </w:pPr>
          </w:p>
          <w:p>
            <w:pPr>
              <w:pageBreakBefore w:val="0"/>
              <w:widowControl w:val="0"/>
              <w:kinsoku/>
              <w:wordWrap/>
              <w:overflowPunct/>
              <w:topLinePunct w:val="0"/>
              <w:autoSpaceDE/>
              <w:autoSpaceDN/>
              <w:bidi w:val="0"/>
              <w:adjustRightInd/>
              <w:snapToGrid/>
              <w:ind w:firstLine="480" w:firstLineChars="200"/>
              <w:textAlignment w:val="auto"/>
              <w:rPr>
                <w:rFonts w:hint="default" w:cs="Times New Roman"/>
                <w:color w:val="auto"/>
                <w:highlight w:val="none"/>
                <w:lang w:val="en-US" w:eastAsia="zh-CN"/>
              </w:rPr>
            </w:pPr>
          </w:p>
          <w:p>
            <w:pPr>
              <w:pageBreakBefore w:val="0"/>
              <w:widowControl w:val="0"/>
              <w:kinsoku/>
              <w:wordWrap/>
              <w:overflowPunct/>
              <w:topLinePunct w:val="0"/>
              <w:autoSpaceDE/>
              <w:autoSpaceDN/>
              <w:bidi w:val="0"/>
              <w:adjustRightInd/>
              <w:snapToGrid/>
              <w:ind w:left="0" w:leftChars="0" w:firstLine="0" w:firstLineChars="0"/>
              <w:textAlignment w:val="auto"/>
              <w:rPr>
                <w:rFonts w:hint="default" w:cs="Times New Roman"/>
                <w:color w:val="auto"/>
                <w:highlight w:val="none"/>
                <w:lang w:val="en-US" w:eastAsia="zh-CN"/>
              </w:rPr>
            </w:pPr>
          </w:p>
          <w:p>
            <w:pPr>
              <w:pageBreakBefore w:val="0"/>
              <w:widowControl w:val="0"/>
              <w:kinsoku/>
              <w:wordWrap/>
              <w:overflowPunct/>
              <w:topLinePunct w:val="0"/>
              <w:autoSpaceDE/>
              <w:autoSpaceDN/>
              <w:bidi w:val="0"/>
              <w:adjustRightInd/>
              <w:snapToGrid/>
              <w:ind w:left="0" w:leftChars="0" w:firstLine="0" w:firstLineChars="0"/>
              <w:textAlignment w:val="auto"/>
              <w:rPr>
                <w:rFonts w:hint="default" w:cs="Times New Roman"/>
                <w:color w:val="auto"/>
                <w:highlight w:val="none"/>
                <w:lang w:val="en-US" w:eastAsia="zh-CN"/>
              </w:rPr>
            </w:pPr>
          </w:p>
        </w:tc>
      </w:tr>
    </w:tbl>
    <w:p>
      <w:pPr>
        <w:pStyle w:val="2"/>
        <w:bidi w:val="0"/>
        <w:rPr>
          <w:rFonts w:hint="default"/>
          <w:color w:val="auto"/>
          <w:highlight w:val="none"/>
          <w:lang w:eastAsia="zh-CN"/>
        </w:rPr>
      </w:pPr>
      <w:bookmarkStart w:id="239" w:name="_Toc11625"/>
      <w:bookmarkStart w:id="240" w:name="_Toc3124"/>
      <w:r>
        <w:rPr>
          <w:rFonts w:hint="default"/>
          <w:color w:val="auto"/>
          <w:highlight w:val="none"/>
          <w:lang w:val="en-US" w:eastAsia="zh-CN"/>
        </w:rPr>
        <w:t>二、</w:t>
      </w:r>
      <w:r>
        <w:rPr>
          <w:rFonts w:hint="default"/>
          <w:color w:val="auto"/>
          <w:highlight w:val="none"/>
          <w:lang w:eastAsia="zh-CN"/>
        </w:rPr>
        <w:t>建设项目工程分析</w:t>
      </w:r>
      <w:bookmarkEnd w:id="239"/>
      <w:bookmarkEnd w:id="240"/>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
        <w:gridCol w:w="8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Align w:val="center"/>
          </w:tcPr>
          <w:p>
            <w:pPr>
              <w:pStyle w:val="41"/>
              <w:bidi w:val="0"/>
              <w:rPr>
                <w:rFonts w:hint="default" w:ascii="Times New Roman" w:hAnsi="Times New Roman" w:cs="Times New Roman"/>
                <w:b/>
                <w:bCs/>
                <w:color w:val="auto"/>
                <w:highlight w:val="none"/>
                <w:vertAlign w:val="baseline"/>
                <w:lang w:val="en-US" w:eastAsia="zh-CN"/>
              </w:rPr>
            </w:pPr>
            <w:r>
              <w:rPr>
                <w:rFonts w:hint="eastAsia"/>
                <w:color w:val="auto"/>
                <w:highlight w:val="none"/>
                <w:lang w:val="en-US" w:eastAsia="zh-CN"/>
              </w:rPr>
              <w:t>建设内容</w:t>
            </w:r>
          </w:p>
        </w:tc>
        <w:tc>
          <w:tcPr>
            <w:tcW w:w="8007" w:type="dxa"/>
            <w:vAlign w:val="top"/>
          </w:tcPr>
          <w:p>
            <w:pPr>
              <w:bidi w:val="0"/>
              <w:rPr>
                <w:rFonts w:hint="eastAsia"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（一）企业概况</w:t>
            </w:r>
          </w:p>
          <w:p>
            <w:pPr>
              <w:bidi w:val="0"/>
              <w:rPr>
                <w:rFonts w:hint="eastAsia" w:eastAsia="宋体"/>
                <w:color w:val="auto"/>
                <w:highlight w:val="none"/>
                <w:lang w:val="en-US" w:eastAsia="zh-CN"/>
              </w:rPr>
            </w:pPr>
            <w:r>
              <w:rPr>
                <w:rFonts w:hint="eastAsia"/>
                <w:color w:val="auto"/>
                <w:highlight w:val="none"/>
              </w:rPr>
              <w:t>易门铜业有限公司（以下简称</w:t>
            </w:r>
            <w:r>
              <w:rPr>
                <w:color w:val="auto"/>
                <w:highlight w:val="none"/>
              </w:rPr>
              <w:t>“</w:t>
            </w:r>
            <w:r>
              <w:rPr>
                <w:rFonts w:hint="eastAsia"/>
                <w:color w:val="auto"/>
                <w:highlight w:val="none"/>
              </w:rPr>
              <w:t>易门铜业</w:t>
            </w:r>
            <w:r>
              <w:rPr>
                <w:color w:val="auto"/>
                <w:highlight w:val="none"/>
              </w:rPr>
              <w:t>”</w:t>
            </w:r>
            <w:r>
              <w:rPr>
                <w:rFonts w:hint="eastAsia"/>
                <w:color w:val="auto"/>
                <w:highlight w:val="none"/>
              </w:rPr>
              <w:t>）坐落于有</w:t>
            </w:r>
            <w:r>
              <w:rPr>
                <w:color w:val="auto"/>
                <w:highlight w:val="none"/>
              </w:rPr>
              <w:t>“</w:t>
            </w:r>
            <w:r>
              <w:rPr>
                <w:rFonts w:hint="eastAsia"/>
                <w:color w:val="auto"/>
                <w:highlight w:val="none"/>
              </w:rPr>
              <w:t>滇中水城，菌乡易门</w:t>
            </w:r>
            <w:r>
              <w:rPr>
                <w:color w:val="auto"/>
                <w:highlight w:val="none"/>
              </w:rPr>
              <w:t>”</w:t>
            </w:r>
            <w:r>
              <w:rPr>
                <w:rFonts w:hint="eastAsia"/>
                <w:color w:val="auto"/>
                <w:highlight w:val="none"/>
              </w:rPr>
              <w:t>美称的玉溪市易门县大椿树工业区，距离城中心</w:t>
            </w:r>
            <w:r>
              <w:rPr>
                <w:color w:val="auto"/>
                <w:highlight w:val="none"/>
              </w:rPr>
              <w:t>3</w:t>
            </w:r>
            <w:r>
              <w:rPr>
                <w:rFonts w:hint="eastAsia"/>
                <w:color w:val="auto"/>
                <w:highlight w:val="none"/>
              </w:rPr>
              <w:t>公里，公司环境优美，交通便利。该公司原属玉溪矿业有限公司控股，始建于</w:t>
            </w:r>
            <w:r>
              <w:rPr>
                <w:color w:val="auto"/>
                <w:highlight w:val="none"/>
              </w:rPr>
              <w:t>1993</w:t>
            </w:r>
            <w:r>
              <w:rPr>
                <w:rFonts w:hint="eastAsia"/>
                <w:color w:val="auto"/>
                <w:highlight w:val="none"/>
              </w:rPr>
              <w:t>年，投产于</w:t>
            </w:r>
            <w:r>
              <w:rPr>
                <w:color w:val="auto"/>
                <w:highlight w:val="none"/>
              </w:rPr>
              <w:t>1995</w:t>
            </w:r>
            <w:r>
              <w:rPr>
                <w:rFonts w:hint="eastAsia"/>
                <w:color w:val="auto"/>
                <w:highlight w:val="none"/>
              </w:rPr>
              <w:t>年，经</w:t>
            </w:r>
            <w:r>
              <w:rPr>
                <w:color w:val="auto"/>
                <w:highlight w:val="none"/>
              </w:rPr>
              <w:t>2009</w:t>
            </w:r>
            <w:r>
              <w:rPr>
                <w:rFonts w:hint="eastAsia"/>
                <w:color w:val="auto"/>
                <w:highlight w:val="none"/>
              </w:rPr>
              <w:t>年</w:t>
            </w:r>
            <w:r>
              <w:rPr>
                <w:color w:val="auto"/>
                <w:highlight w:val="none"/>
              </w:rPr>
              <w:t>5</w:t>
            </w:r>
            <w:r>
              <w:rPr>
                <w:rFonts w:hint="eastAsia"/>
                <w:color w:val="auto"/>
                <w:highlight w:val="none"/>
              </w:rPr>
              <w:t>月和</w:t>
            </w:r>
            <w:r>
              <w:rPr>
                <w:color w:val="auto"/>
                <w:highlight w:val="none"/>
              </w:rPr>
              <w:t>10</w:t>
            </w:r>
            <w:r>
              <w:rPr>
                <w:rFonts w:hint="eastAsia"/>
                <w:color w:val="auto"/>
                <w:highlight w:val="none"/>
              </w:rPr>
              <w:t>月股权划转，现为云南铜业股份有限公司</w:t>
            </w:r>
            <w:r>
              <w:rPr>
                <w:rFonts w:hint="eastAsia"/>
                <w:color w:val="auto"/>
                <w:highlight w:val="none"/>
                <w:lang w:val="en-US" w:eastAsia="zh-CN"/>
              </w:rPr>
              <w:t>全资</w:t>
            </w:r>
            <w:r>
              <w:rPr>
                <w:rFonts w:hint="eastAsia"/>
                <w:color w:val="auto"/>
                <w:highlight w:val="none"/>
              </w:rPr>
              <w:t>控股的企业，从属于云南铜业股份有限公司管理，是易门县域经济的龙头企业。</w:t>
            </w:r>
            <w:r>
              <w:rPr>
                <w:color w:val="auto"/>
                <w:highlight w:val="none"/>
              </w:rPr>
              <w:t>2013</w:t>
            </w:r>
            <w:r>
              <w:rPr>
                <w:rFonts w:hint="eastAsia"/>
                <w:color w:val="auto"/>
                <w:highlight w:val="none"/>
              </w:rPr>
              <w:t>年</w:t>
            </w:r>
            <w:r>
              <w:rPr>
                <w:color w:val="auto"/>
                <w:highlight w:val="none"/>
              </w:rPr>
              <w:t>5</w:t>
            </w:r>
            <w:r>
              <w:rPr>
                <w:rFonts w:hint="eastAsia"/>
                <w:color w:val="auto"/>
                <w:highlight w:val="none"/>
              </w:rPr>
              <w:t>月为积极响应国家淘汰落后产能的要求，破土动工中试基地技改项目，重点对熔炼生产工艺进行了改进，引进采用了富氧底吹熔池熔炼和电炉贫化工艺，冰铜和熔炼渣分离后，冰铜经转炉吹炼产出粗铜，烟气送制酸系统回收生产硫酸，硫酸生产工艺采用两转两吸加尾吸制酸工艺。中试基地技改项目于</w:t>
            </w:r>
            <w:r>
              <w:rPr>
                <w:color w:val="auto"/>
                <w:highlight w:val="none"/>
              </w:rPr>
              <w:t>2014</w:t>
            </w:r>
            <w:r>
              <w:rPr>
                <w:rFonts w:hint="eastAsia"/>
                <w:color w:val="auto"/>
                <w:highlight w:val="none"/>
              </w:rPr>
              <w:t>年</w:t>
            </w:r>
            <w:r>
              <w:rPr>
                <w:color w:val="auto"/>
                <w:highlight w:val="none"/>
              </w:rPr>
              <w:t>5</w:t>
            </w:r>
            <w:r>
              <w:rPr>
                <w:rFonts w:hint="eastAsia"/>
                <w:color w:val="auto"/>
                <w:highlight w:val="none"/>
              </w:rPr>
              <w:t>月建成投产，粗铜产能提升为</w:t>
            </w:r>
            <w:r>
              <w:rPr>
                <w:color w:val="auto"/>
                <w:highlight w:val="none"/>
              </w:rPr>
              <w:t>5</w:t>
            </w:r>
            <w:r>
              <w:rPr>
                <w:rFonts w:hint="eastAsia"/>
                <w:color w:val="auto"/>
                <w:highlight w:val="none"/>
              </w:rPr>
              <w:t>万吨，硫酸产能提升为</w:t>
            </w:r>
            <w:r>
              <w:rPr>
                <w:color w:val="auto"/>
                <w:highlight w:val="none"/>
              </w:rPr>
              <w:t>21.35</w:t>
            </w:r>
            <w:r>
              <w:rPr>
                <w:rFonts w:hint="eastAsia"/>
                <w:color w:val="auto"/>
                <w:highlight w:val="none"/>
              </w:rPr>
              <w:t>万吨。</w:t>
            </w:r>
            <w:r>
              <w:rPr>
                <w:color w:val="auto"/>
                <w:highlight w:val="none"/>
              </w:rPr>
              <w:t>2016</w:t>
            </w:r>
            <w:r>
              <w:rPr>
                <w:rFonts w:hint="eastAsia"/>
                <w:color w:val="auto"/>
                <w:highlight w:val="none"/>
              </w:rPr>
              <w:t>年易门铜业启动了</w:t>
            </w:r>
            <w:r>
              <w:rPr>
                <w:color w:val="auto"/>
                <w:highlight w:val="none"/>
              </w:rPr>
              <w:t>“</w:t>
            </w:r>
            <w:r>
              <w:rPr>
                <w:rFonts w:hint="eastAsia"/>
                <w:color w:val="auto"/>
                <w:highlight w:val="none"/>
              </w:rPr>
              <w:t>易门铜业环保高效清洁化生产改造工程</w:t>
            </w:r>
            <w:r>
              <w:rPr>
                <w:color w:val="auto"/>
                <w:highlight w:val="none"/>
              </w:rPr>
              <w:t>”</w:t>
            </w:r>
            <w:r>
              <w:rPr>
                <w:rFonts w:hint="eastAsia"/>
                <w:color w:val="auto"/>
                <w:highlight w:val="none"/>
              </w:rPr>
              <w:t>建设，加长了底吹炉，新增了两台</w:t>
            </w:r>
            <w:r>
              <w:rPr>
                <w:color w:val="auto"/>
                <w:highlight w:val="none"/>
              </w:rPr>
              <w:t>80t</w:t>
            </w:r>
            <w:r>
              <w:rPr>
                <w:rFonts w:hint="eastAsia"/>
                <w:color w:val="auto"/>
                <w:highlight w:val="none"/>
              </w:rPr>
              <w:t>转炉，产能扩大到了年产</w:t>
            </w:r>
            <w:r>
              <w:rPr>
                <w:color w:val="auto"/>
                <w:highlight w:val="none"/>
              </w:rPr>
              <w:t>10</w:t>
            </w:r>
            <w:r>
              <w:rPr>
                <w:rFonts w:hint="eastAsia"/>
                <w:color w:val="auto"/>
                <w:highlight w:val="none"/>
              </w:rPr>
              <w:t>万吨粗铜。该项目</w:t>
            </w:r>
            <w:r>
              <w:rPr>
                <w:rFonts w:hint="eastAsia"/>
                <w:color w:val="auto"/>
                <w:highlight w:val="none"/>
                <w:lang w:val="en-US" w:eastAsia="zh-CN"/>
              </w:rPr>
              <w:t>于</w:t>
            </w:r>
            <w:r>
              <w:rPr>
                <w:color w:val="auto"/>
                <w:highlight w:val="none"/>
              </w:rPr>
              <w:t>2017</w:t>
            </w:r>
            <w:r>
              <w:rPr>
                <w:rFonts w:hint="eastAsia"/>
                <w:color w:val="auto"/>
                <w:highlight w:val="none"/>
              </w:rPr>
              <w:t>年</w:t>
            </w:r>
            <w:r>
              <w:rPr>
                <w:color w:val="auto"/>
                <w:highlight w:val="none"/>
              </w:rPr>
              <w:t>4</w:t>
            </w:r>
            <w:r>
              <w:rPr>
                <w:rFonts w:hint="eastAsia"/>
                <w:color w:val="auto"/>
                <w:highlight w:val="none"/>
              </w:rPr>
              <w:t>月顺利投产，并于次月顺利达产</w:t>
            </w:r>
            <w:r>
              <w:rPr>
                <w:rFonts w:hint="eastAsia"/>
                <w:color w:val="auto"/>
                <w:highlight w:val="none"/>
                <w:lang w:eastAsia="zh-CN"/>
              </w:rPr>
              <w:t>。</w:t>
            </w:r>
            <w:r>
              <w:rPr>
                <w:rFonts w:hint="eastAsia"/>
                <w:color w:val="auto"/>
                <w:highlight w:val="none"/>
                <w:lang w:val="en-US" w:eastAsia="zh-CN"/>
              </w:rPr>
              <w:t>2025年7月，</w:t>
            </w:r>
            <w:r>
              <w:rPr>
                <w:rFonts w:hint="eastAsia"/>
                <w:color w:val="auto"/>
                <w:highlight w:val="none"/>
              </w:rPr>
              <w:t>易门铜业有限公司</w:t>
            </w:r>
            <w:r>
              <w:rPr>
                <w:rFonts w:hint="eastAsia"/>
                <w:color w:val="auto"/>
                <w:highlight w:val="none"/>
                <w:lang w:val="en-US" w:eastAsia="zh-CN"/>
              </w:rPr>
              <w:t>投资建成易门铜业阳极精炼节能减排项目。</w:t>
            </w:r>
          </w:p>
          <w:p>
            <w:pPr>
              <w:bidi w:val="0"/>
              <w:rPr>
                <w:rFonts w:hint="eastAsia"/>
                <w:color w:val="auto"/>
                <w:highlight w:val="none"/>
                <w:lang w:val="en-US" w:eastAsia="zh-CN"/>
              </w:rPr>
            </w:pPr>
            <w:r>
              <w:rPr>
                <w:rFonts w:hint="eastAsia"/>
                <w:color w:val="auto"/>
                <w:highlight w:val="none"/>
                <w:lang w:val="en-US" w:eastAsia="zh-CN"/>
              </w:rPr>
              <w:t>易门铜业现有产品为阳极铜，产品形式为阳极板，外售给西南铜业分公司和滇中有色金属有限责任公司，生产规模为年产15万吨阳极铜。</w:t>
            </w:r>
          </w:p>
          <w:p>
            <w:pPr>
              <w:bidi w:val="0"/>
              <w:rPr>
                <w:rFonts w:hint="eastAsia"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（二）项目建设背景及由来</w:t>
            </w:r>
          </w:p>
          <w:p>
            <w:pPr>
              <w:spacing w:line="360" w:lineRule="auto"/>
              <w:ind w:firstLine="480" w:firstLineChars="200"/>
              <w:rPr>
                <w:rFonts w:hint="default" w:ascii="Times New Roman" w:hAnsi="Times New Roman" w:eastAsia="Arial" w:cs="Times New Roman"/>
                <w:color w:val="auto"/>
                <w:sz w:val="24"/>
                <w:highlight w:val="none"/>
              </w:rPr>
            </w:pPr>
            <w:r>
              <w:rPr>
                <w:rFonts w:hint="default" w:ascii="Times New Roman" w:hAnsi="Times New Roman" w:eastAsia="Arial" w:cs="Times New Roman"/>
                <w:color w:val="auto"/>
                <w:sz w:val="24"/>
                <w:highlight w:val="none"/>
              </w:rPr>
              <w:t>易门铜业有限公司2025年4月阳极精炼节能减排项目投产，生产系统用氧需求具体</w:t>
            </w:r>
            <w:r>
              <w:rPr>
                <w:rFonts w:hint="default" w:ascii="Times New Roman" w:hAnsi="Times New Roman" w:eastAsia="宋体" w:cs="Times New Roman"/>
                <w:color w:val="auto"/>
                <w:sz w:val="24"/>
                <w:highlight w:val="none"/>
                <w:lang w:val="en-US" w:eastAsia="zh-CN"/>
              </w:rPr>
              <w:t>有</w:t>
            </w:r>
            <w:r>
              <w:rPr>
                <w:rFonts w:hint="default" w:ascii="Times New Roman" w:hAnsi="Times New Roman" w:eastAsia="Arial" w:cs="Times New Roman"/>
                <w:color w:val="auto"/>
                <w:sz w:val="24"/>
                <w:highlight w:val="none"/>
              </w:rPr>
              <w:t>：底吹炉供氧量平均为16000Nm³/h，转炉供氧量平均为800Nm³/h，阳极炉供氧量平均为1000Nm³/h，硫酸供氧量平均为3100Nm³/h，合计用氧需求为20900Nm³/h</w:t>
            </w:r>
            <w:r>
              <w:rPr>
                <w:rFonts w:hint="default" w:ascii="Times New Roman" w:hAnsi="Times New Roman" w:eastAsia="宋体" w:cs="Times New Roman"/>
                <w:color w:val="auto"/>
                <w:kern w:val="2"/>
                <w:sz w:val="24"/>
                <w:szCs w:val="24"/>
                <w:highlight w:val="none"/>
                <w:lang w:eastAsia="zh-CN" w:bidi="ar-SA"/>
              </w:rPr>
              <w:t>（</w:t>
            </w:r>
            <w:r>
              <w:rPr>
                <w:rFonts w:hint="default" w:ascii="Times New Roman" w:hAnsi="Times New Roman" w:eastAsia="宋体" w:cs="Times New Roman"/>
                <w:color w:val="auto"/>
                <w:kern w:val="2"/>
                <w:sz w:val="24"/>
                <w:szCs w:val="24"/>
                <w:highlight w:val="none"/>
                <w:lang w:val="en-US" w:eastAsia="zh-CN" w:bidi="ar-SA"/>
              </w:rPr>
              <w:t>纯度：100%</w:t>
            </w:r>
            <w:r>
              <w:rPr>
                <w:rFonts w:hint="default" w:ascii="Times New Roman" w:hAnsi="Times New Roman" w:eastAsia="宋体" w:cs="Times New Roman"/>
                <w:color w:val="auto"/>
                <w:kern w:val="2"/>
                <w:sz w:val="24"/>
                <w:szCs w:val="24"/>
                <w:highlight w:val="none"/>
                <w:lang w:eastAsia="zh-CN" w:bidi="ar-SA"/>
              </w:rPr>
              <w:t>）</w:t>
            </w:r>
            <w:r>
              <w:rPr>
                <w:rFonts w:hint="default" w:ascii="Times New Roman" w:hAnsi="Times New Roman" w:eastAsia="Arial" w:cs="Times New Roman"/>
                <w:color w:val="auto"/>
                <w:sz w:val="24"/>
                <w:highlight w:val="none"/>
              </w:rPr>
              <w:t>。</w:t>
            </w:r>
          </w:p>
          <w:p>
            <w:pPr>
              <w:spacing w:line="360" w:lineRule="auto"/>
              <w:ind w:firstLine="480" w:firstLineChars="200"/>
              <w:jc w:val="left"/>
              <w:rPr>
                <w:rFonts w:hint="eastAsia"/>
                <w:color w:val="auto"/>
                <w:kern w:val="2"/>
                <w:sz w:val="24"/>
                <w:szCs w:val="24"/>
                <w:highlight w:val="none"/>
                <w:lang w:bidi="ar-SA"/>
              </w:rPr>
            </w:pPr>
            <w:r>
              <w:rPr>
                <w:rFonts w:hint="default" w:ascii="Times New Roman" w:hAnsi="Times New Roman" w:cs="Times New Roman"/>
                <w:color w:val="auto"/>
                <w:kern w:val="2"/>
                <w:sz w:val="24"/>
                <w:szCs w:val="24"/>
                <w:highlight w:val="none"/>
                <w:lang w:bidi="ar-SA"/>
              </w:rPr>
              <w:t>动力厂设有三套制氧装置，4000Nm³/h深冷制氧装置、6500Nm³/h</w:t>
            </w:r>
            <w:r>
              <w:rPr>
                <w:rFonts w:hint="eastAsia" w:ascii="Times New Roman" w:hAnsi="Times New Roman" w:eastAsia="宋体" w:cs="Times New Roman"/>
                <w:color w:val="auto"/>
                <w:kern w:val="2"/>
                <w:sz w:val="24"/>
                <w:szCs w:val="24"/>
                <w:highlight w:val="none"/>
                <w:lang w:eastAsia="zh-CN" w:bidi="ar-SA"/>
              </w:rPr>
              <w:t>（</w:t>
            </w:r>
            <w:r>
              <w:rPr>
                <w:rFonts w:hint="eastAsia" w:ascii="Times New Roman" w:hAnsi="Times New Roman" w:eastAsia="宋体" w:cs="Times New Roman"/>
                <w:color w:val="auto"/>
                <w:kern w:val="2"/>
                <w:sz w:val="24"/>
                <w:szCs w:val="24"/>
                <w:highlight w:val="none"/>
                <w:lang w:val="en-US" w:eastAsia="zh-CN" w:bidi="ar-SA"/>
              </w:rPr>
              <w:t>纯度：80%</w:t>
            </w:r>
            <w:r>
              <w:rPr>
                <w:rFonts w:hint="eastAsia" w:ascii="Times New Roman" w:hAnsi="Times New Roman" w:eastAsia="宋体" w:cs="Times New Roman"/>
                <w:color w:val="auto"/>
                <w:kern w:val="2"/>
                <w:sz w:val="24"/>
                <w:szCs w:val="24"/>
                <w:highlight w:val="none"/>
                <w:lang w:eastAsia="zh-CN" w:bidi="ar-SA"/>
              </w:rPr>
              <w:t>）</w:t>
            </w:r>
            <w:r>
              <w:rPr>
                <w:rFonts w:hint="default" w:ascii="Times New Roman" w:hAnsi="Times New Roman" w:cs="Times New Roman"/>
                <w:color w:val="auto"/>
                <w:kern w:val="2"/>
                <w:sz w:val="24"/>
                <w:szCs w:val="24"/>
                <w:highlight w:val="none"/>
                <w:lang w:bidi="ar-SA"/>
              </w:rPr>
              <w:t>变压吸附制氧装置以及10000Nm³/h</w:t>
            </w:r>
            <w:r>
              <w:rPr>
                <w:rFonts w:hint="eastAsia" w:ascii="Times New Roman" w:hAnsi="Times New Roman" w:eastAsia="宋体" w:cs="Times New Roman"/>
                <w:color w:val="auto"/>
                <w:kern w:val="2"/>
                <w:sz w:val="24"/>
                <w:szCs w:val="24"/>
                <w:highlight w:val="none"/>
                <w:lang w:eastAsia="zh-CN" w:bidi="ar-SA"/>
              </w:rPr>
              <w:t>（</w:t>
            </w:r>
            <w:r>
              <w:rPr>
                <w:rFonts w:hint="eastAsia" w:ascii="Times New Roman" w:hAnsi="Times New Roman" w:eastAsia="宋体" w:cs="Times New Roman"/>
                <w:color w:val="auto"/>
                <w:kern w:val="2"/>
                <w:sz w:val="24"/>
                <w:szCs w:val="24"/>
                <w:highlight w:val="none"/>
                <w:lang w:val="en-US" w:eastAsia="zh-CN" w:bidi="ar-SA"/>
              </w:rPr>
              <w:t>纯度：90%</w:t>
            </w:r>
            <w:r>
              <w:rPr>
                <w:rFonts w:hint="eastAsia" w:ascii="Times New Roman" w:hAnsi="Times New Roman" w:eastAsia="宋体" w:cs="Times New Roman"/>
                <w:color w:val="auto"/>
                <w:kern w:val="2"/>
                <w:sz w:val="24"/>
                <w:szCs w:val="24"/>
                <w:highlight w:val="none"/>
                <w:lang w:eastAsia="zh-CN" w:bidi="ar-SA"/>
              </w:rPr>
              <w:t>）</w:t>
            </w:r>
            <w:r>
              <w:rPr>
                <w:rFonts w:hint="default" w:ascii="Times New Roman" w:hAnsi="Times New Roman" w:cs="Times New Roman"/>
                <w:color w:val="auto"/>
                <w:kern w:val="2"/>
                <w:sz w:val="24"/>
                <w:szCs w:val="24"/>
                <w:highlight w:val="none"/>
                <w:lang w:bidi="ar-SA"/>
              </w:rPr>
              <w:t>变压吸附制氧装置，实际满负荷生产氧产量最高可达到19200Nm³/h</w:t>
            </w:r>
            <w:r>
              <w:rPr>
                <w:rFonts w:hint="eastAsia" w:ascii="Times New Roman" w:hAnsi="Times New Roman" w:eastAsia="宋体" w:cs="Times New Roman"/>
                <w:color w:val="auto"/>
                <w:kern w:val="2"/>
                <w:sz w:val="24"/>
                <w:szCs w:val="24"/>
                <w:highlight w:val="none"/>
                <w:lang w:eastAsia="zh-CN" w:bidi="ar-SA"/>
              </w:rPr>
              <w:t>（</w:t>
            </w:r>
            <w:r>
              <w:rPr>
                <w:rFonts w:hint="eastAsia" w:ascii="Times New Roman" w:hAnsi="Times New Roman" w:eastAsia="宋体" w:cs="Times New Roman"/>
                <w:color w:val="auto"/>
                <w:kern w:val="2"/>
                <w:sz w:val="24"/>
                <w:szCs w:val="24"/>
                <w:highlight w:val="none"/>
                <w:lang w:val="en-US" w:eastAsia="zh-CN" w:bidi="ar-SA"/>
              </w:rPr>
              <w:t>纯度：100%</w:t>
            </w:r>
            <w:r>
              <w:rPr>
                <w:rFonts w:hint="eastAsia" w:ascii="Times New Roman" w:hAnsi="Times New Roman" w:eastAsia="宋体" w:cs="Times New Roman"/>
                <w:color w:val="auto"/>
                <w:kern w:val="2"/>
                <w:sz w:val="24"/>
                <w:szCs w:val="24"/>
                <w:highlight w:val="none"/>
                <w:lang w:eastAsia="zh-CN" w:bidi="ar-SA"/>
              </w:rPr>
              <w:t>）</w:t>
            </w:r>
            <w:r>
              <w:rPr>
                <w:rFonts w:hint="default" w:ascii="Times New Roman" w:hAnsi="Times New Roman" w:cs="Times New Roman"/>
                <w:color w:val="auto"/>
                <w:kern w:val="2"/>
                <w:sz w:val="24"/>
                <w:szCs w:val="24"/>
                <w:highlight w:val="none"/>
                <w:lang w:bidi="ar-SA"/>
              </w:rPr>
              <w:t>，供氧缺口1700Nm³/h</w:t>
            </w:r>
            <w:r>
              <w:rPr>
                <w:rFonts w:hint="eastAsia" w:ascii="Times New Roman" w:hAnsi="Times New Roman" w:eastAsia="宋体" w:cs="Times New Roman"/>
                <w:color w:val="auto"/>
                <w:kern w:val="2"/>
                <w:sz w:val="24"/>
                <w:szCs w:val="24"/>
                <w:highlight w:val="none"/>
                <w:lang w:eastAsia="zh-CN" w:bidi="ar-SA"/>
              </w:rPr>
              <w:t>（</w:t>
            </w:r>
            <w:r>
              <w:rPr>
                <w:rFonts w:hint="eastAsia" w:ascii="Times New Roman" w:hAnsi="Times New Roman" w:eastAsia="宋体" w:cs="Times New Roman"/>
                <w:color w:val="auto"/>
                <w:kern w:val="2"/>
                <w:sz w:val="24"/>
                <w:szCs w:val="24"/>
                <w:highlight w:val="none"/>
                <w:lang w:val="en-US" w:eastAsia="zh-CN" w:bidi="ar-SA"/>
              </w:rPr>
              <w:t>纯度：100%</w:t>
            </w:r>
            <w:r>
              <w:rPr>
                <w:rFonts w:hint="eastAsia" w:ascii="Times New Roman" w:hAnsi="Times New Roman" w:eastAsia="宋体" w:cs="Times New Roman"/>
                <w:color w:val="auto"/>
                <w:kern w:val="2"/>
                <w:sz w:val="24"/>
                <w:szCs w:val="24"/>
                <w:highlight w:val="none"/>
                <w:lang w:eastAsia="zh-CN" w:bidi="ar-SA"/>
              </w:rPr>
              <w:t>）</w:t>
            </w:r>
            <w:r>
              <w:rPr>
                <w:rFonts w:hint="default" w:ascii="Times New Roman" w:hAnsi="Times New Roman" w:cs="Times New Roman"/>
                <w:color w:val="auto"/>
                <w:kern w:val="2"/>
                <w:sz w:val="24"/>
                <w:szCs w:val="24"/>
                <w:highlight w:val="none"/>
                <w:lang w:bidi="ar-SA"/>
              </w:rPr>
              <w:t>使用外购液氧汽化进行补充。</w:t>
            </w:r>
          </w:p>
          <w:p>
            <w:pPr>
              <w:spacing w:line="360" w:lineRule="auto"/>
              <w:ind w:firstLine="480" w:firstLineChars="200"/>
              <w:jc w:val="left"/>
              <w:rPr>
                <w:rFonts w:hint="default" w:ascii="Times New Roman" w:hAnsi="Times New Roman" w:cs="Times New Roman"/>
                <w:color w:val="auto"/>
                <w:kern w:val="2"/>
                <w:sz w:val="24"/>
                <w:szCs w:val="24"/>
                <w:highlight w:val="none"/>
                <w:lang w:val="en-US" w:eastAsia="zh-CN" w:bidi="ar-SA"/>
              </w:rPr>
            </w:pPr>
            <w:r>
              <w:rPr>
                <w:rFonts w:hint="default" w:ascii="Times New Roman" w:hAnsi="Times New Roman" w:cs="Times New Roman"/>
                <w:color w:val="auto"/>
                <w:kern w:val="2"/>
                <w:sz w:val="24"/>
                <w:szCs w:val="24"/>
                <w:highlight w:val="none"/>
                <w:lang w:val="en-US" w:eastAsia="zh-CN" w:bidi="ar-SA"/>
              </w:rPr>
              <w:t>厂区现有供氧系统存在以下几个方面的问题：</w:t>
            </w:r>
          </w:p>
          <w:p>
            <w:pPr>
              <w:numPr>
                <w:ilvl w:val="0"/>
                <w:numId w:val="0"/>
              </w:numPr>
              <w:spacing w:line="360" w:lineRule="auto"/>
              <w:ind w:firstLine="480" w:firstLineChars="200"/>
              <w:jc w:val="left"/>
              <w:rPr>
                <w:rFonts w:hint="default" w:ascii="Times New Roman" w:hAnsi="Times New Roman"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cs="Times New Roman"/>
                <w:color w:val="auto"/>
                <w:kern w:val="2"/>
                <w:sz w:val="24"/>
                <w:szCs w:val="24"/>
                <w:highlight w:val="none"/>
                <w:lang w:val="en-US" w:eastAsia="zh-CN" w:bidi="ar-SA"/>
              </w:rPr>
              <w:t>不足部分购买液氧成本高；</w:t>
            </w:r>
          </w:p>
          <w:p>
            <w:pPr>
              <w:numPr>
                <w:ilvl w:val="0"/>
                <w:numId w:val="0"/>
              </w:numPr>
              <w:spacing w:line="360" w:lineRule="auto"/>
              <w:ind w:firstLine="480" w:firstLineChars="200"/>
              <w:jc w:val="left"/>
              <w:rPr>
                <w:rFonts w:hint="default" w:ascii="Times New Roman" w:hAnsi="Times New Roman"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cs="Times New Roman"/>
                <w:color w:val="auto"/>
                <w:kern w:val="2"/>
                <w:sz w:val="24"/>
                <w:szCs w:val="24"/>
                <w:highlight w:val="none"/>
                <w:lang w:bidi="ar-SA"/>
              </w:rPr>
              <w:t>现6500Nm³/h变压吸附制氧装置使用年限达到1</w:t>
            </w:r>
            <w:r>
              <w:rPr>
                <w:rFonts w:hint="default" w:ascii="Times New Roman" w:hAnsi="Times New Roman" w:cs="Times New Roman"/>
                <w:color w:val="auto"/>
                <w:kern w:val="2"/>
                <w:sz w:val="24"/>
                <w:szCs w:val="24"/>
                <w:highlight w:val="none"/>
                <w:lang w:val="en-US" w:eastAsia="zh-CN" w:bidi="ar-SA"/>
              </w:rPr>
              <w:t>9</w:t>
            </w:r>
            <w:r>
              <w:rPr>
                <w:rFonts w:hint="default" w:ascii="Times New Roman" w:hAnsi="Times New Roman" w:cs="Times New Roman"/>
                <w:color w:val="auto"/>
                <w:kern w:val="2"/>
                <w:sz w:val="24"/>
                <w:szCs w:val="24"/>
                <w:highlight w:val="none"/>
                <w:lang w:bidi="ar-SA"/>
              </w:rPr>
              <w:t>年，轴向吸附塔为落后工艺，吸附能效低</w:t>
            </w:r>
            <w:r>
              <w:rPr>
                <w:rFonts w:hint="default" w:ascii="Times New Roman" w:hAnsi="Times New Roman" w:eastAsia="宋体" w:cs="Times New Roman"/>
                <w:color w:val="auto"/>
                <w:kern w:val="2"/>
                <w:sz w:val="24"/>
                <w:szCs w:val="24"/>
                <w:highlight w:val="none"/>
                <w:lang w:eastAsia="zh-CN" w:bidi="ar-SA"/>
              </w:rPr>
              <w:t>，</w:t>
            </w:r>
            <w:r>
              <w:rPr>
                <w:rFonts w:hint="default" w:ascii="Times New Roman" w:hAnsi="Times New Roman" w:eastAsia="宋体" w:cs="Times New Roman"/>
                <w:color w:val="auto"/>
                <w:kern w:val="2"/>
                <w:sz w:val="24"/>
                <w:szCs w:val="24"/>
                <w:highlight w:val="none"/>
                <w:lang w:val="en-US" w:eastAsia="zh-CN" w:bidi="ar-SA"/>
              </w:rPr>
              <w:t>分子筛部分失效</w:t>
            </w:r>
            <w:r>
              <w:rPr>
                <w:rFonts w:hint="default" w:ascii="Times New Roman" w:hAnsi="Times New Roman" w:cs="Times New Roman"/>
                <w:color w:val="auto"/>
                <w:kern w:val="2"/>
                <w:sz w:val="24"/>
                <w:szCs w:val="24"/>
                <w:highlight w:val="none"/>
                <w:lang w:eastAsia="zh-CN" w:bidi="ar-SA"/>
              </w:rPr>
              <w:t>；</w:t>
            </w:r>
          </w:p>
          <w:p>
            <w:pPr>
              <w:numPr>
                <w:ilvl w:val="0"/>
                <w:numId w:val="0"/>
              </w:numPr>
              <w:spacing w:line="360" w:lineRule="auto"/>
              <w:ind w:firstLine="480" w:firstLineChars="200"/>
              <w:jc w:val="left"/>
              <w:rPr>
                <w:rFonts w:hint="default" w:ascii="Times New Roman" w:hAnsi="Times New Roman"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cs="Times New Roman"/>
                <w:color w:val="auto"/>
                <w:kern w:val="2"/>
                <w:sz w:val="24"/>
                <w:szCs w:val="24"/>
                <w:highlight w:val="none"/>
                <w:lang w:bidi="ar-SA"/>
              </w:rPr>
              <w:t>4000Nm³/h深冷制氧系统产氧能力较低，深冷制氧能耗高，</w:t>
            </w:r>
            <w:r>
              <w:rPr>
                <w:rFonts w:hint="default" w:ascii="Times New Roman" w:hAnsi="Times New Roman" w:cs="Times New Roman"/>
                <w:color w:val="auto"/>
                <w:kern w:val="2"/>
                <w:sz w:val="24"/>
                <w:szCs w:val="24"/>
                <w:highlight w:val="none"/>
                <w:lang w:val="en-US" w:eastAsia="zh-CN" w:bidi="ar-SA"/>
              </w:rPr>
              <w:t>设备老旧</w:t>
            </w:r>
            <w:r>
              <w:rPr>
                <w:rFonts w:hint="eastAsia" w:ascii="Times New Roman" w:hAnsi="Times New Roman" w:cs="Times New Roman"/>
                <w:color w:val="auto"/>
                <w:kern w:val="2"/>
                <w:sz w:val="24"/>
                <w:szCs w:val="24"/>
                <w:highlight w:val="none"/>
                <w:lang w:val="en-US" w:eastAsia="zh-CN" w:bidi="ar-SA"/>
              </w:rPr>
              <w:t>。</w:t>
            </w:r>
          </w:p>
          <w:p>
            <w:pPr>
              <w:bidi w:val="0"/>
              <w:rPr>
                <w:rFonts w:hint="default"/>
                <w:color w:val="auto"/>
                <w:highlight w:val="none"/>
                <w:lang w:val="en-US" w:eastAsia="zh-CN"/>
              </w:rPr>
            </w:pPr>
            <w:r>
              <w:rPr>
                <w:rFonts w:hint="default" w:ascii="Times New Roman" w:hAnsi="Times New Roman" w:eastAsia="Arial" w:cs="Times New Roman"/>
                <w:color w:val="auto"/>
                <w:kern w:val="2"/>
                <w:sz w:val="24"/>
                <w:szCs w:val="24"/>
                <w:highlight w:val="none"/>
                <w:lang w:val="en-US" w:eastAsia="zh-CN" w:bidi="ar-SA"/>
              </w:rPr>
              <w:t>基于以上原因，对现有6500Nm³/h（2006年投产）变压吸附制氧装置进行改造，拆除现有6500Nm³/h变压吸附制氧装置的5套吸附塔，拆除管道及动力设备等。新建</w:t>
            </w:r>
            <w:r>
              <w:rPr>
                <w:rFonts w:hint="eastAsia" w:ascii="Times New Roman" w:hAnsi="Times New Roman" w:cs="Times New Roman"/>
                <w:color w:val="auto"/>
                <w:kern w:val="2"/>
                <w:sz w:val="24"/>
                <w:szCs w:val="24"/>
                <w:highlight w:val="none"/>
                <w:lang w:val="en-US" w:eastAsia="zh-CN" w:bidi="ar-SA"/>
              </w:rPr>
              <w:t>2×7500</w:t>
            </w:r>
            <w:r>
              <w:rPr>
                <w:rFonts w:hint="default" w:ascii="Times New Roman" w:hAnsi="Times New Roman" w:eastAsia="Arial" w:cs="Times New Roman"/>
                <w:color w:val="auto"/>
                <w:kern w:val="2"/>
                <w:sz w:val="24"/>
                <w:szCs w:val="24"/>
                <w:highlight w:val="none"/>
                <w:lang w:val="en-US" w:eastAsia="zh-CN" w:bidi="ar-SA"/>
              </w:rPr>
              <w:t>Nm</w:t>
            </w:r>
            <w:r>
              <w:rPr>
                <w:rFonts w:hint="default" w:ascii="Times New Roman" w:hAnsi="Times New Roman" w:eastAsia="Arial" w:cs="Times New Roman"/>
                <w:color w:val="auto"/>
                <w:kern w:val="2"/>
                <w:sz w:val="24"/>
                <w:szCs w:val="24"/>
                <w:highlight w:val="none"/>
                <w:vertAlign w:val="superscript"/>
                <w:lang w:val="en-US" w:eastAsia="zh-CN" w:bidi="ar-SA"/>
              </w:rPr>
              <w:t>3</w:t>
            </w:r>
            <w:r>
              <w:rPr>
                <w:rFonts w:hint="default" w:ascii="Times New Roman" w:hAnsi="Times New Roman" w:eastAsia="Arial" w:cs="Times New Roman"/>
                <w:color w:val="auto"/>
                <w:kern w:val="2"/>
                <w:sz w:val="24"/>
                <w:szCs w:val="24"/>
                <w:highlight w:val="none"/>
                <w:lang w:val="en-US" w:eastAsia="zh-CN" w:bidi="ar-SA"/>
              </w:rPr>
              <w:t>/h ，纯度≥90%</w:t>
            </w:r>
            <w:r>
              <w:rPr>
                <w:rFonts w:hint="eastAsia" w:eastAsia="Arial" w:cs="Times New Roman"/>
                <w:color w:val="auto"/>
                <w:kern w:val="2"/>
                <w:sz w:val="24"/>
                <w:szCs w:val="24"/>
                <w:highlight w:val="none"/>
                <w:lang w:val="en-US" w:eastAsia="zh-CN" w:bidi="ar-SA"/>
              </w:rPr>
              <w:t>的</w:t>
            </w:r>
            <w:r>
              <w:rPr>
                <w:rFonts w:hint="default" w:ascii="Times New Roman" w:hAnsi="Times New Roman" w:eastAsia="Arial" w:cs="Times New Roman"/>
                <w:color w:val="auto"/>
                <w:kern w:val="2"/>
                <w:sz w:val="24"/>
                <w:szCs w:val="24"/>
                <w:highlight w:val="none"/>
                <w:lang w:val="en-US" w:eastAsia="zh-CN" w:bidi="ar-SA"/>
              </w:rPr>
              <w:t>制氧装置，现有厂房内的设备和管道拆除，厂房利旧，不足部分向西南方向扩建，氧气加压系统不</w:t>
            </w:r>
            <w:r>
              <w:rPr>
                <w:rFonts w:hint="eastAsia" w:eastAsia="Arial" w:cs="Times New Roman"/>
                <w:color w:val="auto"/>
                <w:kern w:val="2"/>
                <w:sz w:val="24"/>
                <w:szCs w:val="24"/>
                <w:highlight w:val="none"/>
                <w:lang w:val="en-US" w:eastAsia="zh-CN" w:bidi="ar-SA"/>
              </w:rPr>
              <w:t>在</w:t>
            </w:r>
            <w:r>
              <w:rPr>
                <w:rFonts w:hint="default" w:ascii="Times New Roman" w:hAnsi="Times New Roman" w:eastAsia="Arial" w:cs="Times New Roman"/>
                <w:color w:val="auto"/>
                <w:kern w:val="2"/>
                <w:sz w:val="24"/>
                <w:szCs w:val="24"/>
                <w:highlight w:val="none"/>
                <w:lang w:val="en-US" w:eastAsia="zh-CN" w:bidi="ar-SA"/>
              </w:rPr>
              <w:t>本次设计范围</w:t>
            </w:r>
            <w:r>
              <w:rPr>
                <w:rFonts w:hint="eastAsia" w:ascii="Times New Roman" w:hAnsi="Times New Roman" w:cs="Times New Roman"/>
                <w:color w:val="auto"/>
                <w:kern w:val="2"/>
                <w:sz w:val="24"/>
                <w:szCs w:val="24"/>
                <w:highlight w:val="none"/>
                <w:lang w:val="en-US" w:eastAsia="zh-CN" w:bidi="ar-SA"/>
              </w:rPr>
              <w:t>。</w:t>
            </w:r>
          </w:p>
          <w:p>
            <w:pPr>
              <w:bidi w:val="0"/>
              <w:rPr>
                <w:rFonts w:hint="default"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（三）项目环评任务由来</w:t>
            </w:r>
          </w:p>
          <w:p>
            <w:pPr>
              <w:bidi w:val="0"/>
              <w:rPr>
                <w:rFonts w:hint="eastAsia"/>
                <w:color w:val="auto"/>
                <w:highlight w:val="none"/>
              </w:rPr>
            </w:pPr>
            <w:r>
              <w:rPr>
                <w:rFonts w:hint="eastAsia"/>
                <w:color w:val="auto"/>
                <w:highlight w:val="none"/>
              </w:rPr>
              <w:t>根据《中华人民共和国环境保护法》、《中华人民共和国环境影响评价法》及国务院</w:t>
            </w:r>
            <w:r>
              <w:rPr>
                <w:color w:val="auto"/>
                <w:highlight w:val="none"/>
              </w:rPr>
              <w:t>682</w:t>
            </w:r>
            <w:r>
              <w:rPr>
                <w:rFonts w:hint="eastAsia"/>
                <w:color w:val="auto"/>
                <w:highlight w:val="none"/>
              </w:rPr>
              <w:t>号《国务院关于修改〈建设项目环境保护管理条例〉的决定》，</w:t>
            </w:r>
            <w:r>
              <w:rPr>
                <w:rFonts w:hint="eastAsia"/>
                <w:color w:val="auto"/>
                <w:highlight w:val="none"/>
                <w:lang w:val="en-US" w:eastAsia="zh-CN"/>
              </w:rPr>
              <w:t>本次改建</w:t>
            </w:r>
            <w:r>
              <w:rPr>
                <w:rFonts w:hint="eastAsia"/>
                <w:color w:val="auto"/>
                <w:highlight w:val="none"/>
              </w:rPr>
              <w:t>项目应开展环境影响评价工作。</w:t>
            </w:r>
            <w:r>
              <w:rPr>
                <w:rFonts w:hint="eastAsia"/>
                <w:color w:val="auto"/>
                <w:highlight w:val="none"/>
                <w:lang w:val="en-US" w:eastAsia="zh-CN"/>
              </w:rPr>
              <w:t>同时，</w:t>
            </w:r>
            <w:r>
              <w:rPr>
                <w:rFonts w:hint="eastAsia" w:cs="Times New Roman"/>
                <w:color w:val="auto"/>
                <w:highlight w:val="none"/>
                <w:lang w:val="en-US" w:eastAsia="zh-CN"/>
              </w:rPr>
              <w:t>根据</w:t>
            </w:r>
            <w:r>
              <w:rPr>
                <w:rFonts w:hint="eastAsia" w:cs="Times New Roman"/>
                <w:color w:val="auto"/>
                <w:highlight w:val="none"/>
                <w:lang w:val="en-US" w:eastAsia="zh-CN"/>
              </w:rPr>
              <w:fldChar w:fldCharType="begin"/>
            </w:r>
            <w:r>
              <w:rPr>
                <w:rFonts w:hint="eastAsia" w:cs="Times New Roman"/>
                <w:color w:val="auto"/>
                <w:highlight w:val="none"/>
                <w:lang w:val="en-US" w:eastAsia="zh-CN"/>
              </w:rPr>
              <w:instrText xml:space="preserve"> HYPERLINK "https://www.eiacloud.com/hpyzs/lawsRegulations/searchDetail?id=11790cd1ed7141e590ad9d52c800f594&amp;modelName=%E7%8E%AF%E8%AF%84%E5%90%8D%E5%BD%95" \t "https://www.eiacloud.com/hpyzs/category/_blank" </w:instrText>
            </w:r>
            <w:r>
              <w:rPr>
                <w:rFonts w:hint="eastAsia" w:cs="Times New Roman"/>
                <w:color w:val="auto"/>
                <w:highlight w:val="none"/>
                <w:lang w:val="en-US" w:eastAsia="zh-CN"/>
              </w:rPr>
              <w:fldChar w:fldCharType="separate"/>
            </w:r>
            <w:r>
              <w:rPr>
                <w:rFonts w:hint="eastAsia" w:cs="Times New Roman"/>
                <w:color w:val="auto"/>
                <w:highlight w:val="none"/>
                <w:lang w:val="en-US" w:eastAsia="zh-CN"/>
              </w:rPr>
              <w:t>《建设项目环境影响评价分类管理名录（2021年版）》（</w:t>
            </w:r>
            <w:r>
              <w:rPr>
                <w:rFonts w:hint="eastAsia" w:cs="Times New Roman"/>
                <w:color w:val="auto"/>
                <w:highlight w:val="none"/>
                <w:lang w:val="en-US" w:eastAsia="zh-CN"/>
              </w:rPr>
              <w:fldChar w:fldCharType="end"/>
            </w:r>
            <w:r>
              <w:rPr>
                <w:rFonts w:hint="eastAsia" w:cs="Times New Roman"/>
                <w:color w:val="auto"/>
                <w:highlight w:val="none"/>
                <w:lang w:val="en-US" w:eastAsia="zh-CN"/>
              </w:rPr>
              <w:t>部令第16号），本项目属于“二十三、化学原料和化学制品制造业26；44.基础化学原料制造261；单纯物理分离、物理提纯、混合、分装的（不产生废水或挥发性有机物的除外）”类别，需编制环境影响报告表。受建设单位“易门铜业有限公司”的委托，</w:t>
            </w:r>
            <w:r>
              <w:rPr>
                <w:rFonts w:hint="eastAsia"/>
                <w:color w:val="auto"/>
                <w:highlight w:val="none"/>
              </w:rPr>
              <w:t>我单位</w:t>
            </w:r>
            <w:r>
              <w:rPr>
                <w:rFonts w:hint="eastAsia"/>
                <w:color w:val="auto"/>
                <w:highlight w:val="none"/>
                <w:lang w:eastAsia="zh-CN"/>
              </w:rPr>
              <w:t>（</w:t>
            </w:r>
            <w:r>
              <w:rPr>
                <w:rFonts w:hint="eastAsia"/>
                <w:color w:val="auto"/>
                <w:highlight w:val="none"/>
                <w:lang w:val="en-US" w:eastAsia="zh-CN"/>
              </w:rPr>
              <w:t>云南博曦环境影响评价有限公司</w:t>
            </w:r>
            <w:r>
              <w:rPr>
                <w:rFonts w:hint="eastAsia"/>
                <w:color w:val="auto"/>
                <w:highlight w:val="none"/>
                <w:lang w:eastAsia="zh-CN"/>
              </w:rPr>
              <w:t>）</w:t>
            </w:r>
            <w:r>
              <w:rPr>
                <w:rFonts w:hint="eastAsia"/>
                <w:color w:val="auto"/>
                <w:highlight w:val="none"/>
              </w:rPr>
              <w:t>承担该项目的环境影响评价工作。我单位通过现场踏勘、收集有关资料，按照环境影响评价有关技术规范，编制</w:t>
            </w:r>
            <w:r>
              <w:rPr>
                <w:rFonts w:hint="eastAsia"/>
                <w:color w:val="auto"/>
                <w:highlight w:val="none"/>
                <w:lang w:val="en-US" w:eastAsia="zh-CN"/>
              </w:rPr>
              <w:t>完成</w:t>
            </w:r>
            <w:r>
              <w:rPr>
                <w:rFonts w:hint="eastAsia"/>
                <w:color w:val="auto"/>
                <w:highlight w:val="none"/>
              </w:rPr>
              <w:t>了《</w:t>
            </w:r>
            <w:r>
              <w:rPr>
                <w:rFonts w:hint="eastAsia"/>
                <w:color w:val="auto"/>
                <w:highlight w:val="none"/>
                <w:lang w:val="en-US" w:eastAsia="zh-CN"/>
              </w:rPr>
              <w:t>制氧系统技术改造节能项目</w:t>
            </w:r>
            <w:r>
              <w:rPr>
                <w:rFonts w:hint="eastAsia"/>
                <w:color w:val="auto"/>
                <w:highlight w:val="none"/>
              </w:rPr>
              <w:t>环境影响报告表》，供建设单位上报审批。</w:t>
            </w:r>
          </w:p>
          <w:p>
            <w:pPr>
              <w:bidi w:val="0"/>
              <w:rPr>
                <w:rFonts w:hint="default"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（四）</w:t>
            </w:r>
            <w:r>
              <w:rPr>
                <w:rFonts w:hint="default" w:ascii="黑体" w:hAnsi="黑体" w:eastAsia="黑体" w:cs="黑体"/>
                <w:color w:val="auto"/>
                <w:highlight w:val="none"/>
                <w:lang w:val="en-US" w:eastAsia="zh-CN"/>
              </w:rPr>
              <w:t>项目概况</w:t>
            </w:r>
          </w:p>
          <w:p>
            <w:pPr>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w:t>
            </w:r>
            <w:r>
              <w:rPr>
                <w:rFonts w:hint="default" w:ascii="Times New Roman" w:hAnsi="Times New Roman" w:cs="Times New Roman"/>
                <w:color w:val="auto"/>
                <w:highlight w:val="none"/>
                <w:lang w:val="en-US" w:eastAsia="zh-CN"/>
              </w:rPr>
              <w:t>项目名称：制氧系统技术改造节能项目</w:t>
            </w:r>
          </w:p>
          <w:p>
            <w:pPr>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w:t>
            </w:r>
            <w:r>
              <w:rPr>
                <w:rFonts w:hint="default" w:ascii="Times New Roman" w:hAnsi="Times New Roman" w:cs="Times New Roman"/>
                <w:color w:val="auto"/>
                <w:highlight w:val="none"/>
                <w:lang w:val="en-US" w:eastAsia="zh-CN"/>
              </w:rPr>
              <w:t>建设单位：易门铜业有限公司</w:t>
            </w:r>
          </w:p>
          <w:p>
            <w:pPr>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3、</w:t>
            </w:r>
            <w:r>
              <w:rPr>
                <w:rFonts w:hint="default" w:ascii="Times New Roman" w:hAnsi="Times New Roman" w:cs="Times New Roman"/>
                <w:color w:val="auto"/>
                <w:highlight w:val="none"/>
                <w:lang w:val="en-US" w:eastAsia="zh-CN"/>
              </w:rPr>
              <w:t>建设地点：</w:t>
            </w:r>
            <w:r>
              <w:rPr>
                <w:rFonts w:hint="eastAsia" w:cs="Times New Roman"/>
                <w:i w:val="0"/>
                <w:iCs w:val="0"/>
                <w:color w:val="auto"/>
                <w:sz w:val="24"/>
                <w:szCs w:val="24"/>
                <w:highlight w:val="none"/>
                <w:u w:val="none"/>
                <w:lang w:val="en-US" w:eastAsia="zh-CN"/>
              </w:rPr>
              <w:t>云南易门产业园区大椿树片区</w:t>
            </w:r>
          </w:p>
          <w:p>
            <w:pP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4、</w:t>
            </w:r>
            <w:r>
              <w:rPr>
                <w:rFonts w:hint="default" w:ascii="Times New Roman" w:hAnsi="Times New Roman" w:cs="Times New Roman"/>
                <w:color w:val="auto"/>
                <w:highlight w:val="none"/>
                <w:lang w:val="en-US" w:eastAsia="zh-CN"/>
              </w:rPr>
              <w:t>建设性质：</w:t>
            </w:r>
            <w:r>
              <w:rPr>
                <w:rFonts w:hint="eastAsia" w:cs="Times New Roman"/>
                <w:color w:val="auto"/>
                <w:highlight w:val="none"/>
                <w:lang w:val="en-US" w:eastAsia="zh-CN"/>
              </w:rPr>
              <w:t>改建</w:t>
            </w:r>
          </w:p>
          <w:p>
            <w:pPr>
              <w:bidi w:val="0"/>
              <w:rPr>
                <w:rFonts w:hint="eastAsia"/>
                <w:color w:val="auto"/>
                <w:highlight w:val="none"/>
                <w:lang w:val="en-US" w:eastAsia="zh-CN"/>
              </w:rPr>
            </w:pPr>
            <w:r>
              <w:rPr>
                <w:rFonts w:hint="eastAsia"/>
                <w:color w:val="auto"/>
                <w:highlight w:val="none"/>
                <w:lang w:val="en-US" w:eastAsia="zh-CN"/>
              </w:rPr>
              <w:t>5、用地面积：1350m</w:t>
            </w:r>
            <w:r>
              <w:rPr>
                <w:rFonts w:hint="eastAsia"/>
                <w:color w:val="auto"/>
                <w:highlight w:val="none"/>
                <w:vertAlign w:val="superscript"/>
                <w:lang w:val="en-US" w:eastAsia="zh-CN"/>
              </w:rPr>
              <w:t>2</w:t>
            </w:r>
          </w:p>
          <w:p>
            <w:pPr>
              <w:bidi w:val="0"/>
              <w:rPr>
                <w:rFonts w:hint="default"/>
                <w:color w:val="auto"/>
                <w:highlight w:val="none"/>
                <w:lang w:val="en-US" w:eastAsia="zh-CN"/>
              </w:rPr>
            </w:pPr>
            <w:r>
              <w:rPr>
                <w:rFonts w:hint="eastAsia"/>
                <w:color w:val="auto"/>
                <w:highlight w:val="none"/>
                <w:lang w:val="en-US" w:eastAsia="zh-CN"/>
              </w:rPr>
              <w:t>6、用地性质：工业用地</w:t>
            </w:r>
          </w:p>
          <w:p>
            <w:pPr>
              <w:bidi w:val="0"/>
              <w:rPr>
                <w:rFonts w:hint="default"/>
                <w:color w:val="auto"/>
                <w:highlight w:val="none"/>
                <w:lang w:val="en-US" w:eastAsia="zh-CN"/>
              </w:rPr>
            </w:pPr>
            <w:r>
              <w:rPr>
                <w:rFonts w:hint="eastAsia"/>
                <w:color w:val="auto"/>
                <w:highlight w:val="none"/>
                <w:lang w:val="en-US" w:eastAsia="zh-CN"/>
              </w:rPr>
              <w:t>7、</w:t>
            </w:r>
            <w:r>
              <w:rPr>
                <w:rFonts w:hint="default"/>
                <w:color w:val="auto"/>
                <w:highlight w:val="none"/>
                <w:lang w:val="en-US" w:eastAsia="zh-CN"/>
              </w:rPr>
              <w:t>项目基本情况</w:t>
            </w:r>
          </w:p>
          <w:p>
            <w:pPr>
              <w:bidi w:val="0"/>
              <w:rPr>
                <w:rFonts w:hint="eastAsia"/>
                <w:color w:val="auto"/>
                <w:highlight w:val="none"/>
                <w:lang w:val="en-US" w:eastAsia="zh-CN"/>
              </w:rPr>
            </w:pPr>
            <w:r>
              <w:rPr>
                <w:rFonts w:hint="eastAsia" w:ascii="Times New Roman" w:hAnsi="Times New Roman" w:eastAsia="Arial" w:cs="Times New Roman"/>
                <w:color w:val="auto"/>
                <w:kern w:val="2"/>
                <w:sz w:val="24"/>
                <w:szCs w:val="24"/>
                <w:highlight w:val="none"/>
                <w:lang w:val="en-US" w:eastAsia="zh-CN" w:bidi="ar-SA"/>
              </w:rPr>
              <w:t>本次工程</w:t>
            </w:r>
            <w:r>
              <w:rPr>
                <w:rFonts w:hint="default" w:ascii="Times New Roman" w:hAnsi="Times New Roman" w:eastAsia="Arial" w:cs="Times New Roman"/>
                <w:color w:val="auto"/>
                <w:kern w:val="2"/>
                <w:sz w:val="24"/>
                <w:szCs w:val="24"/>
                <w:highlight w:val="none"/>
                <w:lang w:val="en-US" w:eastAsia="zh-CN" w:bidi="ar-SA"/>
              </w:rPr>
              <w:t>对现有6500Nm³/h（2006年投产）变压吸附制氧装置进行改造，拆除现有6500Nm</w:t>
            </w:r>
            <w:r>
              <w:rPr>
                <w:rFonts w:hint="eastAsia" w:eastAsia="Arial" w:cs="Times New Roman"/>
                <w:color w:val="auto"/>
                <w:kern w:val="2"/>
                <w:sz w:val="24"/>
                <w:szCs w:val="24"/>
                <w:highlight w:val="none"/>
                <w:vertAlign w:val="superscript"/>
                <w:lang w:val="en-US" w:eastAsia="zh-CN" w:bidi="ar-SA"/>
              </w:rPr>
              <w:t>3</w:t>
            </w:r>
            <w:r>
              <w:rPr>
                <w:rFonts w:hint="default" w:ascii="Times New Roman" w:hAnsi="Times New Roman" w:eastAsia="Arial" w:cs="Times New Roman"/>
                <w:color w:val="auto"/>
                <w:kern w:val="2"/>
                <w:sz w:val="24"/>
                <w:szCs w:val="24"/>
                <w:highlight w:val="none"/>
                <w:lang w:val="en-US" w:eastAsia="zh-CN" w:bidi="ar-SA"/>
              </w:rPr>
              <w:t>/h变压吸附制氧装置的5套吸附塔，拆除管道及动力设备等。新建</w:t>
            </w:r>
            <w:r>
              <w:rPr>
                <w:rFonts w:hint="eastAsia" w:ascii="Times New Roman" w:hAnsi="Times New Roman" w:cs="Times New Roman"/>
                <w:color w:val="auto"/>
                <w:kern w:val="2"/>
                <w:sz w:val="24"/>
                <w:szCs w:val="24"/>
                <w:highlight w:val="none"/>
                <w:lang w:val="en-US" w:eastAsia="zh-CN" w:bidi="ar-SA"/>
              </w:rPr>
              <w:t>2×7500</w:t>
            </w:r>
            <w:r>
              <w:rPr>
                <w:rFonts w:hint="default" w:ascii="Times New Roman" w:hAnsi="Times New Roman" w:eastAsia="Arial" w:cs="Times New Roman"/>
                <w:color w:val="auto"/>
                <w:kern w:val="2"/>
                <w:sz w:val="24"/>
                <w:szCs w:val="24"/>
                <w:highlight w:val="none"/>
                <w:lang w:val="en-US" w:eastAsia="zh-CN" w:bidi="ar-SA"/>
              </w:rPr>
              <w:t>Nm</w:t>
            </w:r>
            <w:r>
              <w:rPr>
                <w:rFonts w:hint="default" w:ascii="Times New Roman" w:hAnsi="Times New Roman" w:eastAsia="Arial" w:cs="Times New Roman"/>
                <w:color w:val="auto"/>
                <w:kern w:val="2"/>
                <w:sz w:val="24"/>
                <w:szCs w:val="24"/>
                <w:highlight w:val="none"/>
                <w:vertAlign w:val="superscript"/>
                <w:lang w:val="en-US" w:eastAsia="zh-CN" w:bidi="ar-SA"/>
              </w:rPr>
              <w:t>3</w:t>
            </w:r>
            <w:r>
              <w:rPr>
                <w:rFonts w:hint="default" w:ascii="Times New Roman" w:hAnsi="Times New Roman" w:eastAsia="Arial" w:cs="Times New Roman"/>
                <w:color w:val="auto"/>
                <w:kern w:val="2"/>
                <w:sz w:val="24"/>
                <w:szCs w:val="24"/>
                <w:highlight w:val="none"/>
                <w:lang w:val="en-US" w:eastAsia="zh-CN" w:bidi="ar-SA"/>
              </w:rPr>
              <w:t>/h，纯度≥90%</w:t>
            </w:r>
            <w:r>
              <w:rPr>
                <w:rFonts w:hint="eastAsia" w:eastAsia="Arial" w:cs="Times New Roman"/>
                <w:color w:val="auto"/>
                <w:kern w:val="2"/>
                <w:sz w:val="24"/>
                <w:szCs w:val="24"/>
                <w:highlight w:val="none"/>
                <w:lang w:val="en-US" w:eastAsia="zh-CN" w:bidi="ar-SA"/>
              </w:rPr>
              <w:t>的</w:t>
            </w:r>
            <w:r>
              <w:rPr>
                <w:rFonts w:hint="default" w:ascii="Times New Roman" w:hAnsi="Times New Roman" w:eastAsia="Arial" w:cs="Times New Roman"/>
                <w:color w:val="auto"/>
                <w:kern w:val="2"/>
                <w:sz w:val="24"/>
                <w:szCs w:val="24"/>
                <w:highlight w:val="none"/>
                <w:lang w:val="en-US" w:eastAsia="zh-CN" w:bidi="ar-SA"/>
              </w:rPr>
              <w:t>制氧装置，现有厂房内的设备和管道拆除，厂房利旧，不足部分向西南方向扩建</w:t>
            </w:r>
            <w:r>
              <w:rPr>
                <w:rFonts w:hint="eastAsia" w:eastAsia="Arial" w:cs="Times New Roman"/>
                <w:color w:val="auto"/>
                <w:kern w:val="2"/>
                <w:sz w:val="24"/>
                <w:szCs w:val="24"/>
                <w:highlight w:val="none"/>
                <w:lang w:val="en-US" w:eastAsia="zh-CN" w:bidi="ar-SA"/>
              </w:rPr>
              <w:t>，扩建厂房占地属于易门铜业有限公司既有用地，不新增用地</w:t>
            </w:r>
            <w:r>
              <w:rPr>
                <w:rFonts w:hint="eastAsia" w:ascii="Times New Roman" w:hAnsi="Times New Roman"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项目</w:t>
            </w:r>
            <w:r>
              <w:rPr>
                <w:rFonts w:hint="default"/>
                <w:color w:val="auto"/>
                <w:highlight w:val="none"/>
                <w:lang w:val="en-US" w:eastAsia="zh-CN"/>
              </w:rPr>
              <w:t>采取“先建后拆、分步实施”的方案：先新建一套7500Nm³/h制氧装置，待投产后满足生产要求后，再拆除旧装置并建设第二套7500Nm³/h制氧装置。</w:t>
            </w:r>
          </w:p>
          <w:p>
            <w:pPr>
              <w:bidi w:val="0"/>
              <w:rPr>
                <w:color w:val="auto"/>
                <w:highlight w:val="none"/>
              </w:rPr>
            </w:pPr>
            <w:r>
              <w:rPr>
                <w:rFonts w:hint="eastAsia"/>
                <w:color w:val="auto"/>
                <w:highlight w:val="none"/>
                <w:lang w:val="en-US" w:eastAsia="zh-CN"/>
              </w:rPr>
              <w:t>本项目改建完成后易门铜业有限公司全厂供氧情况</w:t>
            </w:r>
            <w:r>
              <w:rPr>
                <w:rFonts w:hint="default"/>
                <w:color w:val="auto"/>
                <w:highlight w:val="none"/>
              </w:rPr>
              <w:t>如下：</w:t>
            </w:r>
          </w:p>
          <w:p>
            <w:pPr>
              <w:pStyle w:val="35"/>
              <w:bidi w:val="0"/>
              <w:rPr>
                <w:rFonts w:hint="default"/>
                <w:color w:val="auto"/>
                <w:highlight w:val="none"/>
                <w:lang w:val="en-US" w:eastAsia="zh-CN"/>
              </w:rPr>
            </w:pPr>
            <w:r>
              <w:rPr>
                <w:rFonts w:hint="eastAsia"/>
                <w:color w:val="auto"/>
                <w:highlight w:val="none"/>
                <w:lang w:val="en-US" w:eastAsia="zh-CN"/>
              </w:rPr>
              <w:t>表2-1  改建后易门铜业有限公司全厂制氧站情况一览表</w:t>
            </w:r>
          </w:p>
          <w:tbl>
            <w:tblPr>
              <w:tblStyle w:val="24"/>
              <w:tblW w:w="77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0"/>
              <w:gridCol w:w="1687"/>
              <w:gridCol w:w="1234"/>
              <w:gridCol w:w="1053"/>
              <w:gridCol w:w="1958"/>
              <w:gridCol w:w="12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600" w:type="dxa"/>
                  <w:tcBorders>
                    <w:tl2br w:val="nil"/>
                    <w:tr2bl w:val="nil"/>
                  </w:tcBorders>
                  <w:vAlign w:val="center"/>
                </w:tcPr>
                <w:p>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序号</w:t>
                  </w:r>
                </w:p>
              </w:tc>
              <w:tc>
                <w:tcPr>
                  <w:tcW w:w="1687" w:type="dxa"/>
                  <w:tcBorders>
                    <w:tl2br w:val="nil"/>
                    <w:tr2bl w:val="nil"/>
                  </w:tcBorders>
                  <w:vAlign w:val="center"/>
                </w:tcPr>
                <w:p>
                  <w:pPr>
                    <w:pStyle w:val="3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装置名称</w:t>
                  </w:r>
                </w:p>
              </w:tc>
              <w:tc>
                <w:tcPr>
                  <w:tcW w:w="1234" w:type="dxa"/>
                  <w:tcBorders>
                    <w:tl2br w:val="nil"/>
                    <w:tr2bl w:val="nil"/>
                  </w:tcBorders>
                  <w:vAlign w:val="center"/>
                </w:tcPr>
                <w:p>
                  <w:pPr>
                    <w:pStyle w:val="34"/>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设计规模</w:t>
                  </w:r>
                </w:p>
              </w:tc>
              <w:tc>
                <w:tcPr>
                  <w:tcW w:w="1053" w:type="dxa"/>
                  <w:tcBorders>
                    <w:tl2br w:val="nil"/>
                    <w:tr2bl w:val="nil"/>
                  </w:tcBorders>
                  <w:vAlign w:val="center"/>
                </w:tcPr>
                <w:p>
                  <w:pPr>
                    <w:pStyle w:val="3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工艺类型</w:t>
                  </w:r>
                </w:p>
              </w:tc>
              <w:tc>
                <w:tcPr>
                  <w:tcW w:w="1958" w:type="dxa"/>
                  <w:tcBorders>
                    <w:tl2br w:val="nil"/>
                    <w:tr2bl w:val="nil"/>
                  </w:tcBorders>
                  <w:vAlign w:val="center"/>
                </w:tcPr>
                <w:p>
                  <w:pPr>
                    <w:pStyle w:val="3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实际制</w:t>
                  </w:r>
                  <w:r>
                    <w:rPr>
                      <w:rFonts w:hint="default" w:ascii="Times New Roman" w:hAnsi="Times New Roman" w:eastAsia="宋体" w:cs="Times New Roman"/>
                      <w:color w:val="auto"/>
                      <w:highlight w:val="none"/>
                    </w:rPr>
                    <w:t>氧能力</w:t>
                  </w:r>
                </w:p>
              </w:tc>
              <w:tc>
                <w:tcPr>
                  <w:tcW w:w="1226" w:type="dxa"/>
                  <w:tcBorders>
                    <w:tl2br w:val="nil"/>
                    <w:tr2bl w:val="nil"/>
                  </w:tcBorders>
                  <w:vAlign w:val="center"/>
                </w:tcPr>
                <w:p>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纯度</w:t>
                  </w:r>
                  <w:r>
                    <w:rPr>
                      <w:rFonts w:hint="default" w:ascii="Times New Roman" w:hAnsi="Times New Roman" w:eastAsia="宋体" w:cs="Times New Roman"/>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tcBorders>
                    <w:tl2br w:val="nil"/>
                    <w:tr2bl w:val="nil"/>
                  </w:tcBorders>
                  <w:vAlign w:val="center"/>
                </w:tcPr>
                <w:p>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c>
                <w:tcPr>
                  <w:tcW w:w="1687" w:type="dxa"/>
                  <w:tcBorders>
                    <w:tl2br w:val="nil"/>
                    <w:tr2bl w:val="nil"/>
                  </w:tcBorders>
                  <w:vAlign w:val="center"/>
                </w:tcPr>
                <w:p>
                  <w:pPr>
                    <w:pStyle w:val="3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深冷制氧装置</w:t>
                  </w:r>
                </w:p>
              </w:tc>
              <w:tc>
                <w:tcPr>
                  <w:tcW w:w="1234" w:type="dxa"/>
                  <w:tcBorders>
                    <w:tl2br w:val="nil"/>
                    <w:tr2bl w:val="nil"/>
                  </w:tcBorders>
                  <w:vAlign w:val="center"/>
                </w:tcPr>
                <w:p>
                  <w:pPr>
                    <w:pStyle w:val="3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4000Nm³/h</w:t>
                  </w:r>
                </w:p>
              </w:tc>
              <w:tc>
                <w:tcPr>
                  <w:tcW w:w="1053" w:type="dxa"/>
                  <w:tcBorders>
                    <w:tl2br w:val="nil"/>
                    <w:tr2bl w:val="nil"/>
                  </w:tcBorders>
                  <w:vAlign w:val="center"/>
                </w:tcPr>
                <w:p>
                  <w:pPr>
                    <w:pStyle w:val="3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深冷空分</w:t>
                  </w:r>
                </w:p>
              </w:tc>
              <w:tc>
                <w:tcPr>
                  <w:tcW w:w="1958" w:type="dxa"/>
                  <w:tcBorders>
                    <w:tl2br w:val="nil"/>
                    <w:tr2bl w:val="nil"/>
                  </w:tcBorders>
                  <w:vAlign w:val="center"/>
                </w:tcPr>
                <w:p>
                  <w:pPr>
                    <w:pStyle w:val="3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约4000Nm³/h</w:t>
                  </w:r>
                </w:p>
              </w:tc>
              <w:tc>
                <w:tcPr>
                  <w:tcW w:w="1226" w:type="dxa"/>
                  <w:tcBorders>
                    <w:tl2br w:val="nil"/>
                    <w:tr2bl w:val="nil"/>
                  </w:tcBorders>
                  <w:vAlign w:val="center"/>
                </w:tcPr>
                <w:p>
                  <w:pPr>
                    <w:pStyle w:val="34"/>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tcBorders>
                    <w:tl2br w:val="nil"/>
                    <w:tr2bl w:val="nil"/>
                  </w:tcBorders>
                  <w:vAlign w:val="center"/>
                </w:tcPr>
                <w:p>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w:t>
                  </w:r>
                </w:p>
              </w:tc>
              <w:tc>
                <w:tcPr>
                  <w:tcW w:w="1687" w:type="dxa"/>
                  <w:tcBorders>
                    <w:tl2br w:val="nil"/>
                    <w:tr2bl w:val="nil"/>
                  </w:tcBorders>
                  <w:vAlign w:val="center"/>
                </w:tcPr>
                <w:p>
                  <w:pPr>
                    <w:pStyle w:val="34"/>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变压吸附制氧装置</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本次改建工程</w:t>
                  </w:r>
                  <w:r>
                    <w:rPr>
                      <w:rFonts w:hint="default" w:ascii="Times New Roman" w:hAnsi="Times New Roman" w:eastAsia="宋体" w:cs="Times New Roman"/>
                      <w:color w:val="auto"/>
                      <w:highlight w:val="none"/>
                      <w:lang w:eastAsia="zh-CN"/>
                    </w:rPr>
                    <w:t>）</w:t>
                  </w:r>
                </w:p>
              </w:tc>
              <w:tc>
                <w:tcPr>
                  <w:tcW w:w="1234" w:type="dxa"/>
                  <w:tcBorders>
                    <w:tl2br w:val="nil"/>
                    <w:tr2bl w:val="nil"/>
                  </w:tcBorders>
                  <w:shd w:val="clear" w:color="auto" w:fill="auto"/>
                  <w:vAlign w:val="center"/>
                </w:tcPr>
                <w:p>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2×7500</w:t>
                  </w:r>
                  <w:r>
                    <w:rPr>
                      <w:rFonts w:hint="default" w:ascii="Times New Roman" w:hAnsi="Times New Roman" w:eastAsia="宋体" w:cs="Times New Roman"/>
                      <w:color w:val="auto"/>
                      <w:highlight w:val="none"/>
                    </w:rPr>
                    <w:t>Nm³/h</w:t>
                  </w:r>
                </w:p>
              </w:tc>
              <w:tc>
                <w:tcPr>
                  <w:tcW w:w="1053" w:type="dxa"/>
                  <w:tcBorders>
                    <w:tl2br w:val="nil"/>
                    <w:tr2bl w:val="nil"/>
                  </w:tcBorders>
                  <w:vAlign w:val="center"/>
                </w:tcPr>
                <w:p>
                  <w:pPr>
                    <w:pStyle w:val="3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轴向吸附VPSA</w:t>
                  </w:r>
                </w:p>
              </w:tc>
              <w:tc>
                <w:tcPr>
                  <w:tcW w:w="1958" w:type="dxa"/>
                  <w:tcBorders>
                    <w:tl2br w:val="nil"/>
                    <w:tr2bl w:val="nil"/>
                  </w:tcBorders>
                  <w:vAlign w:val="center"/>
                </w:tcPr>
                <w:p>
                  <w:pPr>
                    <w:pStyle w:val="3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2×7500</w:t>
                  </w:r>
                  <w:r>
                    <w:rPr>
                      <w:rFonts w:hint="default" w:ascii="Times New Roman" w:hAnsi="Times New Roman" w:eastAsia="宋体" w:cs="Times New Roman"/>
                      <w:color w:val="auto"/>
                      <w:highlight w:val="none"/>
                    </w:rPr>
                    <w:t>Nm³/h</w:t>
                  </w:r>
                </w:p>
              </w:tc>
              <w:tc>
                <w:tcPr>
                  <w:tcW w:w="1226" w:type="dxa"/>
                  <w:tcBorders>
                    <w:tl2br w:val="nil"/>
                    <w:tr2bl w:val="nil"/>
                  </w:tcBorders>
                  <w:vAlign w:val="center"/>
                </w:tcPr>
                <w:p>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tcBorders>
                    <w:tl2br w:val="nil"/>
                    <w:tr2bl w:val="nil"/>
                  </w:tcBorders>
                  <w:vAlign w:val="center"/>
                </w:tcPr>
                <w:p>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w:t>
                  </w:r>
                </w:p>
              </w:tc>
              <w:tc>
                <w:tcPr>
                  <w:tcW w:w="1687" w:type="dxa"/>
                  <w:tcBorders>
                    <w:tl2br w:val="nil"/>
                    <w:tr2bl w:val="nil"/>
                  </w:tcBorders>
                  <w:vAlign w:val="center"/>
                </w:tcPr>
                <w:p>
                  <w:pPr>
                    <w:pStyle w:val="3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变压吸附制氧装置</w:t>
                  </w:r>
                </w:p>
              </w:tc>
              <w:tc>
                <w:tcPr>
                  <w:tcW w:w="1234" w:type="dxa"/>
                  <w:tcBorders>
                    <w:tl2br w:val="nil"/>
                    <w:tr2bl w:val="nil"/>
                  </w:tcBorders>
                  <w:shd w:val="clear" w:color="auto" w:fill="auto"/>
                  <w:vAlign w:val="center"/>
                </w:tcPr>
                <w:p>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w:t>
                  </w:r>
                  <w:r>
                    <w:rPr>
                      <w:rFonts w:hint="default" w:ascii="Times New Roman" w:hAnsi="Times New Roman" w:eastAsia="宋体" w:cs="Times New Roman"/>
                      <w:color w:val="auto"/>
                      <w:highlight w:val="none"/>
                    </w:rPr>
                    <w:t>000Nm³/h</w:t>
                  </w:r>
                </w:p>
              </w:tc>
              <w:tc>
                <w:tcPr>
                  <w:tcW w:w="1053" w:type="dxa"/>
                  <w:tcBorders>
                    <w:tl2br w:val="nil"/>
                    <w:tr2bl w:val="nil"/>
                  </w:tcBorders>
                  <w:vAlign w:val="center"/>
                </w:tcPr>
                <w:p>
                  <w:pPr>
                    <w:pStyle w:val="3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VPSA</w:t>
                  </w:r>
                </w:p>
              </w:tc>
              <w:tc>
                <w:tcPr>
                  <w:tcW w:w="1958" w:type="dxa"/>
                  <w:tcBorders>
                    <w:tl2br w:val="nil"/>
                    <w:tr2bl w:val="nil"/>
                  </w:tcBorders>
                  <w:vAlign w:val="center"/>
                </w:tcPr>
                <w:p>
                  <w:pPr>
                    <w:pStyle w:val="3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10000Nm³/h</w:t>
                  </w:r>
                </w:p>
              </w:tc>
              <w:tc>
                <w:tcPr>
                  <w:tcW w:w="1226" w:type="dxa"/>
                  <w:tcBorders>
                    <w:tl2br w:val="nil"/>
                    <w:tr2bl w:val="nil"/>
                  </w:tcBorders>
                  <w:vAlign w:val="center"/>
                </w:tcPr>
                <w:p>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87" w:type="dxa"/>
                  <w:gridSpan w:val="2"/>
                  <w:tcBorders>
                    <w:tl2br w:val="nil"/>
                    <w:tr2bl w:val="nil"/>
                  </w:tcBorders>
                  <w:vAlign w:val="center"/>
                </w:tcPr>
                <w:p>
                  <w:pPr>
                    <w:pStyle w:val="34"/>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全厂合计</w:t>
                  </w:r>
                </w:p>
              </w:tc>
              <w:tc>
                <w:tcPr>
                  <w:tcW w:w="1234" w:type="dxa"/>
                  <w:tcBorders>
                    <w:tl2br w:val="nil"/>
                    <w:tr2bl w:val="nil"/>
                  </w:tcBorders>
                  <w:shd w:val="clear" w:color="auto" w:fill="auto"/>
                  <w:vAlign w:val="center"/>
                </w:tcPr>
                <w:p>
                  <w:pPr>
                    <w:pStyle w:val="34"/>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29000</w:t>
                  </w:r>
                  <w:r>
                    <w:rPr>
                      <w:rFonts w:hint="default" w:ascii="Times New Roman" w:hAnsi="Times New Roman" w:eastAsia="宋体" w:cs="Times New Roman"/>
                      <w:color w:val="auto"/>
                      <w:highlight w:val="none"/>
                    </w:rPr>
                    <w:t>Nm³/h</w:t>
                  </w:r>
                </w:p>
              </w:tc>
              <w:tc>
                <w:tcPr>
                  <w:tcW w:w="1053" w:type="dxa"/>
                  <w:tcBorders>
                    <w:tl2br w:val="nil"/>
                    <w:tr2bl w:val="nil"/>
                  </w:tcBorders>
                  <w:vAlign w:val="center"/>
                </w:tcPr>
                <w:p>
                  <w:pPr>
                    <w:pStyle w:val="34"/>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1958" w:type="dxa"/>
                  <w:tcBorders>
                    <w:tl2br w:val="nil"/>
                    <w:tr2bl w:val="nil"/>
                  </w:tcBorders>
                  <w:vAlign w:val="center"/>
                </w:tcPr>
                <w:p>
                  <w:pPr>
                    <w:pStyle w:val="34"/>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约26500</w:t>
                  </w:r>
                  <w:r>
                    <w:rPr>
                      <w:rFonts w:hint="default" w:ascii="Times New Roman" w:hAnsi="Times New Roman" w:eastAsia="宋体" w:cs="Times New Roman"/>
                      <w:color w:val="auto"/>
                      <w:highlight w:val="none"/>
                    </w:rPr>
                    <w:t>Nm³/h</w:t>
                  </w:r>
                </w:p>
              </w:tc>
              <w:tc>
                <w:tcPr>
                  <w:tcW w:w="1226" w:type="dxa"/>
                  <w:tcBorders>
                    <w:tl2br w:val="nil"/>
                    <w:tr2bl w:val="nil"/>
                  </w:tcBorders>
                  <w:vAlign w:val="center"/>
                </w:tcPr>
                <w:p>
                  <w:pPr>
                    <w:pStyle w:val="34"/>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100</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cs="Times New Roman"/>
                <w:color w:val="auto"/>
                <w:kern w:val="2"/>
                <w:sz w:val="24"/>
                <w:szCs w:val="24"/>
                <w:highlight w:val="none"/>
                <w:lang w:val="en-US" w:eastAsia="zh-CN" w:bidi="ar-SA"/>
              </w:rPr>
            </w:pPr>
            <w:r>
              <w:rPr>
                <w:color w:val="auto"/>
                <w:highlight w:val="none"/>
              </w:rPr>
              <w:t>三套装置满负荷生产折合纯氧产量合计最高约</w:t>
            </w:r>
            <w:r>
              <w:rPr>
                <w:rFonts w:hint="eastAsia"/>
                <w:color w:val="auto"/>
                <w:highlight w:val="none"/>
                <w:lang w:val="en-US" w:eastAsia="zh-CN"/>
              </w:rPr>
              <w:t>265</w:t>
            </w:r>
            <w:r>
              <w:rPr>
                <w:color w:val="auto"/>
                <w:highlight w:val="none"/>
              </w:rPr>
              <w:t>00Nm³/h（纯度：100%），全厂用氧需求为20900Nm³/h，</w:t>
            </w:r>
            <w:r>
              <w:rPr>
                <w:rFonts w:hint="eastAsia"/>
                <w:color w:val="auto"/>
                <w:highlight w:val="none"/>
                <w:lang w:val="en-US" w:eastAsia="zh-CN"/>
              </w:rPr>
              <w:t>因此，本项目改建完成后全厂制氧装置制氧量可满足厂区用氧需求</w:t>
            </w:r>
            <w:r>
              <w:rPr>
                <w:color w:val="auto"/>
                <w:highlight w:val="none"/>
              </w:rPr>
              <w:t>。</w:t>
            </w:r>
          </w:p>
          <w:p>
            <w:pPr>
              <w:bidi w:val="0"/>
              <w:rPr>
                <w:rFonts w:hint="default"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（五）项目主要工程内容</w:t>
            </w:r>
          </w:p>
          <w:p>
            <w:pPr>
              <w:bidi w:val="0"/>
              <w:rPr>
                <w:color w:val="auto"/>
                <w:highlight w:val="none"/>
              </w:rPr>
            </w:pPr>
            <w:r>
              <w:rPr>
                <w:rFonts w:hint="eastAsia"/>
                <w:color w:val="auto"/>
                <w:highlight w:val="none"/>
                <w:lang w:val="en-US" w:eastAsia="zh-CN"/>
              </w:rPr>
              <w:t>本项目主要建设内容包括：主体工程、公用工程、辅助工程、储运工程、环保工程、依托工程等几个部分，主要建设内容详见下表：</w:t>
            </w:r>
          </w:p>
          <w:p>
            <w:pPr>
              <w:pStyle w:val="36"/>
              <w:bidi w:val="0"/>
              <w:rPr>
                <w:rFonts w:hint="eastAsia"/>
                <w:color w:val="auto"/>
                <w:highlight w:val="none"/>
                <w:lang w:val="en-US" w:eastAsia="zh-CN"/>
              </w:rPr>
            </w:pPr>
            <w:r>
              <w:rPr>
                <w:rFonts w:hint="default"/>
                <w:color w:val="auto"/>
                <w:highlight w:val="none"/>
                <w:lang w:val="en-US" w:eastAsia="zh-CN"/>
              </w:rPr>
              <w:t>表2-</w:t>
            </w:r>
            <w:r>
              <w:rPr>
                <w:rFonts w:hint="eastAsia"/>
                <w:color w:val="auto"/>
                <w:highlight w:val="none"/>
                <w:lang w:val="en-US" w:eastAsia="zh-CN"/>
              </w:rPr>
              <w:t>2</w:t>
            </w:r>
            <w:r>
              <w:rPr>
                <w:rFonts w:hint="default"/>
                <w:color w:val="auto"/>
                <w:highlight w:val="none"/>
                <w:lang w:val="en-US" w:eastAsia="zh-CN"/>
              </w:rPr>
              <w:t xml:space="preserve">  项目主要工程建设内容一览表</w:t>
            </w:r>
          </w:p>
          <w:tbl>
            <w:tblPr>
              <w:tblStyle w:val="24"/>
              <w:tblW w:w="79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4"/>
              <w:gridCol w:w="397"/>
              <w:gridCol w:w="681"/>
              <w:gridCol w:w="2158"/>
              <w:gridCol w:w="3127"/>
              <w:gridCol w:w="9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44" w:type="dxa"/>
                  <w:vMerge w:val="restart"/>
                  <w:tcBorders>
                    <w:tl2br w:val="nil"/>
                    <w:tr2bl w:val="nil"/>
                  </w:tcBorders>
                  <w:vAlign w:val="center"/>
                </w:tcPr>
                <w:p>
                  <w:pPr>
                    <w:pStyle w:val="38"/>
                    <w:bidi w:val="0"/>
                    <w:jc w:val="center"/>
                    <w:rPr>
                      <w:rFonts w:hint="default"/>
                      <w:color w:val="auto"/>
                      <w:highlight w:val="none"/>
                      <w:lang w:val="en-US" w:eastAsia="zh-CN"/>
                    </w:rPr>
                  </w:pPr>
                  <w:r>
                    <w:rPr>
                      <w:rFonts w:hint="eastAsia"/>
                      <w:color w:val="auto"/>
                      <w:highlight w:val="none"/>
                      <w:lang w:val="en-US" w:eastAsia="zh-CN"/>
                    </w:rPr>
                    <w:t>工程类别</w:t>
                  </w:r>
                </w:p>
              </w:tc>
              <w:tc>
                <w:tcPr>
                  <w:tcW w:w="1078" w:type="dxa"/>
                  <w:gridSpan w:val="2"/>
                  <w:vMerge w:val="restart"/>
                  <w:tcBorders>
                    <w:tl2br w:val="nil"/>
                    <w:tr2bl w:val="nil"/>
                  </w:tcBorders>
                  <w:vAlign w:val="center"/>
                </w:tcPr>
                <w:p>
                  <w:pPr>
                    <w:pStyle w:val="38"/>
                    <w:bidi w:val="0"/>
                    <w:jc w:val="center"/>
                    <w:rPr>
                      <w:rFonts w:hint="default"/>
                      <w:color w:val="auto"/>
                      <w:highlight w:val="none"/>
                      <w:lang w:val="en-US" w:eastAsia="zh-CN"/>
                    </w:rPr>
                  </w:pPr>
                  <w:r>
                    <w:rPr>
                      <w:rFonts w:hint="eastAsia"/>
                      <w:color w:val="auto"/>
                      <w:highlight w:val="none"/>
                      <w:lang w:val="en-US" w:eastAsia="zh-CN"/>
                    </w:rPr>
                    <w:t>项目组成</w:t>
                  </w:r>
                </w:p>
              </w:tc>
              <w:tc>
                <w:tcPr>
                  <w:tcW w:w="5285" w:type="dxa"/>
                  <w:gridSpan w:val="2"/>
                  <w:tcBorders>
                    <w:tl2br w:val="nil"/>
                    <w:tr2bl w:val="nil"/>
                  </w:tcBorders>
                  <w:vAlign w:val="center"/>
                </w:tcPr>
                <w:p>
                  <w:pPr>
                    <w:pStyle w:val="38"/>
                    <w:bidi w:val="0"/>
                    <w:jc w:val="center"/>
                    <w:rPr>
                      <w:rFonts w:hint="eastAsia"/>
                      <w:color w:val="auto"/>
                      <w:highlight w:val="none"/>
                      <w:lang w:val="en-US" w:eastAsia="zh-CN"/>
                    </w:rPr>
                  </w:pPr>
                  <w:r>
                    <w:rPr>
                      <w:rFonts w:hint="eastAsia"/>
                      <w:color w:val="auto"/>
                      <w:highlight w:val="none"/>
                      <w:lang w:val="en-US" w:eastAsia="zh-CN"/>
                    </w:rPr>
                    <w:t>建设内容</w:t>
                  </w:r>
                </w:p>
              </w:tc>
              <w:tc>
                <w:tcPr>
                  <w:tcW w:w="915" w:type="dxa"/>
                  <w:vMerge w:val="restart"/>
                  <w:tcBorders>
                    <w:tl2br w:val="nil"/>
                    <w:tr2bl w:val="nil"/>
                  </w:tcBorders>
                  <w:vAlign w:val="center"/>
                </w:tcPr>
                <w:p>
                  <w:pPr>
                    <w:pStyle w:val="38"/>
                    <w:bidi w:val="0"/>
                    <w:jc w:val="center"/>
                    <w:rPr>
                      <w:rFonts w:hint="default"/>
                      <w:color w:val="auto"/>
                      <w:highlight w:val="none"/>
                      <w:lang w:val="en-US" w:eastAsia="zh-CN"/>
                    </w:rPr>
                  </w:pPr>
                  <w:r>
                    <w:rPr>
                      <w:rFonts w:hint="eastAsia"/>
                      <w:color w:val="auto"/>
                      <w:highlight w:val="no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44" w:type="dxa"/>
                  <w:vMerge w:val="continue"/>
                  <w:tcBorders>
                    <w:tl2br w:val="nil"/>
                    <w:tr2bl w:val="nil"/>
                  </w:tcBorders>
                  <w:vAlign w:val="center"/>
                </w:tcPr>
                <w:p>
                  <w:pPr>
                    <w:pStyle w:val="38"/>
                    <w:bidi w:val="0"/>
                    <w:jc w:val="center"/>
                    <w:rPr>
                      <w:color w:val="auto"/>
                      <w:highlight w:val="none"/>
                    </w:rPr>
                  </w:pPr>
                </w:p>
              </w:tc>
              <w:tc>
                <w:tcPr>
                  <w:tcW w:w="1078" w:type="dxa"/>
                  <w:gridSpan w:val="2"/>
                  <w:vMerge w:val="continue"/>
                  <w:tcBorders>
                    <w:tl2br w:val="nil"/>
                    <w:tr2bl w:val="nil"/>
                  </w:tcBorders>
                  <w:vAlign w:val="center"/>
                </w:tcPr>
                <w:p>
                  <w:pPr>
                    <w:pStyle w:val="38"/>
                    <w:bidi w:val="0"/>
                    <w:jc w:val="center"/>
                    <w:rPr>
                      <w:color w:val="auto"/>
                      <w:highlight w:val="none"/>
                    </w:rPr>
                  </w:pPr>
                </w:p>
              </w:tc>
              <w:tc>
                <w:tcPr>
                  <w:tcW w:w="2158" w:type="dxa"/>
                  <w:tcBorders>
                    <w:tl2br w:val="nil"/>
                    <w:tr2bl w:val="nil"/>
                  </w:tcBorders>
                  <w:vAlign w:val="center"/>
                </w:tcPr>
                <w:p>
                  <w:pPr>
                    <w:pStyle w:val="38"/>
                    <w:bidi w:val="0"/>
                    <w:jc w:val="center"/>
                    <w:rPr>
                      <w:rFonts w:hint="default"/>
                      <w:color w:val="auto"/>
                      <w:highlight w:val="none"/>
                      <w:lang w:val="en-US" w:eastAsia="zh-CN"/>
                    </w:rPr>
                  </w:pPr>
                  <w:r>
                    <w:rPr>
                      <w:rFonts w:hint="eastAsia"/>
                      <w:color w:val="auto"/>
                      <w:highlight w:val="none"/>
                      <w:lang w:val="en-US" w:eastAsia="zh-CN"/>
                    </w:rPr>
                    <w:t>现有工程（6500Nm³/h装置）</w:t>
                  </w:r>
                </w:p>
              </w:tc>
              <w:tc>
                <w:tcPr>
                  <w:tcW w:w="3127" w:type="dxa"/>
                  <w:tcBorders>
                    <w:tl2br w:val="nil"/>
                    <w:tr2bl w:val="nil"/>
                  </w:tcBorders>
                  <w:shd w:val="clear" w:color="auto" w:fill="auto"/>
                  <w:vAlign w:val="center"/>
                </w:tcPr>
                <w:p>
                  <w:pPr>
                    <w:pStyle w:val="38"/>
                    <w:bidi w:val="0"/>
                    <w:ind w:firstLine="0" w:firstLineChars="0"/>
                    <w:jc w:val="center"/>
                    <w:rPr>
                      <w:rFonts w:hint="eastAsia" w:ascii="Times New Roman" w:hAnsi="Times New Roman" w:eastAsia="宋体" w:cstheme="minorBidi"/>
                      <w:color w:val="auto"/>
                      <w:kern w:val="0"/>
                      <w:sz w:val="18"/>
                      <w:szCs w:val="18"/>
                      <w:highlight w:val="none"/>
                      <w:lang w:val="en-US" w:eastAsia="zh-CN" w:bidi="ar-SA"/>
                    </w:rPr>
                  </w:pPr>
                  <w:r>
                    <w:rPr>
                      <w:rFonts w:hint="eastAsia"/>
                      <w:color w:val="auto"/>
                      <w:highlight w:val="none"/>
                      <w:lang w:val="en-US" w:eastAsia="zh-CN"/>
                    </w:rPr>
                    <w:t>改扩建后工程（2×7500Nm³/h装置）</w:t>
                  </w:r>
                </w:p>
              </w:tc>
              <w:tc>
                <w:tcPr>
                  <w:tcW w:w="915" w:type="dxa"/>
                  <w:vMerge w:val="continue"/>
                  <w:tcBorders>
                    <w:tl2br w:val="nil"/>
                    <w:tr2bl w:val="nil"/>
                  </w:tcBorders>
                  <w:vAlign w:val="center"/>
                </w:tcPr>
                <w:p>
                  <w:pPr>
                    <w:pStyle w:val="38"/>
                    <w:bidi w:val="0"/>
                    <w:jc w:val="center"/>
                    <w:rPr>
                      <w:rFonts w:hint="eastAsia"/>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Merge w:val="restart"/>
                  <w:tcBorders>
                    <w:tl2br w:val="nil"/>
                    <w:tr2bl w:val="nil"/>
                  </w:tcBorders>
                  <w:vAlign w:val="center"/>
                </w:tcPr>
                <w:p>
                  <w:pPr>
                    <w:pStyle w:val="38"/>
                    <w:bidi w:val="0"/>
                    <w:rPr>
                      <w:rFonts w:hint="default"/>
                      <w:color w:val="auto"/>
                      <w:highlight w:val="none"/>
                      <w:lang w:val="en-US" w:eastAsia="zh-CN"/>
                    </w:rPr>
                  </w:pPr>
                  <w:r>
                    <w:rPr>
                      <w:rFonts w:hint="eastAsia"/>
                      <w:color w:val="auto"/>
                      <w:highlight w:val="none"/>
                      <w:lang w:val="en-US" w:eastAsia="zh-CN"/>
                    </w:rPr>
                    <w:t>主体工程</w:t>
                  </w:r>
                </w:p>
              </w:tc>
              <w:tc>
                <w:tcPr>
                  <w:tcW w:w="1078" w:type="dxa"/>
                  <w:gridSpan w:val="2"/>
                  <w:tcBorders>
                    <w:tl2br w:val="nil"/>
                    <w:tr2bl w:val="nil"/>
                  </w:tcBorders>
                  <w:vAlign w:val="center"/>
                </w:tcPr>
                <w:p>
                  <w:pPr>
                    <w:pStyle w:val="38"/>
                    <w:bidi w:val="0"/>
                    <w:rPr>
                      <w:rFonts w:hint="default"/>
                      <w:color w:val="auto"/>
                      <w:highlight w:val="none"/>
                      <w:lang w:val="en-US" w:eastAsia="zh-CN"/>
                    </w:rPr>
                  </w:pPr>
                  <w:r>
                    <w:rPr>
                      <w:rFonts w:hint="default"/>
                      <w:color w:val="auto"/>
                      <w:highlight w:val="none"/>
                      <w:lang w:val="en-US" w:eastAsia="zh-CN"/>
                    </w:rPr>
                    <w:t>制氧</w:t>
                  </w:r>
                  <w:r>
                    <w:rPr>
                      <w:rFonts w:hint="eastAsia"/>
                      <w:color w:val="auto"/>
                      <w:highlight w:val="none"/>
                      <w:lang w:val="en-US" w:eastAsia="zh-CN"/>
                    </w:rPr>
                    <w:t>车间</w:t>
                  </w:r>
                </w:p>
              </w:tc>
              <w:tc>
                <w:tcPr>
                  <w:tcW w:w="2158" w:type="dxa"/>
                  <w:tcBorders>
                    <w:tl2br w:val="nil"/>
                    <w:tr2bl w:val="nil"/>
                  </w:tcBorders>
                  <w:vAlign w:val="center"/>
                </w:tcPr>
                <w:p>
                  <w:pPr>
                    <w:pStyle w:val="38"/>
                    <w:bidi w:val="0"/>
                    <w:jc w:val="both"/>
                    <w:rPr>
                      <w:rFonts w:hint="default"/>
                      <w:color w:val="auto"/>
                      <w:highlight w:val="none"/>
                      <w:lang w:val="en-US" w:eastAsia="zh-CN"/>
                    </w:rPr>
                  </w:pPr>
                  <w:r>
                    <w:rPr>
                      <w:rFonts w:hint="eastAsia"/>
                      <w:color w:val="auto"/>
                      <w:highlight w:val="none"/>
                      <w:lang w:val="en-US" w:eastAsia="zh-CN"/>
                    </w:rPr>
                    <w:t>现有制氧车间尺寸为42</w:t>
                  </w:r>
                  <w:r>
                    <w:rPr>
                      <w:rFonts w:hint="eastAsia" w:eastAsia="宋体"/>
                      <w:color w:val="auto"/>
                      <w:highlight w:val="none"/>
                      <w:lang w:val="en-US" w:eastAsia="zh-CN"/>
                    </w:rPr>
                    <w:t>×12m；车间内设置一套</w:t>
                  </w:r>
                  <w:r>
                    <w:rPr>
                      <w:rFonts w:hint="eastAsia"/>
                      <w:color w:val="auto"/>
                      <w:highlight w:val="none"/>
                      <w:lang w:val="en-US" w:eastAsia="zh-CN"/>
                    </w:rPr>
                    <w:t>6500Nm³/h VPSA制氧装置（轴向吸附塔5套），纯度80%，投产于2006年。</w:t>
                  </w:r>
                </w:p>
              </w:tc>
              <w:tc>
                <w:tcPr>
                  <w:tcW w:w="3127" w:type="dxa"/>
                  <w:tcBorders>
                    <w:tl2br w:val="nil"/>
                    <w:tr2bl w:val="nil"/>
                  </w:tcBorders>
                  <w:shd w:val="clear" w:color="auto" w:fill="auto"/>
                  <w:vAlign w:val="center"/>
                </w:tcPr>
                <w:p>
                  <w:pPr>
                    <w:pStyle w:val="38"/>
                    <w:bidi w:val="0"/>
                    <w:ind w:firstLine="0" w:firstLineChars="0"/>
                    <w:jc w:val="both"/>
                    <w:rPr>
                      <w:rFonts w:hint="eastAsia" w:ascii="Times New Roman" w:hAnsi="Times New Roman" w:eastAsia="宋体" w:cstheme="minorBidi"/>
                      <w:color w:val="auto"/>
                      <w:kern w:val="0"/>
                      <w:sz w:val="18"/>
                      <w:szCs w:val="18"/>
                      <w:highlight w:val="none"/>
                      <w:lang w:val="en-US" w:eastAsia="zh-CN" w:bidi="ar-SA"/>
                    </w:rPr>
                  </w:pPr>
                  <w:r>
                    <w:rPr>
                      <w:rFonts w:hint="eastAsia" w:eastAsia="宋体"/>
                      <w:color w:val="auto"/>
                      <w:highlight w:val="none"/>
                      <w:lang w:val="en-US" w:eastAsia="zh-CN"/>
                    </w:rPr>
                    <w:t>制氧车间在现有厂房基础上向西</w:t>
                  </w:r>
                  <w:r>
                    <w:rPr>
                      <w:rFonts w:hint="eastAsia"/>
                      <w:color w:val="auto"/>
                      <w:highlight w:val="none"/>
                      <w:lang w:val="en-US" w:eastAsia="zh-CN"/>
                    </w:rPr>
                    <w:t>南</w:t>
                  </w:r>
                  <w:r>
                    <w:rPr>
                      <w:rFonts w:hint="eastAsia" w:eastAsia="宋体"/>
                      <w:color w:val="auto"/>
                      <w:highlight w:val="none"/>
                      <w:lang w:val="en-US" w:eastAsia="zh-CN"/>
                    </w:rPr>
                    <w:t>扩建20m（扩建后尺寸：62m×12m）；</w:t>
                  </w:r>
                  <w:r>
                    <w:rPr>
                      <w:rFonts w:hint="default"/>
                      <w:color w:val="auto"/>
                      <w:highlight w:val="none"/>
                      <w:lang w:val="en-US" w:eastAsia="zh-CN"/>
                    </w:rPr>
                    <w:t>拆除现有6500Nm³/h变压吸附制氧装置（含5套吸附塔、管道、动力设备等）；原址改建2×7500Nm³/h、纯度≥90%的VPSA制氧装置，总产氧规模15000Nm³/h。</w:t>
                  </w:r>
                </w:p>
              </w:tc>
              <w:tc>
                <w:tcPr>
                  <w:tcW w:w="915" w:type="dxa"/>
                  <w:tcBorders>
                    <w:tl2br w:val="nil"/>
                    <w:tr2bl w:val="nil"/>
                  </w:tcBorders>
                  <w:vAlign w:val="center"/>
                </w:tcPr>
                <w:p>
                  <w:pPr>
                    <w:pStyle w:val="38"/>
                    <w:bidi w:val="0"/>
                    <w:jc w:val="center"/>
                    <w:rPr>
                      <w:rFonts w:hint="default" w:eastAsia="宋体"/>
                      <w:color w:val="auto"/>
                      <w:highlight w:val="none"/>
                      <w:lang w:val="en-US" w:eastAsia="zh-CN"/>
                    </w:rPr>
                  </w:pPr>
                  <w:r>
                    <w:rPr>
                      <w:rFonts w:hint="eastAsia"/>
                      <w:color w:val="auto"/>
                      <w:highlight w:val="none"/>
                      <w:lang w:val="en-US" w:eastAsia="zh-CN"/>
                    </w:rPr>
                    <w:t>利用原厂房扩建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Merge w:val="continue"/>
                  <w:tcBorders>
                    <w:tl2br w:val="nil"/>
                    <w:tr2bl w:val="nil"/>
                  </w:tcBorders>
                  <w:vAlign w:val="center"/>
                </w:tcPr>
                <w:p>
                  <w:pPr>
                    <w:pStyle w:val="38"/>
                    <w:bidi w:val="0"/>
                    <w:rPr>
                      <w:rFonts w:hint="eastAsia"/>
                      <w:color w:val="auto"/>
                      <w:highlight w:val="none"/>
                      <w:lang w:val="en-US" w:eastAsia="zh-CN"/>
                    </w:rPr>
                  </w:pPr>
                </w:p>
              </w:tc>
              <w:tc>
                <w:tcPr>
                  <w:tcW w:w="1078" w:type="dxa"/>
                  <w:gridSpan w:val="2"/>
                  <w:tcBorders>
                    <w:tl2br w:val="nil"/>
                    <w:tr2bl w:val="nil"/>
                  </w:tcBorders>
                  <w:vAlign w:val="center"/>
                </w:tcPr>
                <w:p>
                  <w:pPr>
                    <w:pStyle w:val="38"/>
                    <w:bidi w:val="0"/>
                    <w:rPr>
                      <w:rFonts w:hint="default"/>
                      <w:color w:val="auto"/>
                      <w:highlight w:val="none"/>
                      <w:lang w:val="en-US" w:eastAsia="zh-CN"/>
                    </w:rPr>
                  </w:pPr>
                  <w:r>
                    <w:rPr>
                      <w:rFonts w:hint="eastAsia"/>
                      <w:color w:val="auto"/>
                      <w:highlight w:val="none"/>
                      <w:lang w:val="en-US" w:eastAsia="zh-CN"/>
                    </w:rPr>
                    <w:t>吸附塔及缓冲罐</w:t>
                  </w:r>
                </w:p>
              </w:tc>
              <w:tc>
                <w:tcPr>
                  <w:tcW w:w="2158" w:type="dxa"/>
                  <w:tcBorders>
                    <w:tl2br w:val="nil"/>
                    <w:tr2bl w:val="nil"/>
                  </w:tcBorders>
                  <w:vAlign w:val="center"/>
                </w:tcPr>
                <w:p>
                  <w:pPr>
                    <w:pStyle w:val="38"/>
                    <w:bidi w:val="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轴向吸附塔5套（落后工艺，能效低</w:t>
                  </w:r>
                  <w:r>
                    <w:rPr>
                      <w:rFonts w:hint="eastAsia" w:cs="Times New Roman"/>
                      <w:color w:val="auto"/>
                      <w:highlight w:val="none"/>
                      <w:lang w:eastAsia="zh-CN"/>
                    </w:rPr>
                    <w:t>，</w:t>
                  </w:r>
                  <w:r>
                    <w:rPr>
                      <w:rFonts w:hint="eastAsia" w:cs="Times New Roman"/>
                      <w:color w:val="auto"/>
                      <w:highlight w:val="none"/>
                      <w:lang w:val="en-US" w:eastAsia="zh-CN"/>
                    </w:rPr>
                    <w:t>本次拆除</w:t>
                  </w:r>
                  <w:r>
                    <w:rPr>
                      <w:rFonts w:hint="default" w:ascii="Times New Roman" w:hAnsi="Times New Roman" w:cs="Times New Roman"/>
                      <w:color w:val="auto"/>
                      <w:highlight w:val="none"/>
                    </w:rPr>
                    <w:t>）</w:t>
                  </w:r>
                </w:p>
              </w:tc>
              <w:tc>
                <w:tcPr>
                  <w:tcW w:w="3127" w:type="dxa"/>
                  <w:tcBorders>
                    <w:tl2br w:val="nil"/>
                    <w:tr2bl w:val="nil"/>
                  </w:tcBorders>
                  <w:shd w:val="clear" w:color="auto" w:fill="auto"/>
                  <w:vAlign w:val="center"/>
                </w:tcPr>
                <w:p>
                  <w:pPr>
                    <w:pStyle w:val="38"/>
                    <w:bidi w:val="0"/>
                    <w:ind w:firstLine="0" w:firstLineChars="0"/>
                    <w:jc w:val="both"/>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highlight w:val="none"/>
                    </w:rPr>
                    <w:t>新建4台径向吸附塔（</w:t>
                  </w:r>
                  <w:r>
                    <w:rPr>
                      <w:rFonts w:hint="default" w:ascii="Times New Roman" w:hAnsi="Times New Roman" w:cs="Times New Roman"/>
                      <w:color w:val="auto"/>
                      <w:highlight w:val="none"/>
                      <w:lang w:val="en-US" w:eastAsia="zh-CN"/>
                    </w:rPr>
                    <w:t>φ</w:t>
                  </w:r>
                  <w:r>
                    <w:rPr>
                      <w:rFonts w:hint="default" w:ascii="Times New Roman" w:hAnsi="Times New Roman" w:cs="Times New Roman"/>
                      <w:color w:val="auto"/>
                      <w:highlight w:val="none"/>
                    </w:rPr>
                    <w:t>4400</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H=7.4m）、</w:t>
                  </w:r>
                  <w:r>
                    <w:rPr>
                      <w:rFonts w:hint="eastAsia" w:cs="Times New Roman"/>
                      <w:color w:val="auto"/>
                      <w:highlight w:val="none"/>
                      <w:lang w:val="en-US" w:eastAsia="zh-CN"/>
                    </w:rPr>
                    <w:t>2</w:t>
                  </w:r>
                  <w:r>
                    <w:rPr>
                      <w:rFonts w:hint="default" w:ascii="Times New Roman" w:hAnsi="Times New Roman" w:cs="Times New Roman"/>
                      <w:color w:val="auto"/>
                      <w:highlight w:val="none"/>
                    </w:rPr>
                    <w:t>台氧气缓冲罐（P=</w:t>
                  </w:r>
                  <w:r>
                    <w:rPr>
                      <w:rFonts w:hint="eastAsia" w:cs="Times New Roman"/>
                      <w:color w:val="auto"/>
                      <w:highlight w:val="none"/>
                      <w:lang w:val="en-US" w:eastAsia="zh-CN"/>
                    </w:rPr>
                    <w:t>7</w:t>
                  </w:r>
                  <w:r>
                    <w:rPr>
                      <w:rFonts w:hint="default" w:ascii="Times New Roman" w:hAnsi="Times New Roman" w:cs="Times New Roman"/>
                      <w:color w:val="auto"/>
                      <w:highlight w:val="none"/>
                    </w:rPr>
                    <w:t>0kPa</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V=100m³）、1台压缩空气缓冲罐（P=0.8MPa</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V=5m³）。</w:t>
                  </w:r>
                </w:p>
              </w:tc>
              <w:tc>
                <w:tcPr>
                  <w:tcW w:w="915" w:type="dxa"/>
                  <w:tcBorders>
                    <w:tl2br w:val="nil"/>
                    <w:tr2bl w:val="nil"/>
                  </w:tcBorders>
                  <w:vAlign w:val="center"/>
                </w:tcPr>
                <w:p>
                  <w:pPr>
                    <w:pStyle w:val="38"/>
                    <w:bidi w:val="0"/>
                    <w:jc w:val="center"/>
                    <w:rPr>
                      <w:rFonts w:hint="eastAsia" w:eastAsia="宋体"/>
                      <w:color w:val="auto"/>
                      <w:highlight w:val="none"/>
                      <w:lang w:val="en-US" w:eastAsia="zh-CN"/>
                    </w:rPr>
                  </w:pPr>
                  <w:r>
                    <w:rPr>
                      <w:rFonts w:hint="eastAsia"/>
                      <w:color w:val="auto"/>
                      <w:highlight w:val="none"/>
                      <w:lang w:val="en-US" w:eastAsia="zh-CN"/>
                    </w:rPr>
                    <w:t>新建，</w:t>
                  </w:r>
                  <w:r>
                    <w:rPr>
                      <w:rFonts w:hint="eastAsia" w:eastAsia="宋体"/>
                      <w:color w:val="auto"/>
                      <w:highlight w:val="none"/>
                      <w:lang w:val="en-US" w:eastAsia="zh-CN"/>
                    </w:rPr>
                    <w:t>室外布置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Merge w:val="continue"/>
                  <w:tcBorders>
                    <w:tl2br w:val="nil"/>
                    <w:tr2bl w:val="nil"/>
                  </w:tcBorders>
                  <w:vAlign w:val="center"/>
                </w:tcPr>
                <w:p>
                  <w:pPr>
                    <w:pStyle w:val="38"/>
                    <w:bidi w:val="0"/>
                    <w:rPr>
                      <w:rFonts w:hint="eastAsia"/>
                      <w:color w:val="auto"/>
                      <w:highlight w:val="none"/>
                      <w:lang w:val="en-US" w:eastAsia="zh-CN"/>
                    </w:rPr>
                  </w:pPr>
                </w:p>
              </w:tc>
              <w:tc>
                <w:tcPr>
                  <w:tcW w:w="1078" w:type="dxa"/>
                  <w:gridSpan w:val="2"/>
                  <w:tcBorders>
                    <w:tl2br w:val="nil"/>
                    <w:tr2bl w:val="nil"/>
                  </w:tcBorders>
                  <w:vAlign w:val="center"/>
                </w:tcPr>
                <w:p>
                  <w:pPr>
                    <w:pStyle w:val="38"/>
                    <w:bidi w:val="0"/>
                    <w:rPr>
                      <w:rFonts w:hint="eastAsia"/>
                      <w:color w:val="auto"/>
                      <w:highlight w:val="none"/>
                      <w:lang w:val="en-US" w:eastAsia="zh-CN"/>
                    </w:rPr>
                  </w:pPr>
                  <w:r>
                    <w:rPr>
                      <w:rFonts w:hint="eastAsia"/>
                      <w:color w:val="auto"/>
                      <w:highlight w:val="none"/>
                      <w:lang w:val="en-US" w:eastAsia="zh-CN"/>
                    </w:rPr>
                    <w:t>风机及真空泵</w:t>
                  </w:r>
                </w:p>
              </w:tc>
              <w:tc>
                <w:tcPr>
                  <w:tcW w:w="2158" w:type="dxa"/>
                  <w:tcBorders>
                    <w:tl2br w:val="nil"/>
                    <w:tr2bl w:val="nil"/>
                  </w:tcBorders>
                  <w:vAlign w:val="center"/>
                </w:tcPr>
                <w:p>
                  <w:pPr>
                    <w:pStyle w:val="38"/>
                    <w:bidi w:val="0"/>
                    <w:jc w:val="both"/>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罗茨鼓风机（噪声大、能效低，平均效率约63%）</w:t>
                  </w:r>
                  <w:r>
                    <w:rPr>
                      <w:rFonts w:hint="eastAsia" w:cs="Times New Roman"/>
                      <w:color w:val="auto"/>
                      <w:highlight w:val="none"/>
                      <w:lang w:val="en-US" w:eastAsia="zh-CN"/>
                    </w:rPr>
                    <w:t>2台，罗茨真空泵（噪声大、能效低）2台，本次拆除</w:t>
                  </w:r>
                </w:p>
              </w:tc>
              <w:tc>
                <w:tcPr>
                  <w:tcW w:w="3127" w:type="dxa"/>
                  <w:tcBorders>
                    <w:tl2br w:val="nil"/>
                    <w:tr2bl w:val="nil"/>
                  </w:tcBorders>
                  <w:shd w:val="clear" w:color="auto" w:fill="auto"/>
                  <w:vAlign w:val="center"/>
                </w:tcPr>
                <w:p>
                  <w:pPr>
                    <w:pStyle w:val="38"/>
                    <w:bidi w:val="0"/>
                    <w:ind w:firstLine="0" w:firstLineChars="0"/>
                    <w:jc w:val="both"/>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highlight w:val="none"/>
                    </w:rPr>
                    <w:t>新增2台离心鼓风机（P=53kPa，Q=</w:t>
                  </w:r>
                  <w:r>
                    <w:rPr>
                      <w:rFonts w:hint="eastAsia" w:cs="Times New Roman"/>
                      <w:color w:val="auto"/>
                      <w:highlight w:val="none"/>
                      <w:lang w:val="en-US" w:eastAsia="zh-CN"/>
                    </w:rPr>
                    <w:t>1495</w:t>
                  </w:r>
                  <w:r>
                    <w:rPr>
                      <w:rFonts w:hint="default" w:ascii="Times New Roman" w:hAnsi="Times New Roman" w:cs="Times New Roman"/>
                      <w:color w:val="auto"/>
                      <w:highlight w:val="none"/>
                    </w:rPr>
                    <w:t>m³/min）、2台离心真空泵（P=-50kPa，Q=</w:t>
                  </w:r>
                  <w:r>
                    <w:rPr>
                      <w:rFonts w:hint="eastAsia" w:cs="Times New Roman"/>
                      <w:color w:val="auto"/>
                      <w:highlight w:val="none"/>
                      <w:lang w:val="en-US" w:eastAsia="zh-CN"/>
                    </w:rPr>
                    <w:t>1875</w:t>
                  </w:r>
                  <w:r>
                    <w:rPr>
                      <w:rFonts w:hint="default" w:ascii="Times New Roman" w:hAnsi="Times New Roman" w:cs="Times New Roman"/>
                      <w:color w:val="auto"/>
                      <w:highlight w:val="none"/>
                    </w:rPr>
                    <w:t>m³/min）。</w:t>
                  </w:r>
                </w:p>
              </w:tc>
              <w:tc>
                <w:tcPr>
                  <w:tcW w:w="915" w:type="dxa"/>
                  <w:tcBorders>
                    <w:tl2br w:val="nil"/>
                    <w:tr2bl w:val="nil"/>
                  </w:tcBorders>
                  <w:vAlign w:val="center"/>
                </w:tcPr>
                <w:p>
                  <w:pPr>
                    <w:pStyle w:val="38"/>
                    <w:bidi w:val="0"/>
                    <w:jc w:val="center"/>
                    <w:rPr>
                      <w:rFonts w:hint="eastAsia" w:eastAsia="宋体"/>
                      <w:color w:val="auto"/>
                      <w:highlight w:val="none"/>
                      <w:lang w:val="en-US" w:eastAsia="zh-CN"/>
                    </w:rPr>
                  </w:pPr>
                  <w:r>
                    <w:rPr>
                      <w:rFonts w:hint="eastAsia"/>
                      <w:color w:val="auto"/>
                      <w:highlight w:val="none"/>
                      <w:lang w:val="en-US" w:eastAsia="zh-CN"/>
                    </w:rPr>
                    <w:t>新建，</w:t>
                  </w:r>
                  <w:r>
                    <w:rPr>
                      <w:rFonts w:hint="eastAsia" w:eastAsia="宋体"/>
                      <w:color w:val="auto"/>
                      <w:highlight w:val="none"/>
                      <w:lang w:val="en-US" w:eastAsia="zh-CN"/>
                    </w:rPr>
                    <w:t>室内布置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Merge w:val="restart"/>
                  <w:tcBorders>
                    <w:tl2br w:val="nil"/>
                    <w:tr2bl w:val="nil"/>
                  </w:tcBorders>
                  <w:vAlign w:val="center"/>
                </w:tcPr>
                <w:p>
                  <w:pPr>
                    <w:pStyle w:val="38"/>
                    <w:bidi w:val="0"/>
                    <w:jc w:val="center"/>
                    <w:rPr>
                      <w:rFonts w:hint="default"/>
                      <w:color w:val="auto"/>
                      <w:highlight w:val="none"/>
                      <w:lang w:val="en-US" w:eastAsia="zh-CN"/>
                    </w:rPr>
                  </w:pPr>
                  <w:r>
                    <w:rPr>
                      <w:rFonts w:hint="eastAsia"/>
                      <w:color w:val="auto"/>
                      <w:highlight w:val="none"/>
                      <w:lang w:val="en-US" w:eastAsia="zh-CN"/>
                    </w:rPr>
                    <w:t>公用工程</w:t>
                  </w:r>
                </w:p>
              </w:tc>
              <w:tc>
                <w:tcPr>
                  <w:tcW w:w="1078" w:type="dxa"/>
                  <w:gridSpan w:val="2"/>
                  <w:vMerge w:val="restart"/>
                  <w:tcBorders>
                    <w:tl2br w:val="nil"/>
                    <w:tr2bl w:val="nil"/>
                  </w:tcBorders>
                  <w:vAlign w:val="center"/>
                </w:tcPr>
                <w:p>
                  <w:pPr>
                    <w:pStyle w:val="38"/>
                    <w:bidi w:val="0"/>
                    <w:jc w:val="center"/>
                    <w:rPr>
                      <w:rFonts w:hint="default"/>
                      <w:color w:val="auto"/>
                      <w:highlight w:val="none"/>
                      <w:lang w:val="en-US" w:eastAsia="zh-CN"/>
                    </w:rPr>
                  </w:pPr>
                  <w:r>
                    <w:rPr>
                      <w:rFonts w:hint="eastAsia"/>
                      <w:color w:val="auto"/>
                      <w:highlight w:val="none"/>
                      <w:lang w:val="en-US" w:eastAsia="zh-CN"/>
                    </w:rPr>
                    <w:t>供电系统</w:t>
                  </w:r>
                </w:p>
              </w:tc>
              <w:tc>
                <w:tcPr>
                  <w:tcW w:w="2158" w:type="dxa"/>
                  <w:vMerge w:val="restart"/>
                  <w:tcBorders>
                    <w:tl2br w:val="nil"/>
                    <w:tr2bl w:val="nil"/>
                  </w:tcBorders>
                  <w:vAlign w:val="center"/>
                </w:tcPr>
                <w:p>
                  <w:pPr>
                    <w:pStyle w:val="38"/>
                    <w:bidi w:val="0"/>
                    <w:jc w:val="center"/>
                    <w:rPr>
                      <w:rFonts w:hint="default"/>
                      <w:color w:val="auto"/>
                      <w:highlight w:val="none"/>
                      <w:lang w:val="en-US" w:eastAsia="zh-CN"/>
                    </w:rPr>
                  </w:pPr>
                  <w:r>
                    <w:rPr>
                      <w:rFonts w:hint="eastAsia"/>
                      <w:color w:val="auto"/>
                      <w:highlight w:val="none"/>
                      <w:lang w:val="en-US" w:eastAsia="zh-CN"/>
                    </w:rPr>
                    <w:t>由厂区已建成的供电系统接入，现有高低压配电室（容量不足）</w:t>
                  </w:r>
                </w:p>
              </w:tc>
              <w:tc>
                <w:tcPr>
                  <w:tcW w:w="3127" w:type="dxa"/>
                  <w:tcBorders>
                    <w:tl2br w:val="nil"/>
                    <w:tr2bl w:val="nil"/>
                  </w:tcBorders>
                  <w:shd w:val="clear" w:color="auto" w:fill="auto"/>
                  <w:vAlign w:val="center"/>
                </w:tcPr>
                <w:p>
                  <w:pPr>
                    <w:pStyle w:val="38"/>
                    <w:bidi w:val="0"/>
                    <w:ind w:firstLine="0" w:firstLineChars="0"/>
                    <w:jc w:val="center"/>
                    <w:rPr>
                      <w:rFonts w:hint="default" w:ascii="Times New Roman" w:hAnsi="Times New Roman" w:eastAsia="宋体" w:cstheme="minorBidi"/>
                      <w:color w:val="auto"/>
                      <w:kern w:val="0"/>
                      <w:sz w:val="18"/>
                      <w:szCs w:val="18"/>
                      <w:highlight w:val="none"/>
                      <w:lang w:val="en-US" w:eastAsia="zh-CN" w:bidi="ar-SA"/>
                    </w:rPr>
                  </w:pPr>
                  <w:r>
                    <w:rPr>
                      <w:rFonts w:hint="default" w:ascii="Times New Roman" w:hAnsi="Times New Roman" w:cs="Times New Roman"/>
                      <w:color w:val="auto"/>
                      <w:highlight w:val="none"/>
                    </w:rPr>
                    <w:t>新增总装机容量7081kW，工作功率7044kW，年耗电量3381万kWh。电源引自35kV铜业变电站6kV备用开关柜。</w:t>
                  </w:r>
                </w:p>
              </w:tc>
              <w:tc>
                <w:tcPr>
                  <w:tcW w:w="915" w:type="dxa"/>
                  <w:tcBorders>
                    <w:tl2br w:val="nil"/>
                    <w:tr2bl w:val="nil"/>
                  </w:tcBorders>
                  <w:vAlign w:val="center"/>
                </w:tcPr>
                <w:p>
                  <w:pPr>
                    <w:pStyle w:val="38"/>
                    <w:bidi w:val="0"/>
                    <w:jc w:val="center"/>
                    <w:rPr>
                      <w:rFonts w:hint="default"/>
                      <w:color w:val="auto"/>
                      <w:highlight w:val="none"/>
                      <w:lang w:val="en-US" w:eastAsia="zh-CN"/>
                    </w:rPr>
                  </w:pPr>
                  <w:r>
                    <w:rPr>
                      <w:rFonts w:hint="eastAsia"/>
                      <w:color w:val="auto"/>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Merge w:val="continue"/>
                  <w:tcBorders>
                    <w:tl2br w:val="nil"/>
                    <w:tr2bl w:val="nil"/>
                  </w:tcBorders>
                  <w:vAlign w:val="center"/>
                </w:tcPr>
                <w:p>
                  <w:pPr>
                    <w:pStyle w:val="38"/>
                    <w:bidi w:val="0"/>
                    <w:jc w:val="center"/>
                    <w:rPr>
                      <w:rFonts w:hint="eastAsia"/>
                      <w:color w:val="auto"/>
                      <w:highlight w:val="none"/>
                      <w:lang w:val="en-US" w:eastAsia="zh-CN"/>
                    </w:rPr>
                  </w:pPr>
                </w:p>
              </w:tc>
              <w:tc>
                <w:tcPr>
                  <w:tcW w:w="1078" w:type="dxa"/>
                  <w:gridSpan w:val="2"/>
                  <w:vMerge w:val="continue"/>
                  <w:tcBorders>
                    <w:tl2br w:val="nil"/>
                    <w:tr2bl w:val="nil"/>
                  </w:tcBorders>
                  <w:vAlign w:val="center"/>
                </w:tcPr>
                <w:p>
                  <w:pPr>
                    <w:pStyle w:val="38"/>
                    <w:bidi w:val="0"/>
                    <w:jc w:val="center"/>
                    <w:rPr>
                      <w:rFonts w:hint="eastAsia"/>
                      <w:color w:val="auto"/>
                      <w:highlight w:val="none"/>
                      <w:lang w:val="en-US" w:eastAsia="zh-CN"/>
                    </w:rPr>
                  </w:pPr>
                </w:p>
              </w:tc>
              <w:tc>
                <w:tcPr>
                  <w:tcW w:w="2158" w:type="dxa"/>
                  <w:vMerge w:val="continue"/>
                  <w:tcBorders>
                    <w:tl2br w:val="nil"/>
                    <w:tr2bl w:val="nil"/>
                  </w:tcBorders>
                  <w:shd w:val="clear" w:color="auto" w:fill="auto"/>
                  <w:vAlign w:val="center"/>
                </w:tcPr>
                <w:p>
                  <w:pPr>
                    <w:pStyle w:val="38"/>
                    <w:bidi w:val="0"/>
                    <w:ind w:firstLine="0" w:firstLineChars="0"/>
                    <w:jc w:val="center"/>
                    <w:rPr>
                      <w:rFonts w:hint="eastAsia" w:ascii="Times New Roman" w:hAnsi="Times New Roman" w:eastAsia="宋体" w:cstheme="minorBidi"/>
                      <w:color w:val="auto"/>
                      <w:kern w:val="0"/>
                      <w:sz w:val="18"/>
                      <w:szCs w:val="18"/>
                      <w:highlight w:val="none"/>
                      <w:lang w:val="en-US" w:eastAsia="zh-CN" w:bidi="ar-SA"/>
                    </w:rPr>
                  </w:pPr>
                </w:p>
              </w:tc>
              <w:tc>
                <w:tcPr>
                  <w:tcW w:w="3127" w:type="dxa"/>
                  <w:tcBorders>
                    <w:tl2br w:val="nil"/>
                    <w:tr2bl w:val="nil"/>
                  </w:tcBorders>
                  <w:shd w:val="clear" w:color="auto" w:fill="auto"/>
                  <w:vAlign w:val="center"/>
                </w:tcPr>
                <w:p>
                  <w:pPr>
                    <w:pStyle w:val="38"/>
                    <w:bidi w:val="0"/>
                    <w:ind w:firstLine="0" w:firstLineChars="0"/>
                    <w:jc w:val="center"/>
                    <w:rPr>
                      <w:rFonts w:hint="default" w:ascii="Times New Roman" w:hAnsi="Times New Roman" w:eastAsia="宋体" w:cstheme="minorBidi"/>
                      <w:color w:val="auto"/>
                      <w:kern w:val="0"/>
                      <w:sz w:val="18"/>
                      <w:szCs w:val="18"/>
                      <w:highlight w:val="none"/>
                      <w:lang w:val="en-US" w:eastAsia="zh-CN" w:bidi="ar-SA"/>
                    </w:rPr>
                  </w:pPr>
                  <w:r>
                    <w:rPr>
                      <w:rFonts w:hint="default"/>
                      <w:color w:val="auto"/>
                      <w:highlight w:val="none"/>
                      <w:lang w:val="en-US" w:eastAsia="zh-CN"/>
                    </w:rPr>
                    <w:t>配电及控制</w:t>
                  </w:r>
                  <w:r>
                    <w:rPr>
                      <w:rFonts w:hint="eastAsia"/>
                      <w:color w:val="auto"/>
                      <w:highlight w:val="none"/>
                      <w:lang w:val="en-US" w:eastAsia="zh-CN"/>
                    </w:rPr>
                    <w:t>：新建6kV配电室（18m×8m×5.5m），新增高压开关柜、低压开关柜、DCS控制系统、火灾自动报警系统等。</w:t>
                  </w:r>
                </w:p>
              </w:tc>
              <w:tc>
                <w:tcPr>
                  <w:tcW w:w="915" w:type="dxa"/>
                  <w:tcBorders>
                    <w:tl2br w:val="nil"/>
                    <w:tr2bl w:val="nil"/>
                  </w:tcBorders>
                  <w:vAlign w:val="center"/>
                </w:tcPr>
                <w:p>
                  <w:pPr>
                    <w:pStyle w:val="38"/>
                    <w:bidi w:val="0"/>
                    <w:jc w:val="center"/>
                    <w:rPr>
                      <w:rFonts w:hint="eastAsia"/>
                      <w:color w:val="auto"/>
                      <w:highlight w:val="none"/>
                      <w:lang w:val="en-US" w:eastAsia="zh-CN"/>
                    </w:rPr>
                  </w:pPr>
                  <w:r>
                    <w:rPr>
                      <w:rFonts w:hint="eastAsia"/>
                      <w:color w:val="auto"/>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644" w:type="dxa"/>
                  <w:vMerge w:val="continue"/>
                  <w:tcBorders>
                    <w:tl2br w:val="nil"/>
                    <w:tr2bl w:val="nil"/>
                  </w:tcBorders>
                  <w:vAlign w:val="center"/>
                </w:tcPr>
                <w:p>
                  <w:pPr>
                    <w:pStyle w:val="38"/>
                    <w:bidi w:val="0"/>
                    <w:jc w:val="center"/>
                    <w:rPr>
                      <w:rFonts w:hint="default"/>
                      <w:color w:val="auto"/>
                      <w:highlight w:val="none"/>
                      <w:lang w:val="en-US" w:eastAsia="zh-CN"/>
                    </w:rPr>
                  </w:pPr>
                </w:p>
              </w:tc>
              <w:tc>
                <w:tcPr>
                  <w:tcW w:w="1078" w:type="dxa"/>
                  <w:gridSpan w:val="2"/>
                  <w:tcBorders>
                    <w:tl2br w:val="nil"/>
                    <w:tr2bl w:val="nil"/>
                  </w:tcBorders>
                  <w:shd w:val="clear" w:color="auto" w:fill="auto"/>
                  <w:vAlign w:val="center"/>
                </w:tcPr>
                <w:p>
                  <w:pPr>
                    <w:pStyle w:val="38"/>
                    <w:bidi w:val="0"/>
                    <w:ind w:firstLine="0" w:firstLineChars="0"/>
                    <w:jc w:val="center"/>
                    <w:rPr>
                      <w:rFonts w:hint="default" w:ascii="Times New Roman" w:hAnsi="Times New Roman" w:eastAsia="宋体" w:cstheme="minorBidi"/>
                      <w:color w:val="auto"/>
                      <w:kern w:val="0"/>
                      <w:sz w:val="18"/>
                      <w:szCs w:val="18"/>
                      <w:highlight w:val="none"/>
                      <w:lang w:val="en-US" w:eastAsia="zh-CN" w:bidi="ar-SA"/>
                    </w:rPr>
                  </w:pPr>
                  <w:r>
                    <w:rPr>
                      <w:rFonts w:hint="default"/>
                      <w:color w:val="auto"/>
                      <w:highlight w:val="none"/>
                      <w:lang w:val="en-US" w:eastAsia="zh-CN"/>
                    </w:rPr>
                    <w:t>供气系统</w:t>
                  </w:r>
                </w:p>
              </w:tc>
              <w:tc>
                <w:tcPr>
                  <w:tcW w:w="5285" w:type="dxa"/>
                  <w:gridSpan w:val="2"/>
                  <w:tcBorders>
                    <w:tl2br w:val="nil"/>
                    <w:tr2bl w:val="nil"/>
                  </w:tcBorders>
                  <w:shd w:val="clear" w:color="auto" w:fill="auto"/>
                  <w:vAlign w:val="center"/>
                </w:tcPr>
                <w:p>
                  <w:pPr>
                    <w:pStyle w:val="38"/>
                    <w:bidi w:val="0"/>
                    <w:ind w:firstLine="0" w:firstLineChars="0"/>
                    <w:jc w:val="center"/>
                    <w:rPr>
                      <w:rFonts w:hint="default" w:ascii="Times New Roman" w:hAnsi="Times New Roman" w:eastAsia="宋体" w:cstheme="minorBidi"/>
                      <w:color w:val="auto"/>
                      <w:kern w:val="0"/>
                      <w:sz w:val="18"/>
                      <w:szCs w:val="18"/>
                      <w:highlight w:val="none"/>
                      <w:lang w:val="en-US" w:eastAsia="zh-CN" w:bidi="ar-SA"/>
                    </w:rPr>
                  </w:pPr>
                  <w:r>
                    <w:rPr>
                      <w:rFonts w:hint="default"/>
                      <w:color w:val="auto"/>
                      <w:highlight w:val="none"/>
                      <w:lang w:val="en-US" w:eastAsia="zh-CN"/>
                    </w:rPr>
                    <w:t>产品氧气压力15KPa，温度≤45℃，经厂区管网送至现有氧压机房压缩。</w:t>
                  </w:r>
                </w:p>
              </w:tc>
              <w:tc>
                <w:tcPr>
                  <w:tcW w:w="915" w:type="dxa"/>
                  <w:tcBorders>
                    <w:tl2br w:val="nil"/>
                    <w:tr2bl w:val="nil"/>
                  </w:tcBorders>
                  <w:shd w:val="clear" w:color="auto" w:fill="auto"/>
                  <w:vAlign w:val="center"/>
                </w:tcPr>
                <w:p>
                  <w:pPr>
                    <w:pStyle w:val="38"/>
                    <w:bidi w:val="0"/>
                    <w:ind w:firstLine="0" w:firstLineChars="0"/>
                    <w:jc w:val="center"/>
                    <w:rPr>
                      <w:rFonts w:hint="eastAsia" w:ascii="Times New Roman" w:hAnsi="Times New Roman" w:eastAsia="宋体" w:cstheme="minorBidi"/>
                      <w:color w:val="auto"/>
                      <w:kern w:val="0"/>
                      <w:sz w:val="18"/>
                      <w:szCs w:val="18"/>
                      <w:highlight w:val="none"/>
                      <w:lang w:val="en-US" w:eastAsia="zh-CN" w:bidi="ar-SA"/>
                    </w:rPr>
                  </w:pPr>
                  <w:r>
                    <w:rPr>
                      <w:rFonts w:hint="eastAsia"/>
                      <w:color w:val="auto"/>
                      <w:highlight w:val="none"/>
                      <w:lang w:val="en-US" w:eastAsia="zh-CN"/>
                    </w:rPr>
                    <w:t>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Merge w:val="continue"/>
                  <w:tcBorders>
                    <w:tl2br w:val="nil"/>
                    <w:tr2bl w:val="nil"/>
                  </w:tcBorders>
                  <w:vAlign w:val="center"/>
                </w:tcPr>
                <w:p>
                  <w:pPr>
                    <w:pStyle w:val="38"/>
                    <w:bidi w:val="0"/>
                    <w:jc w:val="center"/>
                    <w:rPr>
                      <w:rFonts w:hint="default"/>
                      <w:color w:val="auto"/>
                      <w:highlight w:val="none"/>
                      <w:lang w:val="en-US" w:eastAsia="zh-CN"/>
                    </w:rPr>
                  </w:pPr>
                </w:p>
              </w:tc>
              <w:tc>
                <w:tcPr>
                  <w:tcW w:w="1078" w:type="dxa"/>
                  <w:gridSpan w:val="2"/>
                  <w:tcBorders>
                    <w:tl2br w:val="nil"/>
                    <w:tr2bl w:val="nil"/>
                  </w:tcBorders>
                  <w:vAlign w:val="center"/>
                </w:tcPr>
                <w:p>
                  <w:pPr>
                    <w:pStyle w:val="38"/>
                    <w:bidi w:val="0"/>
                    <w:jc w:val="center"/>
                    <w:rPr>
                      <w:rFonts w:hint="default"/>
                      <w:color w:val="auto"/>
                      <w:highlight w:val="none"/>
                      <w:lang w:val="en-US" w:eastAsia="zh-CN"/>
                    </w:rPr>
                  </w:pPr>
                  <w:r>
                    <w:rPr>
                      <w:rFonts w:hint="eastAsia"/>
                      <w:color w:val="auto"/>
                      <w:highlight w:val="none"/>
                      <w:lang w:val="en-US" w:eastAsia="zh-CN"/>
                    </w:rPr>
                    <w:t>厂区道路</w:t>
                  </w:r>
                </w:p>
              </w:tc>
              <w:tc>
                <w:tcPr>
                  <w:tcW w:w="2158" w:type="dxa"/>
                  <w:tcBorders>
                    <w:tl2br w:val="nil"/>
                    <w:tr2bl w:val="nil"/>
                  </w:tcBorders>
                  <w:vAlign w:val="center"/>
                </w:tcPr>
                <w:p>
                  <w:pPr>
                    <w:pStyle w:val="38"/>
                    <w:bidi w:val="0"/>
                    <w:jc w:val="center"/>
                    <w:rPr>
                      <w:rFonts w:hint="default"/>
                      <w:color w:val="auto"/>
                      <w:highlight w:val="none"/>
                      <w:lang w:val="en-US" w:eastAsia="zh-CN"/>
                    </w:rPr>
                  </w:pPr>
                  <w:r>
                    <w:rPr>
                      <w:rFonts w:hint="eastAsia"/>
                      <w:color w:val="auto"/>
                      <w:highlight w:val="none"/>
                      <w:lang w:val="en-US" w:eastAsia="zh-CN"/>
                    </w:rPr>
                    <w:t>依托厂区已建成道路</w:t>
                  </w:r>
                </w:p>
              </w:tc>
              <w:tc>
                <w:tcPr>
                  <w:tcW w:w="3127" w:type="dxa"/>
                  <w:tcBorders>
                    <w:tl2br w:val="nil"/>
                    <w:tr2bl w:val="nil"/>
                  </w:tcBorders>
                  <w:shd w:val="clear" w:color="auto" w:fill="auto"/>
                  <w:vAlign w:val="center"/>
                </w:tcPr>
                <w:p>
                  <w:pPr>
                    <w:pStyle w:val="38"/>
                    <w:bidi w:val="0"/>
                    <w:ind w:firstLine="0" w:firstLineChars="0"/>
                    <w:jc w:val="center"/>
                    <w:rPr>
                      <w:rFonts w:hint="default" w:ascii="Times New Roman" w:hAnsi="Times New Roman" w:eastAsia="宋体" w:cstheme="minorBidi"/>
                      <w:color w:val="auto"/>
                      <w:kern w:val="0"/>
                      <w:sz w:val="18"/>
                      <w:szCs w:val="18"/>
                      <w:highlight w:val="none"/>
                      <w:lang w:val="en-US" w:eastAsia="zh-CN" w:bidi="ar-SA"/>
                    </w:rPr>
                  </w:pPr>
                  <w:r>
                    <w:rPr>
                      <w:rFonts w:hint="default"/>
                      <w:color w:val="auto"/>
                      <w:highlight w:val="none"/>
                      <w:lang w:val="en-US" w:eastAsia="zh-CN"/>
                    </w:rPr>
                    <w:t>新增消防道路总长约120m，宽4m，转弯半径9m，最大纵坡2.5%，净空高度5m。</w:t>
                  </w:r>
                </w:p>
              </w:tc>
              <w:tc>
                <w:tcPr>
                  <w:tcW w:w="915" w:type="dxa"/>
                  <w:tcBorders>
                    <w:tl2br w:val="nil"/>
                    <w:tr2bl w:val="nil"/>
                  </w:tcBorders>
                  <w:vAlign w:val="center"/>
                </w:tcPr>
                <w:p>
                  <w:pPr>
                    <w:pStyle w:val="38"/>
                    <w:bidi w:val="0"/>
                    <w:jc w:val="center"/>
                    <w:rPr>
                      <w:rFonts w:hint="default"/>
                      <w:color w:val="auto"/>
                      <w:highlight w:val="none"/>
                      <w:lang w:val="en-US" w:eastAsia="zh-CN"/>
                    </w:rPr>
                  </w:pPr>
                  <w:r>
                    <w:rPr>
                      <w:rFonts w:hint="eastAsia"/>
                      <w:color w:val="auto"/>
                      <w:highlight w:val="none"/>
                      <w:lang w:val="en-US" w:eastAsia="zh-CN"/>
                    </w:rPr>
                    <w:t>新建+依托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Merge w:val="restart"/>
                  <w:tcBorders>
                    <w:tl2br w:val="nil"/>
                    <w:tr2bl w:val="nil"/>
                  </w:tcBorders>
                  <w:vAlign w:val="center"/>
                </w:tcPr>
                <w:p>
                  <w:pPr>
                    <w:pStyle w:val="38"/>
                    <w:bidi w:val="0"/>
                    <w:ind w:firstLine="0" w:firstLineChars="0"/>
                    <w:jc w:val="center"/>
                    <w:rPr>
                      <w:rFonts w:hint="default" w:ascii="Times New Roman" w:hAnsi="Times New Roman" w:eastAsia="宋体" w:cstheme="minorBidi"/>
                      <w:color w:val="auto"/>
                      <w:kern w:val="0"/>
                      <w:sz w:val="18"/>
                      <w:szCs w:val="18"/>
                      <w:highlight w:val="none"/>
                      <w:lang w:val="en-US" w:eastAsia="zh-CN" w:bidi="ar-SA"/>
                    </w:rPr>
                  </w:pPr>
                  <w:r>
                    <w:rPr>
                      <w:rFonts w:hint="eastAsia"/>
                      <w:color w:val="auto"/>
                      <w:highlight w:val="none"/>
                      <w:lang w:val="en-US" w:eastAsia="zh-CN"/>
                    </w:rPr>
                    <w:t>辅助工程</w:t>
                  </w:r>
                </w:p>
              </w:tc>
              <w:tc>
                <w:tcPr>
                  <w:tcW w:w="1078" w:type="dxa"/>
                  <w:gridSpan w:val="2"/>
                  <w:tcBorders>
                    <w:tl2br w:val="nil"/>
                    <w:tr2bl w:val="nil"/>
                  </w:tcBorders>
                  <w:vAlign w:val="center"/>
                </w:tcPr>
                <w:p>
                  <w:pPr>
                    <w:pStyle w:val="38"/>
                    <w:bidi w:val="0"/>
                    <w:jc w:val="center"/>
                    <w:rPr>
                      <w:rFonts w:hint="default"/>
                      <w:color w:val="auto"/>
                      <w:highlight w:val="none"/>
                      <w:lang w:val="en-US" w:eastAsia="zh-CN"/>
                    </w:rPr>
                  </w:pPr>
                  <w:r>
                    <w:rPr>
                      <w:rFonts w:hint="default"/>
                      <w:color w:val="auto"/>
                      <w:highlight w:val="none"/>
                      <w:lang w:val="en-US" w:eastAsia="zh-CN"/>
                    </w:rPr>
                    <w:t>消防系统</w:t>
                  </w:r>
                </w:p>
              </w:tc>
              <w:tc>
                <w:tcPr>
                  <w:tcW w:w="2158" w:type="dxa"/>
                  <w:tcBorders>
                    <w:tl2br w:val="nil"/>
                    <w:tr2bl w:val="nil"/>
                  </w:tcBorders>
                  <w:vAlign w:val="center"/>
                </w:tcPr>
                <w:p>
                  <w:pPr>
                    <w:pStyle w:val="38"/>
                    <w:bidi w:val="0"/>
                    <w:jc w:val="center"/>
                    <w:rPr>
                      <w:rFonts w:hint="default"/>
                      <w:color w:val="auto"/>
                      <w:highlight w:val="none"/>
                      <w:lang w:val="en-US" w:eastAsia="zh-CN"/>
                    </w:rPr>
                  </w:pPr>
                  <w:r>
                    <w:rPr>
                      <w:rFonts w:hint="default"/>
                      <w:color w:val="auto"/>
                      <w:highlight w:val="none"/>
                      <w:lang w:val="en-US" w:eastAsia="zh-CN"/>
                    </w:rPr>
                    <w:t>依托厂区高位消防水池（1000m³）及环状消防管网（DN250）</w:t>
                  </w:r>
                </w:p>
              </w:tc>
              <w:tc>
                <w:tcPr>
                  <w:tcW w:w="3127" w:type="dxa"/>
                  <w:tcBorders>
                    <w:tl2br w:val="nil"/>
                    <w:tr2bl w:val="nil"/>
                  </w:tcBorders>
                  <w:shd w:val="clear" w:color="auto" w:fill="auto"/>
                  <w:vAlign w:val="center"/>
                </w:tcPr>
                <w:p>
                  <w:pPr>
                    <w:pStyle w:val="38"/>
                    <w:bidi w:val="0"/>
                    <w:ind w:firstLine="0" w:firstLineChars="0"/>
                    <w:jc w:val="center"/>
                    <w:rPr>
                      <w:rFonts w:hint="default" w:ascii="Times New Roman" w:hAnsi="Times New Roman" w:eastAsia="宋体" w:cstheme="minorBidi"/>
                      <w:color w:val="auto"/>
                      <w:kern w:val="0"/>
                      <w:sz w:val="18"/>
                      <w:szCs w:val="18"/>
                      <w:highlight w:val="none"/>
                      <w:lang w:val="en-US" w:eastAsia="zh-CN" w:bidi="ar-SA"/>
                    </w:rPr>
                  </w:pPr>
                  <w:r>
                    <w:rPr>
                      <w:rFonts w:hint="default"/>
                      <w:color w:val="auto"/>
                      <w:highlight w:val="none"/>
                      <w:lang w:val="en-US" w:eastAsia="zh-CN"/>
                    </w:rPr>
                    <w:t>新增室外消火栓（SS150/65-1.0型）2座，手提式磷酸铵盐灭火器40具，灭火器箱20个。消防水源为厂区高位消防水池（1000m³）。</w:t>
                  </w:r>
                </w:p>
              </w:tc>
              <w:tc>
                <w:tcPr>
                  <w:tcW w:w="915" w:type="dxa"/>
                  <w:tcBorders>
                    <w:tl2br w:val="nil"/>
                    <w:tr2bl w:val="nil"/>
                  </w:tcBorders>
                  <w:vAlign w:val="center"/>
                </w:tcPr>
                <w:p>
                  <w:pPr>
                    <w:pStyle w:val="38"/>
                    <w:bidi w:val="0"/>
                    <w:jc w:val="center"/>
                    <w:rPr>
                      <w:rFonts w:hint="default"/>
                      <w:color w:val="auto"/>
                      <w:highlight w:val="none"/>
                      <w:lang w:val="en-US" w:eastAsia="zh-CN"/>
                    </w:rPr>
                  </w:pPr>
                  <w:r>
                    <w:rPr>
                      <w:rFonts w:hint="eastAsia"/>
                      <w:color w:val="auto"/>
                      <w:highlight w:val="none"/>
                      <w:lang w:val="en-US" w:eastAsia="zh-CN"/>
                    </w:rPr>
                    <w:t>利旧+新建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Merge w:val="continue"/>
                  <w:tcBorders>
                    <w:tl2br w:val="nil"/>
                    <w:tr2bl w:val="nil"/>
                  </w:tcBorders>
                  <w:vAlign w:val="center"/>
                </w:tcPr>
                <w:p>
                  <w:pPr>
                    <w:pStyle w:val="38"/>
                    <w:bidi w:val="0"/>
                    <w:jc w:val="center"/>
                    <w:rPr>
                      <w:rFonts w:hint="default"/>
                      <w:color w:val="auto"/>
                      <w:highlight w:val="none"/>
                      <w:lang w:val="en-US" w:eastAsia="zh-CN"/>
                    </w:rPr>
                  </w:pPr>
                </w:p>
              </w:tc>
              <w:tc>
                <w:tcPr>
                  <w:tcW w:w="1078" w:type="dxa"/>
                  <w:gridSpan w:val="2"/>
                  <w:tcBorders>
                    <w:tl2br w:val="nil"/>
                    <w:tr2bl w:val="nil"/>
                  </w:tcBorders>
                  <w:vAlign w:val="center"/>
                </w:tcPr>
                <w:p>
                  <w:pPr>
                    <w:pStyle w:val="38"/>
                    <w:bidi w:val="0"/>
                    <w:jc w:val="center"/>
                    <w:rPr>
                      <w:rFonts w:hint="default"/>
                      <w:color w:val="auto"/>
                      <w:highlight w:val="none"/>
                      <w:lang w:val="en-US" w:eastAsia="zh-CN"/>
                    </w:rPr>
                  </w:pPr>
                  <w:r>
                    <w:rPr>
                      <w:rFonts w:hint="default"/>
                      <w:color w:val="auto"/>
                      <w:highlight w:val="none"/>
                      <w:lang w:val="en-US" w:eastAsia="zh-CN"/>
                    </w:rPr>
                    <w:t>通信系统</w:t>
                  </w:r>
                </w:p>
              </w:tc>
              <w:tc>
                <w:tcPr>
                  <w:tcW w:w="5285" w:type="dxa"/>
                  <w:gridSpan w:val="2"/>
                  <w:tcBorders>
                    <w:tl2br w:val="nil"/>
                    <w:tr2bl w:val="nil"/>
                  </w:tcBorders>
                  <w:vAlign w:val="center"/>
                </w:tcPr>
                <w:p>
                  <w:pPr>
                    <w:pStyle w:val="38"/>
                    <w:bidi w:val="0"/>
                    <w:ind w:firstLine="0" w:firstLineChars="0"/>
                    <w:jc w:val="center"/>
                    <w:rPr>
                      <w:rFonts w:hint="default" w:ascii="Times New Roman" w:hAnsi="Times New Roman" w:eastAsia="宋体" w:cstheme="minorBidi"/>
                      <w:color w:val="auto"/>
                      <w:kern w:val="0"/>
                      <w:sz w:val="18"/>
                      <w:szCs w:val="18"/>
                      <w:highlight w:val="none"/>
                      <w:lang w:val="en-US" w:eastAsia="zh-CN" w:bidi="ar-SA"/>
                    </w:rPr>
                  </w:pPr>
                  <w:r>
                    <w:rPr>
                      <w:rFonts w:hint="default"/>
                      <w:color w:val="auto"/>
                      <w:highlight w:val="none"/>
                      <w:lang w:val="en-US" w:eastAsia="zh-CN"/>
                    </w:rPr>
                    <w:t>新增火灾自动报警系统（含感烟探测器、手动报警按钮、声光报警器、消防电话分机等）。</w:t>
                  </w:r>
                </w:p>
              </w:tc>
              <w:tc>
                <w:tcPr>
                  <w:tcW w:w="915" w:type="dxa"/>
                  <w:tcBorders>
                    <w:tl2br w:val="nil"/>
                    <w:tr2bl w:val="nil"/>
                  </w:tcBorders>
                  <w:vAlign w:val="center"/>
                </w:tcPr>
                <w:p>
                  <w:pPr>
                    <w:pStyle w:val="38"/>
                    <w:bidi w:val="0"/>
                    <w:jc w:val="center"/>
                    <w:rPr>
                      <w:rFonts w:hint="default"/>
                      <w:color w:val="auto"/>
                      <w:highlight w:val="none"/>
                      <w:lang w:val="en-US" w:eastAsia="zh-CN"/>
                    </w:rPr>
                  </w:pPr>
                  <w:r>
                    <w:rPr>
                      <w:rFonts w:hint="eastAsia"/>
                      <w:color w:val="auto"/>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Merge w:val="continue"/>
                  <w:tcBorders>
                    <w:tl2br w:val="nil"/>
                    <w:tr2bl w:val="nil"/>
                  </w:tcBorders>
                  <w:vAlign w:val="center"/>
                </w:tcPr>
                <w:p>
                  <w:pPr>
                    <w:pStyle w:val="38"/>
                    <w:bidi w:val="0"/>
                    <w:jc w:val="center"/>
                    <w:rPr>
                      <w:rFonts w:hint="default"/>
                      <w:color w:val="auto"/>
                      <w:highlight w:val="none"/>
                      <w:lang w:val="en-US" w:eastAsia="zh-CN"/>
                    </w:rPr>
                  </w:pPr>
                </w:p>
              </w:tc>
              <w:tc>
                <w:tcPr>
                  <w:tcW w:w="1078" w:type="dxa"/>
                  <w:gridSpan w:val="2"/>
                  <w:tcBorders>
                    <w:tl2br w:val="nil"/>
                    <w:tr2bl w:val="nil"/>
                  </w:tcBorders>
                  <w:vAlign w:val="center"/>
                </w:tcPr>
                <w:p>
                  <w:pPr>
                    <w:pStyle w:val="38"/>
                    <w:bidi w:val="0"/>
                    <w:jc w:val="center"/>
                    <w:rPr>
                      <w:rFonts w:hint="default"/>
                      <w:color w:val="auto"/>
                      <w:highlight w:val="none"/>
                      <w:lang w:val="en-US" w:eastAsia="zh-CN"/>
                    </w:rPr>
                  </w:pPr>
                  <w:r>
                    <w:rPr>
                      <w:rFonts w:hint="default"/>
                      <w:color w:val="auto"/>
                      <w:highlight w:val="none"/>
                      <w:lang w:val="en-US" w:eastAsia="zh-CN"/>
                    </w:rPr>
                    <w:t>暖通系统</w:t>
                  </w:r>
                </w:p>
              </w:tc>
              <w:tc>
                <w:tcPr>
                  <w:tcW w:w="5285" w:type="dxa"/>
                  <w:gridSpan w:val="2"/>
                  <w:tcBorders>
                    <w:tl2br w:val="nil"/>
                    <w:tr2bl w:val="nil"/>
                  </w:tcBorders>
                  <w:vAlign w:val="center"/>
                </w:tcPr>
                <w:p>
                  <w:pPr>
                    <w:pStyle w:val="38"/>
                    <w:bidi w:val="0"/>
                    <w:ind w:firstLine="0" w:firstLineChars="0"/>
                    <w:jc w:val="center"/>
                    <w:rPr>
                      <w:rFonts w:hint="default" w:ascii="Times New Roman" w:hAnsi="Times New Roman" w:eastAsia="宋体" w:cstheme="minorBidi"/>
                      <w:color w:val="auto"/>
                      <w:kern w:val="0"/>
                      <w:sz w:val="18"/>
                      <w:szCs w:val="18"/>
                      <w:highlight w:val="none"/>
                      <w:lang w:val="en-US" w:eastAsia="zh-CN" w:bidi="ar-SA"/>
                    </w:rPr>
                  </w:pPr>
                  <w:r>
                    <w:rPr>
                      <w:rFonts w:hint="default"/>
                      <w:color w:val="auto"/>
                      <w:highlight w:val="none"/>
                      <w:lang w:val="en-US" w:eastAsia="zh-CN"/>
                    </w:rPr>
                    <w:t>高压变频器室设置4台专用工业空调（Ql=40kW，N=14kW）。</w:t>
                  </w:r>
                </w:p>
              </w:tc>
              <w:tc>
                <w:tcPr>
                  <w:tcW w:w="915" w:type="dxa"/>
                  <w:tcBorders>
                    <w:tl2br w:val="nil"/>
                    <w:tr2bl w:val="nil"/>
                  </w:tcBorders>
                  <w:vAlign w:val="center"/>
                </w:tcPr>
                <w:p>
                  <w:pPr>
                    <w:pStyle w:val="38"/>
                    <w:bidi w:val="0"/>
                    <w:jc w:val="center"/>
                    <w:rPr>
                      <w:rFonts w:hint="default"/>
                      <w:color w:val="auto"/>
                      <w:highlight w:val="none"/>
                      <w:lang w:val="en-US" w:eastAsia="zh-CN"/>
                    </w:rPr>
                  </w:pPr>
                  <w:r>
                    <w:rPr>
                      <w:rFonts w:hint="eastAsia"/>
                      <w:color w:val="auto"/>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l2br w:val="nil"/>
                    <w:tr2bl w:val="nil"/>
                  </w:tcBorders>
                  <w:shd w:val="clear" w:color="auto" w:fill="auto"/>
                  <w:vAlign w:val="center"/>
                </w:tcPr>
                <w:p>
                  <w:pPr>
                    <w:pStyle w:val="38"/>
                    <w:bidi w:val="0"/>
                    <w:ind w:firstLine="0" w:firstLineChars="0"/>
                    <w:rPr>
                      <w:rFonts w:hint="default" w:ascii="Times New Roman" w:hAnsi="Times New Roman" w:eastAsia="宋体" w:cstheme="minorBidi"/>
                      <w:color w:val="auto"/>
                      <w:kern w:val="0"/>
                      <w:sz w:val="18"/>
                      <w:szCs w:val="18"/>
                      <w:highlight w:val="none"/>
                      <w:lang w:val="en-US" w:eastAsia="zh-CN" w:bidi="ar-SA"/>
                    </w:rPr>
                  </w:pPr>
                  <w:r>
                    <w:rPr>
                      <w:rFonts w:hint="eastAsia"/>
                      <w:color w:val="auto"/>
                      <w:highlight w:val="none"/>
                      <w:lang w:val="en-US" w:eastAsia="zh-CN"/>
                    </w:rPr>
                    <w:t>环保工程</w:t>
                  </w:r>
                </w:p>
              </w:tc>
              <w:tc>
                <w:tcPr>
                  <w:tcW w:w="1078" w:type="dxa"/>
                  <w:gridSpan w:val="2"/>
                  <w:tcBorders>
                    <w:tl2br w:val="nil"/>
                    <w:tr2bl w:val="nil"/>
                  </w:tcBorders>
                  <w:shd w:val="clear" w:color="auto" w:fill="auto"/>
                  <w:vAlign w:val="center"/>
                </w:tcPr>
                <w:p>
                  <w:pPr>
                    <w:pStyle w:val="38"/>
                    <w:bidi w:val="0"/>
                    <w:rPr>
                      <w:rFonts w:hint="eastAsia"/>
                      <w:color w:val="auto"/>
                      <w:highlight w:val="none"/>
                      <w:lang w:val="en-US" w:eastAsia="zh-CN"/>
                    </w:rPr>
                  </w:pPr>
                  <w:r>
                    <w:rPr>
                      <w:rFonts w:hint="eastAsia"/>
                      <w:color w:val="auto"/>
                      <w:highlight w:val="none"/>
                      <w:lang w:val="en-US" w:eastAsia="zh-CN"/>
                    </w:rPr>
                    <w:t>噪声控制</w:t>
                  </w:r>
                </w:p>
              </w:tc>
              <w:tc>
                <w:tcPr>
                  <w:tcW w:w="2158" w:type="dxa"/>
                  <w:tcBorders>
                    <w:tl2br w:val="nil"/>
                    <w:tr2bl w:val="nil"/>
                  </w:tcBorders>
                  <w:shd w:val="clear" w:color="auto" w:fill="auto"/>
                  <w:vAlign w:val="center"/>
                </w:tcPr>
                <w:p>
                  <w:pPr>
                    <w:pStyle w:val="38"/>
                    <w:bidi w:val="0"/>
                    <w:rPr>
                      <w:rFonts w:hint="default"/>
                      <w:color w:val="auto"/>
                      <w:highlight w:val="none"/>
                      <w:lang w:val="en-US" w:eastAsia="zh-CN"/>
                    </w:rPr>
                  </w:pPr>
                  <w:r>
                    <w:rPr>
                      <w:rFonts w:hint="eastAsia"/>
                      <w:color w:val="auto"/>
                      <w:highlight w:val="none"/>
                      <w:lang w:val="en-US" w:eastAsia="zh-CN"/>
                    </w:rPr>
                    <w:t>固定设备噪声采用厂房隔声、基础减振；分离消声器（AXF-700）2台（拆除）、氮气消音塔2台（拆除）</w:t>
                  </w:r>
                </w:p>
              </w:tc>
              <w:tc>
                <w:tcPr>
                  <w:tcW w:w="3127" w:type="dxa"/>
                  <w:tcBorders>
                    <w:tl2br w:val="nil"/>
                    <w:tr2bl w:val="nil"/>
                  </w:tcBorders>
                  <w:shd w:val="clear" w:color="auto" w:fill="auto"/>
                  <w:vAlign w:val="center"/>
                </w:tcPr>
                <w:p>
                  <w:pPr>
                    <w:pStyle w:val="38"/>
                    <w:bidi w:val="0"/>
                    <w:jc w:val="both"/>
                    <w:rPr>
                      <w:rFonts w:hint="eastAsia"/>
                      <w:color w:val="auto"/>
                      <w:highlight w:val="none"/>
                      <w:lang w:val="en-US" w:eastAsia="zh-CN"/>
                    </w:rPr>
                  </w:pPr>
                  <w:r>
                    <w:rPr>
                      <w:rFonts w:hint="eastAsia"/>
                      <w:color w:val="auto"/>
                      <w:highlight w:val="none"/>
                      <w:lang w:val="en-US" w:eastAsia="zh-CN"/>
                    </w:rPr>
                    <w:t>（1）在声源处抑制噪声</w:t>
                  </w:r>
                </w:p>
                <w:p>
                  <w:pPr>
                    <w:pStyle w:val="38"/>
                    <w:bidi w:val="0"/>
                    <w:jc w:val="both"/>
                    <w:rPr>
                      <w:rFonts w:hint="eastAsia"/>
                      <w:color w:val="auto"/>
                      <w:highlight w:val="none"/>
                      <w:lang w:val="en-US" w:eastAsia="zh-CN"/>
                    </w:rPr>
                  </w:pPr>
                  <w:r>
                    <w:rPr>
                      <w:rFonts w:hint="eastAsia"/>
                      <w:color w:val="auto"/>
                      <w:highlight w:val="none"/>
                      <w:lang w:val="en-US" w:eastAsia="zh-CN"/>
                    </w:rPr>
                    <w:t>尽量选用高效低噪设备；对于超过单机噪声允许标准的设备安装减震基础，布置在房间之内，利用墙壁隔声，同时采用阻尼材料，对机壳、风管、机罩等金属结构涂敷一层阻尼材料，抑制振动；对于小型噪声设备在进气口或排气口上设置消声器进行治理。选用较高级数的消声塔，主管道设置隔声层。</w:t>
                  </w:r>
                </w:p>
                <w:p>
                  <w:pPr>
                    <w:pStyle w:val="38"/>
                    <w:bidi w:val="0"/>
                    <w:jc w:val="both"/>
                    <w:rPr>
                      <w:rFonts w:hint="eastAsia"/>
                      <w:color w:val="auto"/>
                      <w:highlight w:val="none"/>
                      <w:lang w:val="en-US" w:eastAsia="zh-CN"/>
                    </w:rPr>
                  </w:pPr>
                  <w:r>
                    <w:rPr>
                      <w:rFonts w:hint="eastAsia"/>
                      <w:color w:val="auto"/>
                      <w:highlight w:val="none"/>
                      <w:lang w:val="en-US" w:eastAsia="zh-CN"/>
                    </w:rPr>
                    <w:t>（2）对声传播途径进行控制</w:t>
                  </w:r>
                </w:p>
                <w:p>
                  <w:pPr>
                    <w:pStyle w:val="38"/>
                    <w:bidi w:val="0"/>
                    <w:jc w:val="both"/>
                    <w:rPr>
                      <w:rFonts w:hint="default"/>
                      <w:color w:val="auto"/>
                      <w:highlight w:val="none"/>
                      <w:lang w:val="en-US" w:eastAsia="zh-CN"/>
                    </w:rPr>
                  </w:pPr>
                  <w:r>
                    <w:rPr>
                      <w:rFonts w:hint="eastAsia"/>
                      <w:color w:val="auto"/>
                      <w:highlight w:val="none"/>
                      <w:lang w:val="en-US" w:eastAsia="zh-CN"/>
                    </w:rPr>
                    <w:t>高噪声设备建在室内，加厚砖墙，安装隔声效果好的门窗，减少门窗的开启面积。对于强烈振动的设备、管道与基础、支架、建筑物及其他设备之间采用柔性连接或支撑等措施；新增消声器2台。</w:t>
                  </w:r>
                </w:p>
              </w:tc>
              <w:tc>
                <w:tcPr>
                  <w:tcW w:w="915" w:type="dxa"/>
                  <w:tcBorders>
                    <w:tl2br w:val="nil"/>
                    <w:tr2bl w:val="nil"/>
                  </w:tcBorders>
                  <w:shd w:val="clear" w:color="auto" w:fill="auto"/>
                  <w:vAlign w:val="center"/>
                </w:tcPr>
                <w:p>
                  <w:pPr>
                    <w:pStyle w:val="38"/>
                    <w:bidi w:val="0"/>
                    <w:rPr>
                      <w:rFonts w:hint="default"/>
                      <w:color w:val="auto"/>
                      <w:highlight w:val="none"/>
                      <w:lang w:val="en-US" w:eastAsia="zh-CN"/>
                    </w:rPr>
                  </w:pPr>
                  <w:r>
                    <w:rPr>
                      <w:rFonts w:hint="eastAsia"/>
                      <w:color w:val="auto"/>
                      <w:highlight w:val="none"/>
                      <w:lang w:val="en-US" w:eastAsia="zh-CN"/>
                    </w:rPr>
                    <w:t>部分利旧+新建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Merge w:val="restart"/>
                  <w:tcBorders>
                    <w:tl2br w:val="nil"/>
                    <w:tr2bl w:val="nil"/>
                  </w:tcBorders>
                  <w:shd w:val="clear" w:color="auto" w:fill="auto"/>
                  <w:vAlign w:val="center"/>
                </w:tcPr>
                <w:p>
                  <w:pPr>
                    <w:pStyle w:val="38"/>
                    <w:bidi w:val="0"/>
                    <w:rPr>
                      <w:rFonts w:hint="default"/>
                      <w:color w:val="auto"/>
                      <w:highlight w:val="none"/>
                      <w:lang w:val="en-US" w:eastAsia="zh-CN"/>
                    </w:rPr>
                  </w:pPr>
                  <w:r>
                    <w:rPr>
                      <w:rFonts w:hint="eastAsia"/>
                      <w:color w:val="auto"/>
                      <w:highlight w:val="none"/>
                      <w:lang w:val="en-US" w:eastAsia="zh-CN"/>
                    </w:rPr>
                    <w:t>依托工程</w:t>
                  </w:r>
                </w:p>
              </w:tc>
              <w:tc>
                <w:tcPr>
                  <w:tcW w:w="1078" w:type="dxa"/>
                  <w:gridSpan w:val="2"/>
                  <w:tcBorders>
                    <w:tl2br w:val="nil"/>
                    <w:tr2bl w:val="nil"/>
                  </w:tcBorders>
                  <w:shd w:val="clear" w:color="auto" w:fill="auto"/>
                  <w:vAlign w:val="center"/>
                </w:tcPr>
                <w:p>
                  <w:pPr>
                    <w:pStyle w:val="38"/>
                    <w:bidi w:val="0"/>
                    <w:ind w:firstLine="0" w:firstLineChars="0"/>
                    <w:jc w:val="center"/>
                    <w:rPr>
                      <w:rFonts w:hint="eastAsia" w:ascii="Times New Roman" w:hAnsi="Times New Roman" w:eastAsia="宋体" w:cstheme="minorBidi"/>
                      <w:color w:val="auto"/>
                      <w:kern w:val="0"/>
                      <w:sz w:val="18"/>
                      <w:szCs w:val="18"/>
                      <w:highlight w:val="none"/>
                      <w:lang w:val="en-US" w:eastAsia="zh-CN" w:bidi="ar-SA"/>
                    </w:rPr>
                  </w:pPr>
                  <w:r>
                    <w:rPr>
                      <w:rFonts w:hint="eastAsia"/>
                      <w:color w:val="auto"/>
                      <w:highlight w:val="none"/>
                      <w:lang w:val="en-US" w:eastAsia="zh-CN"/>
                    </w:rPr>
                    <w:t>给水系统</w:t>
                  </w:r>
                </w:p>
              </w:tc>
              <w:tc>
                <w:tcPr>
                  <w:tcW w:w="5285" w:type="dxa"/>
                  <w:gridSpan w:val="2"/>
                  <w:tcBorders>
                    <w:tl2br w:val="nil"/>
                    <w:tr2bl w:val="nil"/>
                  </w:tcBorders>
                  <w:shd w:val="clear" w:color="auto" w:fill="auto"/>
                  <w:vAlign w:val="center"/>
                </w:tcPr>
                <w:p>
                  <w:pPr>
                    <w:pStyle w:val="38"/>
                    <w:bidi w:val="0"/>
                    <w:ind w:firstLine="0" w:firstLineChars="0"/>
                    <w:jc w:val="center"/>
                    <w:rPr>
                      <w:rFonts w:hint="eastAsia" w:ascii="Times New Roman" w:hAnsi="Times New Roman" w:eastAsia="宋体" w:cstheme="minorBidi"/>
                      <w:color w:val="auto"/>
                      <w:kern w:val="0"/>
                      <w:sz w:val="18"/>
                      <w:szCs w:val="18"/>
                      <w:highlight w:val="none"/>
                      <w:lang w:val="en-US" w:eastAsia="zh-CN" w:bidi="ar-SA"/>
                    </w:rPr>
                  </w:pPr>
                  <w:r>
                    <w:rPr>
                      <w:rFonts w:hint="default"/>
                      <w:color w:val="auto"/>
                      <w:highlight w:val="none"/>
                      <w:lang w:val="en-US" w:eastAsia="zh-CN"/>
                    </w:rPr>
                    <w:t>本</w:t>
                  </w:r>
                  <w:r>
                    <w:rPr>
                      <w:rFonts w:hint="eastAsia"/>
                      <w:color w:val="auto"/>
                      <w:highlight w:val="none"/>
                      <w:lang w:val="en-US" w:eastAsia="zh-CN"/>
                    </w:rPr>
                    <w:t>项目</w:t>
                  </w:r>
                  <w:r>
                    <w:rPr>
                      <w:rFonts w:hint="default"/>
                      <w:color w:val="auto"/>
                      <w:highlight w:val="none"/>
                      <w:lang w:val="en-US" w:eastAsia="zh-CN"/>
                    </w:rPr>
                    <w:t>位于易门铜业有限公司现有厂区内，其水源为厂区现有生产及软化水给水管网，现有生产水生产能力为4000m</w:t>
                  </w:r>
                  <w:r>
                    <w:rPr>
                      <w:rFonts w:hint="default"/>
                      <w:color w:val="auto"/>
                      <w:highlight w:val="none"/>
                      <w:vertAlign w:val="superscript"/>
                      <w:lang w:val="en-US" w:eastAsia="zh-CN"/>
                    </w:rPr>
                    <w:t>3</w:t>
                  </w:r>
                  <w:r>
                    <w:rPr>
                      <w:rFonts w:hint="default"/>
                      <w:color w:val="auto"/>
                      <w:highlight w:val="none"/>
                      <w:lang w:val="en-US" w:eastAsia="zh-CN"/>
                    </w:rPr>
                    <w:t>/d，水量富余可直接用于系统用水。</w:t>
                  </w:r>
                </w:p>
              </w:tc>
              <w:tc>
                <w:tcPr>
                  <w:tcW w:w="915" w:type="dxa"/>
                  <w:tcBorders>
                    <w:tl2br w:val="nil"/>
                    <w:tr2bl w:val="nil"/>
                  </w:tcBorders>
                  <w:shd w:val="clear" w:color="auto" w:fill="auto"/>
                  <w:vAlign w:val="center"/>
                </w:tcPr>
                <w:p>
                  <w:pPr>
                    <w:pStyle w:val="38"/>
                    <w:bidi w:val="0"/>
                    <w:ind w:firstLine="0" w:firstLineChars="0"/>
                    <w:jc w:val="center"/>
                    <w:rPr>
                      <w:rFonts w:hint="eastAsia" w:ascii="Times New Roman" w:hAnsi="Times New Roman" w:eastAsia="宋体" w:cstheme="minorBidi"/>
                      <w:color w:val="auto"/>
                      <w:kern w:val="0"/>
                      <w:sz w:val="18"/>
                      <w:szCs w:val="18"/>
                      <w:highlight w:val="none"/>
                      <w:lang w:val="en-US" w:eastAsia="zh-CN" w:bidi="ar-SA"/>
                    </w:rPr>
                  </w:pPr>
                  <w:r>
                    <w:rPr>
                      <w:rFonts w:hint="eastAsia"/>
                      <w:color w:val="auto"/>
                      <w:highlight w:val="none"/>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Merge w:val="continue"/>
                  <w:tcBorders>
                    <w:tl2br w:val="nil"/>
                    <w:tr2bl w:val="nil"/>
                  </w:tcBorders>
                  <w:shd w:val="clear" w:color="auto" w:fill="auto"/>
                  <w:vAlign w:val="center"/>
                </w:tcPr>
                <w:p>
                  <w:pPr>
                    <w:pStyle w:val="38"/>
                    <w:bidi w:val="0"/>
                    <w:rPr>
                      <w:rFonts w:hint="default"/>
                      <w:color w:val="auto"/>
                      <w:highlight w:val="none"/>
                      <w:lang w:val="en-US" w:eastAsia="zh-CN"/>
                    </w:rPr>
                  </w:pPr>
                </w:p>
              </w:tc>
              <w:tc>
                <w:tcPr>
                  <w:tcW w:w="1078" w:type="dxa"/>
                  <w:gridSpan w:val="2"/>
                  <w:tcBorders>
                    <w:tl2br w:val="nil"/>
                    <w:tr2bl w:val="nil"/>
                  </w:tcBorders>
                  <w:shd w:val="clear" w:color="auto" w:fill="auto"/>
                  <w:vAlign w:val="center"/>
                </w:tcPr>
                <w:p>
                  <w:pPr>
                    <w:pStyle w:val="38"/>
                    <w:bidi w:val="0"/>
                    <w:ind w:firstLine="0" w:firstLineChars="0"/>
                    <w:jc w:val="center"/>
                    <w:rPr>
                      <w:rFonts w:hint="eastAsia" w:ascii="Times New Roman" w:hAnsi="Times New Roman" w:eastAsia="宋体" w:cstheme="minorBidi"/>
                      <w:color w:val="auto"/>
                      <w:kern w:val="0"/>
                      <w:sz w:val="18"/>
                      <w:szCs w:val="18"/>
                      <w:highlight w:val="none"/>
                      <w:lang w:val="en-US" w:eastAsia="zh-CN" w:bidi="ar-SA"/>
                    </w:rPr>
                  </w:pPr>
                  <w:r>
                    <w:rPr>
                      <w:rFonts w:hint="eastAsia"/>
                      <w:color w:val="auto"/>
                      <w:highlight w:val="none"/>
                      <w:lang w:val="en-US" w:eastAsia="zh-CN"/>
                    </w:rPr>
                    <w:t>排水系统</w:t>
                  </w:r>
                </w:p>
              </w:tc>
              <w:tc>
                <w:tcPr>
                  <w:tcW w:w="5285" w:type="dxa"/>
                  <w:gridSpan w:val="2"/>
                  <w:tcBorders>
                    <w:tl2br w:val="nil"/>
                    <w:tr2bl w:val="nil"/>
                  </w:tcBorders>
                  <w:shd w:val="clear" w:color="auto" w:fill="auto"/>
                  <w:vAlign w:val="center"/>
                </w:tcPr>
                <w:p>
                  <w:pPr>
                    <w:pStyle w:val="38"/>
                    <w:bidi w:val="0"/>
                    <w:ind w:firstLine="0" w:firstLineChars="0"/>
                    <w:jc w:val="center"/>
                    <w:rPr>
                      <w:rFonts w:hint="eastAsia" w:ascii="Times New Roman" w:hAnsi="Times New Roman" w:eastAsia="宋体" w:cstheme="minorBidi"/>
                      <w:color w:val="auto"/>
                      <w:kern w:val="0"/>
                      <w:sz w:val="18"/>
                      <w:szCs w:val="18"/>
                      <w:highlight w:val="none"/>
                      <w:lang w:val="en-US" w:eastAsia="zh-CN" w:bidi="ar-SA"/>
                    </w:rPr>
                  </w:pPr>
                  <w:r>
                    <w:rPr>
                      <w:rFonts w:hint="eastAsia"/>
                      <w:color w:val="auto"/>
                      <w:highlight w:val="none"/>
                      <w:lang w:val="en-US" w:eastAsia="zh-CN"/>
                    </w:rPr>
                    <w:t>生活污水经收集后进入厂区生活污水处理站进行处理，处理达标后回用于绿化浇洒，不外排；项目循环冷却系统循环水池检修排污水经污水管道排入厂区生产废水深度水处理站处理达标后回用于易门铜业有限公司冶炼渣缓冷场，不外排。</w:t>
                  </w:r>
                </w:p>
              </w:tc>
              <w:tc>
                <w:tcPr>
                  <w:tcW w:w="915" w:type="dxa"/>
                  <w:tcBorders>
                    <w:tl2br w:val="nil"/>
                    <w:tr2bl w:val="nil"/>
                  </w:tcBorders>
                  <w:shd w:val="clear" w:color="auto" w:fill="auto"/>
                  <w:vAlign w:val="center"/>
                </w:tcPr>
                <w:p>
                  <w:pPr>
                    <w:pStyle w:val="38"/>
                    <w:bidi w:val="0"/>
                    <w:ind w:firstLine="0" w:firstLineChars="0"/>
                    <w:jc w:val="center"/>
                    <w:rPr>
                      <w:rFonts w:hint="eastAsia" w:ascii="Times New Roman" w:hAnsi="Times New Roman" w:eastAsia="宋体" w:cstheme="minorBidi"/>
                      <w:color w:val="auto"/>
                      <w:kern w:val="0"/>
                      <w:sz w:val="18"/>
                      <w:szCs w:val="18"/>
                      <w:highlight w:val="none"/>
                      <w:lang w:val="en-US" w:eastAsia="zh-CN" w:bidi="ar-SA"/>
                    </w:rPr>
                  </w:pPr>
                  <w:r>
                    <w:rPr>
                      <w:rFonts w:hint="eastAsia"/>
                      <w:color w:val="auto"/>
                      <w:highlight w:val="none"/>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Merge w:val="continue"/>
                  <w:tcBorders>
                    <w:tl2br w:val="nil"/>
                    <w:tr2bl w:val="nil"/>
                  </w:tcBorders>
                  <w:shd w:val="clear" w:color="auto" w:fill="auto"/>
                  <w:vAlign w:val="center"/>
                </w:tcPr>
                <w:p>
                  <w:pPr>
                    <w:pStyle w:val="38"/>
                    <w:bidi w:val="0"/>
                    <w:rPr>
                      <w:rFonts w:hint="default"/>
                      <w:color w:val="auto"/>
                      <w:highlight w:val="none"/>
                      <w:lang w:val="en-US" w:eastAsia="zh-CN"/>
                    </w:rPr>
                  </w:pPr>
                </w:p>
              </w:tc>
              <w:tc>
                <w:tcPr>
                  <w:tcW w:w="1078" w:type="dxa"/>
                  <w:gridSpan w:val="2"/>
                  <w:tcBorders>
                    <w:tl2br w:val="nil"/>
                    <w:tr2bl w:val="nil"/>
                  </w:tcBorders>
                  <w:shd w:val="clear" w:color="auto" w:fill="auto"/>
                  <w:vAlign w:val="center"/>
                </w:tcPr>
                <w:p>
                  <w:pPr>
                    <w:pStyle w:val="38"/>
                    <w:bidi w:val="0"/>
                    <w:ind w:firstLine="0" w:firstLineChars="0"/>
                    <w:jc w:val="center"/>
                    <w:rPr>
                      <w:rFonts w:hint="eastAsia" w:ascii="Times New Roman" w:hAnsi="Times New Roman" w:eastAsia="宋体" w:cstheme="minorBidi"/>
                      <w:color w:val="auto"/>
                      <w:kern w:val="0"/>
                      <w:sz w:val="18"/>
                      <w:szCs w:val="18"/>
                      <w:highlight w:val="none"/>
                      <w:lang w:val="en-US" w:eastAsia="zh-CN" w:bidi="ar-SA"/>
                    </w:rPr>
                  </w:pPr>
                  <w:r>
                    <w:rPr>
                      <w:rFonts w:hint="eastAsia"/>
                      <w:color w:val="auto"/>
                      <w:highlight w:val="none"/>
                      <w:lang w:val="en-US" w:eastAsia="zh-CN"/>
                    </w:rPr>
                    <w:t>办公生活区</w:t>
                  </w:r>
                </w:p>
              </w:tc>
              <w:tc>
                <w:tcPr>
                  <w:tcW w:w="5285" w:type="dxa"/>
                  <w:gridSpan w:val="2"/>
                  <w:tcBorders>
                    <w:tl2br w:val="nil"/>
                    <w:tr2bl w:val="nil"/>
                  </w:tcBorders>
                  <w:shd w:val="clear" w:color="auto" w:fill="auto"/>
                  <w:vAlign w:val="center"/>
                </w:tcPr>
                <w:p>
                  <w:pPr>
                    <w:pStyle w:val="38"/>
                    <w:bidi w:val="0"/>
                    <w:ind w:firstLine="0" w:firstLineChars="0"/>
                    <w:jc w:val="center"/>
                    <w:rPr>
                      <w:rFonts w:hint="eastAsia" w:ascii="Times New Roman" w:hAnsi="Times New Roman" w:eastAsia="宋体" w:cstheme="minorBidi"/>
                      <w:color w:val="auto"/>
                      <w:kern w:val="0"/>
                      <w:sz w:val="18"/>
                      <w:szCs w:val="18"/>
                      <w:highlight w:val="none"/>
                      <w:lang w:val="en-US" w:eastAsia="zh-CN" w:bidi="ar-SA"/>
                    </w:rPr>
                  </w:pPr>
                  <w:r>
                    <w:rPr>
                      <w:rFonts w:hint="eastAsia"/>
                      <w:color w:val="auto"/>
                      <w:highlight w:val="none"/>
                      <w:lang w:val="en-US" w:eastAsia="zh-CN"/>
                    </w:rPr>
                    <w:t>项目改造完成后，无需增加劳动定员，现有岗位人员可满足生产需求，现有人员办公、生活均依托易门铜业</w:t>
                  </w:r>
                  <w:r>
                    <w:rPr>
                      <w:rFonts w:hint="eastAsia"/>
                      <w:color w:val="auto"/>
                      <w:highlight w:val="none"/>
                    </w:rPr>
                    <w:t>有限公司</w:t>
                  </w:r>
                  <w:r>
                    <w:rPr>
                      <w:rFonts w:hint="eastAsia"/>
                      <w:color w:val="auto"/>
                      <w:highlight w:val="none"/>
                      <w:lang w:val="en-US" w:eastAsia="zh-CN"/>
                    </w:rPr>
                    <w:t>已建的办公生活区，可满足本项目人员办公生活需求。</w:t>
                  </w:r>
                </w:p>
              </w:tc>
              <w:tc>
                <w:tcPr>
                  <w:tcW w:w="915" w:type="dxa"/>
                  <w:tcBorders>
                    <w:tl2br w:val="nil"/>
                    <w:tr2bl w:val="nil"/>
                  </w:tcBorders>
                  <w:shd w:val="clear" w:color="auto" w:fill="auto"/>
                  <w:vAlign w:val="center"/>
                </w:tcPr>
                <w:p>
                  <w:pPr>
                    <w:pStyle w:val="38"/>
                    <w:bidi w:val="0"/>
                    <w:ind w:firstLine="0" w:firstLineChars="0"/>
                    <w:jc w:val="center"/>
                    <w:rPr>
                      <w:rFonts w:hint="eastAsia" w:ascii="Times New Roman" w:hAnsi="Times New Roman" w:eastAsia="宋体" w:cstheme="minorBidi"/>
                      <w:color w:val="auto"/>
                      <w:kern w:val="0"/>
                      <w:sz w:val="18"/>
                      <w:szCs w:val="18"/>
                      <w:highlight w:val="none"/>
                      <w:lang w:val="en-US" w:eastAsia="zh-CN" w:bidi="ar-SA"/>
                    </w:rPr>
                  </w:pPr>
                  <w:r>
                    <w:rPr>
                      <w:rFonts w:hint="eastAsia"/>
                      <w:color w:val="auto"/>
                      <w:highlight w:val="none"/>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Merge w:val="continue"/>
                  <w:tcBorders>
                    <w:tl2br w:val="nil"/>
                    <w:tr2bl w:val="nil"/>
                  </w:tcBorders>
                  <w:shd w:val="clear" w:color="auto" w:fill="auto"/>
                  <w:vAlign w:val="center"/>
                </w:tcPr>
                <w:p>
                  <w:pPr>
                    <w:pStyle w:val="38"/>
                    <w:bidi w:val="0"/>
                    <w:rPr>
                      <w:rFonts w:hint="default"/>
                      <w:color w:val="auto"/>
                      <w:highlight w:val="none"/>
                      <w:lang w:val="en-US" w:eastAsia="zh-CN"/>
                    </w:rPr>
                  </w:pPr>
                </w:p>
              </w:tc>
              <w:tc>
                <w:tcPr>
                  <w:tcW w:w="397" w:type="dxa"/>
                  <w:vMerge w:val="restart"/>
                  <w:tcBorders>
                    <w:tl2br w:val="nil"/>
                    <w:tr2bl w:val="nil"/>
                  </w:tcBorders>
                  <w:shd w:val="clear" w:color="auto" w:fill="auto"/>
                  <w:vAlign w:val="center"/>
                </w:tcPr>
                <w:p>
                  <w:pPr>
                    <w:pStyle w:val="38"/>
                    <w:bidi w:val="0"/>
                    <w:ind w:firstLine="0" w:firstLineChars="0"/>
                    <w:rPr>
                      <w:rFonts w:hint="eastAsia"/>
                      <w:color w:val="auto"/>
                      <w:highlight w:val="none"/>
                      <w:lang w:val="en-US" w:eastAsia="zh-CN"/>
                    </w:rPr>
                  </w:pPr>
                </w:p>
                <w:p>
                  <w:pPr>
                    <w:pStyle w:val="38"/>
                    <w:bidi w:val="0"/>
                    <w:ind w:firstLine="0" w:firstLineChars="0"/>
                    <w:rPr>
                      <w:rFonts w:hint="eastAsia" w:ascii="Times New Roman" w:hAnsi="Times New Roman" w:eastAsia="宋体" w:cstheme="minorBidi"/>
                      <w:color w:val="auto"/>
                      <w:kern w:val="0"/>
                      <w:sz w:val="18"/>
                      <w:szCs w:val="18"/>
                      <w:highlight w:val="none"/>
                      <w:lang w:val="en-US" w:eastAsia="zh-CN" w:bidi="ar-SA"/>
                    </w:rPr>
                  </w:pPr>
                  <w:r>
                    <w:rPr>
                      <w:rFonts w:hint="eastAsia"/>
                      <w:color w:val="auto"/>
                      <w:highlight w:val="none"/>
                      <w:lang w:val="en-US" w:eastAsia="zh-CN"/>
                    </w:rPr>
                    <w:t>废水处理</w:t>
                  </w:r>
                </w:p>
              </w:tc>
              <w:tc>
                <w:tcPr>
                  <w:tcW w:w="681" w:type="dxa"/>
                  <w:tcBorders>
                    <w:tl2br w:val="nil"/>
                    <w:tr2bl w:val="nil"/>
                  </w:tcBorders>
                  <w:shd w:val="clear" w:color="auto" w:fill="auto"/>
                  <w:vAlign w:val="center"/>
                </w:tcPr>
                <w:p>
                  <w:pPr>
                    <w:pStyle w:val="38"/>
                    <w:bidi w:val="0"/>
                    <w:ind w:firstLine="0" w:firstLineChars="0"/>
                    <w:rPr>
                      <w:rFonts w:hint="eastAsia" w:ascii="Times New Roman" w:hAnsi="Times New Roman" w:eastAsia="宋体" w:cstheme="minorBidi"/>
                      <w:color w:val="auto"/>
                      <w:kern w:val="0"/>
                      <w:sz w:val="18"/>
                      <w:szCs w:val="18"/>
                      <w:highlight w:val="none"/>
                      <w:lang w:val="en-US" w:eastAsia="zh-CN" w:bidi="ar-SA"/>
                    </w:rPr>
                  </w:pPr>
                  <w:r>
                    <w:rPr>
                      <w:rFonts w:hint="eastAsia"/>
                      <w:color w:val="auto"/>
                      <w:highlight w:val="none"/>
                      <w:lang w:val="en-US" w:eastAsia="zh-CN"/>
                    </w:rPr>
                    <w:t>循环冷却系统排污水</w:t>
                  </w:r>
                </w:p>
              </w:tc>
              <w:tc>
                <w:tcPr>
                  <w:tcW w:w="5285" w:type="dxa"/>
                  <w:gridSpan w:val="2"/>
                  <w:tcBorders>
                    <w:tl2br w:val="nil"/>
                    <w:tr2bl w:val="nil"/>
                  </w:tcBorders>
                  <w:shd w:val="clear" w:color="auto" w:fill="auto"/>
                  <w:vAlign w:val="center"/>
                </w:tcPr>
                <w:p>
                  <w:pPr>
                    <w:pStyle w:val="38"/>
                    <w:bidi w:val="0"/>
                    <w:ind w:firstLine="0" w:firstLineChars="0"/>
                    <w:rPr>
                      <w:rFonts w:hint="eastAsia" w:ascii="Times New Roman" w:hAnsi="Times New Roman" w:eastAsia="宋体" w:cstheme="minorBidi"/>
                      <w:color w:val="auto"/>
                      <w:kern w:val="0"/>
                      <w:sz w:val="18"/>
                      <w:szCs w:val="18"/>
                      <w:highlight w:val="none"/>
                      <w:lang w:val="en-US" w:eastAsia="zh-CN" w:bidi="ar-SA"/>
                    </w:rPr>
                  </w:pPr>
                  <w:r>
                    <w:rPr>
                      <w:rFonts w:hint="eastAsia"/>
                      <w:color w:val="auto"/>
                      <w:highlight w:val="none"/>
                      <w:lang w:val="en-US" w:eastAsia="zh-CN"/>
                    </w:rPr>
                    <w:t>项目循环冷却系统排污水经污水管道排入厂区生产废水深度水处理站处理达标后回用于易门铜业有限公司冶炼渣缓冷场，不外排；</w:t>
                  </w:r>
                </w:p>
              </w:tc>
              <w:tc>
                <w:tcPr>
                  <w:tcW w:w="915" w:type="dxa"/>
                  <w:tcBorders>
                    <w:tl2br w:val="nil"/>
                    <w:tr2bl w:val="nil"/>
                  </w:tcBorders>
                  <w:shd w:val="clear" w:color="auto" w:fill="auto"/>
                  <w:vAlign w:val="center"/>
                </w:tcPr>
                <w:p>
                  <w:pPr>
                    <w:pStyle w:val="38"/>
                    <w:bidi w:val="0"/>
                    <w:rPr>
                      <w:rFonts w:hint="eastAsia"/>
                      <w:color w:val="auto"/>
                      <w:highlight w:val="none"/>
                      <w:lang w:val="en-US" w:eastAsia="zh-CN"/>
                    </w:rPr>
                  </w:pPr>
                  <w:r>
                    <w:rPr>
                      <w:rFonts w:hint="eastAsia"/>
                      <w:color w:val="auto"/>
                      <w:highlight w:val="none"/>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Merge w:val="continue"/>
                  <w:tcBorders>
                    <w:tl2br w:val="nil"/>
                    <w:tr2bl w:val="nil"/>
                  </w:tcBorders>
                  <w:shd w:val="clear" w:color="auto" w:fill="auto"/>
                  <w:vAlign w:val="center"/>
                </w:tcPr>
                <w:p>
                  <w:pPr>
                    <w:pStyle w:val="38"/>
                    <w:bidi w:val="0"/>
                    <w:rPr>
                      <w:rFonts w:hint="default"/>
                      <w:color w:val="auto"/>
                      <w:highlight w:val="none"/>
                      <w:lang w:val="en-US" w:eastAsia="zh-CN"/>
                    </w:rPr>
                  </w:pPr>
                </w:p>
              </w:tc>
              <w:tc>
                <w:tcPr>
                  <w:tcW w:w="397" w:type="dxa"/>
                  <w:vMerge w:val="continue"/>
                  <w:tcBorders>
                    <w:tl2br w:val="nil"/>
                    <w:tr2bl w:val="nil"/>
                  </w:tcBorders>
                  <w:shd w:val="clear" w:color="auto" w:fill="auto"/>
                  <w:vAlign w:val="center"/>
                </w:tcPr>
                <w:p>
                  <w:pPr>
                    <w:pStyle w:val="38"/>
                    <w:bidi w:val="0"/>
                    <w:rPr>
                      <w:rFonts w:hint="eastAsia"/>
                      <w:color w:val="auto"/>
                      <w:highlight w:val="none"/>
                      <w:lang w:val="en-US" w:eastAsia="zh-CN"/>
                    </w:rPr>
                  </w:pPr>
                </w:p>
              </w:tc>
              <w:tc>
                <w:tcPr>
                  <w:tcW w:w="681" w:type="dxa"/>
                  <w:tcBorders>
                    <w:tl2br w:val="nil"/>
                    <w:tr2bl w:val="nil"/>
                  </w:tcBorders>
                  <w:shd w:val="clear" w:color="auto" w:fill="auto"/>
                  <w:vAlign w:val="center"/>
                </w:tcPr>
                <w:p>
                  <w:pPr>
                    <w:pStyle w:val="38"/>
                    <w:bidi w:val="0"/>
                    <w:ind w:firstLine="0" w:firstLineChars="0"/>
                    <w:rPr>
                      <w:rFonts w:hint="eastAsia" w:ascii="Times New Roman" w:hAnsi="Times New Roman" w:eastAsia="宋体" w:cstheme="minorBidi"/>
                      <w:color w:val="auto"/>
                      <w:kern w:val="0"/>
                      <w:sz w:val="18"/>
                      <w:szCs w:val="18"/>
                      <w:highlight w:val="none"/>
                      <w:lang w:val="en-US" w:eastAsia="zh-CN" w:bidi="ar-SA"/>
                    </w:rPr>
                  </w:pPr>
                  <w:r>
                    <w:rPr>
                      <w:rFonts w:hint="eastAsia"/>
                      <w:color w:val="auto"/>
                      <w:highlight w:val="none"/>
                      <w:lang w:val="en-US" w:eastAsia="zh-CN"/>
                    </w:rPr>
                    <w:t>生活污水</w:t>
                  </w:r>
                </w:p>
              </w:tc>
              <w:tc>
                <w:tcPr>
                  <w:tcW w:w="5285" w:type="dxa"/>
                  <w:gridSpan w:val="2"/>
                  <w:tcBorders>
                    <w:tl2br w:val="nil"/>
                    <w:tr2bl w:val="nil"/>
                  </w:tcBorders>
                  <w:shd w:val="clear" w:color="auto" w:fill="auto"/>
                  <w:vAlign w:val="center"/>
                </w:tcPr>
                <w:p>
                  <w:pPr>
                    <w:pStyle w:val="38"/>
                    <w:bidi w:val="0"/>
                    <w:ind w:firstLine="0" w:firstLineChars="0"/>
                    <w:rPr>
                      <w:rFonts w:hint="eastAsia" w:ascii="Times New Roman" w:hAnsi="Times New Roman" w:eastAsia="宋体" w:cstheme="minorBidi"/>
                      <w:color w:val="auto"/>
                      <w:kern w:val="0"/>
                      <w:sz w:val="18"/>
                      <w:szCs w:val="18"/>
                      <w:highlight w:val="none"/>
                      <w:lang w:val="en-US" w:eastAsia="zh-CN" w:bidi="ar-SA"/>
                    </w:rPr>
                  </w:pPr>
                  <w:r>
                    <w:rPr>
                      <w:rFonts w:hint="eastAsia"/>
                      <w:color w:val="auto"/>
                      <w:highlight w:val="none"/>
                      <w:lang w:val="en-US" w:eastAsia="zh-CN"/>
                    </w:rPr>
                    <w:t>生活污水经收集后进入厂区生活污水处理站进行处理，处理达标后回用于绿化浇洒，不外排；</w:t>
                  </w:r>
                </w:p>
              </w:tc>
              <w:tc>
                <w:tcPr>
                  <w:tcW w:w="915" w:type="dxa"/>
                  <w:tcBorders>
                    <w:tl2br w:val="nil"/>
                    <w:tr2bl w:val="nil"/>
                  </w:tcBorders>
                  <w:shd w:val="clear" w:color="auto" w:fill="auto"/>
                  <w:vAlign w:val="center"/>
                </w:tcPr>
                <w:p>
                  <w:pPr>
                    <w:pStyle w:val="38"/>
                    <w:bidi w:val="0"/>
                    <w:rPr>
                      <w:rFonts w:hint="eastAsia"/>
                      <w:color w:val="auto"/>
                      <w:highlight w:val="none"/>
                      <w:lang w:val="en-US" w:eastAsia="zh-CN"/>
                    </w:rPr>
                  </w:pPr>
                  <w:r>
                    <w:rPr>
                      <w:rFonts w:hint="eastAsia"/>
                      <w:color w:val="auto"/>
                      <w:highlight w:val="none"/>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Merge w:val="continue"/>
                  <w:tcBorders>
                    <w:tl2br w:val="nil"/>
                    <w:tr2bl w:val="nil"/>
                  </w:tcBorders>
                  <w:shd w:val="clear" w:color="auto" w:fill="auto"/>
                  <w:vAlign w:val="center"/>
                </w:tcPr>
                <w:p>
                  <w:pPr>
                    <w:pStyle w:val="38"/>
                    <w:bidi w:val="0"/>
                    <w:rPr>
                      <w:rFonts w:hint="default"/>
                      <w:color w:val="auto"/>
                      <w:highlight w:val="none"/>
                      <w:lang w:val="en-US" w:eastAsia="zh-CN"/>
                    </w:rPr>
                  </w:pPr>
                </w:p>
              </w:tc>
              <w:tc>
                <w:tcPr>
                  <w:tcW w:w="397" w:type="dxa"/>
                  <w:vMerge w:val="continue"/>
                  <w:tcBorders>
                    <w:tl2br w:val="nil"/>
                    <w:tr2bl w:val="nil"/>
                  </w:tcBorders>
                  <w:shd w:val="clear" w:color="auto" w:fill="auto"/>
                  <w:vAlign w:val="center"/>
                </w:tcPr>
                <w:p>
                  <w:pPr>
                    <w:pStyle w:val="38"/>
                    <w:bidi w:val="0"/>
                    <w:rPr>
                      <w:rFonts w:hint="eastAsia"/>
                      <w:color w:val="auto"/>
                      <w:highlight w:val="none"/>
                      <w:lang w:val="en-US" w:eastAsia="zh-CN"/>
                    </w:rPr>
                  </w:pPr>
                </w:p>
              </w:tc>
              <w:tc>
                <w:tcPr>
                  <w:tcW w:w="681" w:type="dxa"/>
                  <w:tcBorders>
                    <w:tl2br w:val="nil"/>
                    <w:tr2bl w:val="nil"/>
                  </w:tcBorders>
                  <w:shd w:val="clear" w:color="auto" w:fill="auto"/>
                  <w:vAlign w:val="center"/>
                </w:tcPr>
                <w:p>
                  <w:pPr>
                    <w:pStyle w:val="38"/>
                    <w:bidi w:val="0"/>
                    <w:ind w:firstLine="0" w:firstLineChars="0"/>
                    <w:rPr>
                      <w:rFonts w:hint="eastAsia" w:ascii="Times New Roman" w:hAnsi="Times New Roman" w:eastAsia="宋体" w:cstheme="minorBidi"/>
                      <w:color w:val="auto"/>
                      <w:kern w:val="0"/>
                      <w:sz w:val="18"/>
                      <w:szCs w:val="18"/>
                      <w:highlight w:val="none"/>
                      <w:lang w:val="en-US" w:eastAsia="zh-CN" w:bidi="ar-SA"/>
                    </w:rPr>
                  </w:pPr>
                  <w:r>
                    <w:rPr>
                      <w:rFonts w:hint="eastAsia"/>
                      <w:color w:val="auto"/>
                      <w:highlight w:val="none"/>
                      <w:lang w:val="en-US" w:eastAsia="zh-CN"/>
                    </w:rPr>
                    <w:t>初期雨水</w:t>
                  </w:r>
                </w:p>
              </w:tc>
              <w:tc>
                <w:tcPr>
                  <w:tcW w:w="5285" w:type="dxa"/>
                  <w:gridSpan w:val="2"/>
                  <w:tcBorders>
                    <w:tl2br w:val="nil"/>
                    <w:tr2bl w:val="nil"/>
                  </w:tcBorders>
                  <w:shd w:val="clear" w:color="auto" w:fill="auto"/>
                  <w:vAlign w:val="center"/>
                </w:tcPr>
                <w:p>
                  <w:pPr>
                    <w:pStyle w:val="38"/>
                    <w:bidi w:val="0"/>
                    <w:ind w:firstLine="0" w:firstLineChars="0"/>
                    <w:rPr>
                      <w:rFonts w:hint="eastAsia" w:ascii="Times New Roman" w:hAnsi="Times New Roman" w:eastAsia="宋体" w:cstheme="minorBidi"/>
                      <w:color w:val="auto"/>
                      <w:kern w:val="0"/>
                      <w:sz w:val="18"/>
                      <w:szCs w:val="18"/>
                      <w:highlight w:val="none"/>
                      <w:lang w:val="en-US" w:eastAsia="zh-CN" w:bidi="ar-SA"/>
                    </w:rPr>
                  </w:pPr>
                  <w:r>
                    <w:rPr>
                      <w:rFonts w:hint="eastAsia"/>
                      <w:color w:val="auto"/>
                      <w:highlight w:val="none"/>
                      <w:lang w:val="en-US" w:eastAsia="zh-CN"/>
                    </w:rPr>
                    <w:t>本项目初期雨水已纳入全厂初期雨水产生量进行核算，本次项目改建不再进行赘述。</w:t>
                  </w:r>
                </w:p>
              </w:tc>
              <w:tc>
                <w:tcPr>
                  <w:tcW w:w="915" w:type="dxa"/>
                  <w:tcBorders>
                    <w:tl2br w:val="nil"/>
                    <w:tr2bl w:val="nil"/>
                  </w:tcBorders>
                  <w:shd w:val="clear" w:color="auto" w:fill="auto"/>
                  <w:vAlign w:val="center"/>
                </w:tcPr>
                <w:p>
                  <w:pPr>
                    <w:pStyle w:val="38"/>
                    <w:bidi w:val="0"/>
                    <w:rPr>
                      <w:rFonts w:hint="default"/>
                      <w:color w:val="auto"/>
                      <w:highlight w:val="none"/>
                      <w:lang w:val="en-US" w:eastAsia="zh-CN"/>
                    </w:rPr>
                  </w:pPr>
                  <w:r>
                    <w:rPr>
                      <w:rFonts w:hint="eastAsia"/>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Merge w:val="continue"/>
                  <w:tcBorders>
                    <w:tl2br w:val="nil"/>
                    <w:tr2bl w:val="nil"/>
                  </w:tcBorders>
                  <w:shd w:val="clear" w:color="auto" w:fill="auto"/>
                  <w:vAlign w:val="center"/>
                </w:tcPr>
                <w:p>
                  <w:pPr>
                    <w:pStyle w:val="38"/>
                    <w:bidi w:val="0"/>
                    <w:rPr>
                      <w:rFonts w:hint="default"/>
                      <w:color w:val="auto"/>
                      <w:highlight w:val="none"/>
                      <w:lang w:val="en-US" w:eastAsia="zh-CN"/>
                    </w:rPr>
                  </w:pPr>
                </w:p>
              </w:tc>
              <w:tc>
                <w:tcPr>
                  <w:tcW w:w="397" w:type="dxa"/>
                  <w:vMerge w:val="restart"/>
                  <w:tcBorders>
                    <w:tl2br w:val="nil"/>
                    <w:tr2bl w:val="nil"/>
                  </w:tcBorders>
                  <w:shd w:val="clear" w:color="auto" w:fill="auto"/>
                  <w:vAlign w:val="center"/>
                </w:tcPr>
                <w:p>
                  <w:pPr>
                    <w:pStyle w:val="38"/>
                    <w:bidi w:val="0"/>
                    <w:ind w:firstLine="0" w:firstLineChars="0"/>
                    <w:rPr>
                      <w:rFonts w:hint="eastAsia"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highlight w:val="none"/>
                      <w:lang w:val="en-US" w:eastAsia="zh-CN"/>
                    </w:rPr>
                    <w:t>固废处置</w:t>
                  </w:r>
                </w:p>
              </w:tc>
              <w:tc>
                <w:tcPr>
                  <w:tcW w:w="681" w:type="dxa"/>
                  <w:tcBorders>
                    <w:tl2br w:val="nil"/>
                    <w:tr2bl w:val="nil"/>
                  </w:tcBorders>
                  <w:shd w:val="clear" w:color="auto" w:fill="auto"/>
                  <w:vAlign w:val="center"/>
                </w:tcPr>
                <w:p>
                  <w:pPr>
                    <w:pStyle w:val="38"/>
                    <w:bidi w:val="0"/>
                    <w:ind w:firstLine="0" w:firstLineChars="0"/>
                    <w:rPr>
                      <w:rFonts w:hint="eastAsia"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highlight w:val="none"/>
                      <w:lang w:val="en-US" w:eastAsia="zh-CN"/>
                    </w:rPr>
                    <w:t>生活垃圾</w:t>
                  </w:r>
                </w:p>
              </w:tc>
              <w:tc>
                <w:tcPr>
                  <w:tcW w:w="5285" w:type="dxa"/>
                  <w:gridSpan w:val="2"/>
                  <w:tcBorders>
                    <w:tl2br w:val="nil"/>
                    <w:tr2bl w:val="nil"/>
                  </w:tcBorders>
                  <w:shd w:val="clear" w:color="auto" w:fill="auto"/>
                  <w:vAlign w:val="center"/>
                </w:tcPr>
                <w:p>
                  <w:pPr>
                    <w:pStyle w:val="38"/>
                    <w:bidi w:val="0"/>
                    <w:ind w:firstLine="0" w:firstLineChars="0"/>
                    <w:rPr>
                      <w:rFonts w:hint="eastAsia"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highlight w:val="none"/>
                      <w:lang w:val="en-US" w:eastAsia="zh-CN"/>
                    </w:rPr>
                    <w:t>依托易门铜业有限公司设置的生活垃圾收集设施统一收集后定期外运至工业园区生活垃圾集中收集点，由环卫部门集中处理。</w:t>
                  </w:r>
                </w:p>
              </w:tc>
              <w:tc>
                <w:tcPr>
                  <w:tcW w:w="915" w:type="dxa"/>
                  <w:tcBorders>
                    <w:tl2br w:val="nil"/>
                    <w:tr2bl w:val="nil"/>
                  </w:tcBorders>
                  <w:shd w:val="clear" w:color="auto" w:fill="auto"/>
                  <w:vAlign w:val="center"/>
                </w:tcPr>
                <w:p>
                  <w:pPr>
                    <w:pStyle w:val="38"/>
                    <w:bidi w:val="0"/>
                    <w:ind w:firstLine="0" w:firstLineChars="0"/>
                    <w:rPr>
                      <w:rFonts w:hint="eastAsia" w:ascii="Times New Roman" w:hAnsi="Times New Roman" w:eastAsia="宋体" w:cstheme="minorBidi"/>
                      <w:color w:val="auto"/>
                      <w:kern w:val="0"/>
                      <w:sz w:val="18"/>
                      <w:szCs w:val="18"/>
                      <w:highlight w:val="none"/>
                      <w:lang w:val="en-US" w:eastAsia="zh-CN" w:bidi="ar-SA"/>
                    </w:rPr>
                  </w:pPr>
                  <w:r>
                    <w:rPr>
                      <w:rFonts w:hint="eastAsia"/>
                      <w:color w:val="auto"/>
                      <w:highlight w:val="none"/>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Merge w:val="continue"/>
                  <w:tcBorders>
                    <w:tl2br w:val="nil"/>
                    <w:tr2bl w:val="nil"/>
                  </w:tcBorders>
                  <w:shd w:val="clear" w:color="auto" w:fill="auto"/>
                  <w:vAlign w:val="center"/>
                </w:tcPr>
                <w:p>
                  <w:pPr>
                    <w:pStyle w:val="38"/>
                    <w:bidi w:val="0"/>
                    <w:rPr>
                      <w:rFonts w:hint="default"/>
                      <w:color w:val="auto"/>
                      <w:highlight w:val="none"/>
                      <w:lang w:val="en-US" w:eastAsia="zh-CN"/>
                    </w:rPr>
                  </w:pPr>
                </w:p>
              </w:tc>
              <w:tc>
                <w:tcPr>
                  <w:tcW w:w="397" w:type="dxa"/>
                  <w:vMerge w:val="continue"/>
                  <w:tcBorders>
                    <w:tl2br w:val="nil"/>
                    <w:tr2bl w:val="nil"/>
                  </w:tcBorders>
                  <w:shd w:val="clear" w:color="auto" w:fill="auto"/>
                  <w:vAlign w:val="center"/>
                </w:tcPr>
                <w:p>
                  <w:pPr>
                    <w:pStyle w:val="38"/>
                    <w:bidi w:val="0"/>
                    <w:rPr>
                      <w:rFonts w:hint="eastAsia"/>
                      <w:color w:val="auto"/>
                      <w:highlight w:val="none"/>
                      <w:lang w:val="en-US" w:eastAsia="zh-CN"/>
                    </w:rPr>
                  </w:pPr>
                </w:p>
              </w:tc>
              <w:tc>
                <w:tcPr>
                  <w:tcW w:w="681" w:type="dxa"/>
                  <w:tcBorders>
                    <w:tl2br w:val="nil"/>
                    <w:tr2bl w:val="nil"/>
                  </w:tcBorders>
                  <w:shd w:val="clear" w:color="auto" w:fill="auto"/>
                  <w:vAlign w:val="center"/>
                </w:tcPr>
                <w:p>
                  <w:pPr>
                    <w:pStyle w:val="38"/>
                    <w:bidi w:val="0"/>
                    <w:ind w:firstLine="0" w:firstLineChars="0"/>
                    <w:rPr>
                      <w:rFonts w:hint="eastAsia"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highlight w:val="none"/>
                      <w:lang w:val="en-US" w:eastAsia="zh-CN"/>
                    </w:rPr>
                    <w:t>一般固废</w:t>
                  </w:r>
                </w:p>
              </w:tc>
              <w:tc>
                <w:tcPr>
                  <w:tcW w:w="5285" w:type="dxa"/>
                  <w:gridSpan w:val="2"/>
                  <w:tcBorders>
                    <w:tl2br w:val="nil"/>
                    <w:tr2bl w:val="nil"/>
                  </w:tcBorders>
                  <w:shd w:val="clear" w:color="auto" w:fill="auto"/>
                  <w:vAlign w:val="center"/>
                </w:tcPr>
                <w:p>
                  <w:pPr>
                    <w:pStyle w:val="38"/>
                    <w:bidi w:val="0"/>
                    <w:ind w:firstLine="0" w:firstLineChars="0"/>
                    <w:rPr>
                      <w:rFonts w:hint="eastAsia"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highlight w:val="none"/>
                      <w:lang w:val="en-US" w:eastAsia="zh-CN"/>
                    </w:rPr>
                    <w:t>项目运营期产生的一般固废包括</w:t>
                  </w:r>
                  <w:r>
                    <w:rPr>
                      <w:rFonts w:hint="eastAsia" w:ascii="Times New Roman" w:hAnsi="Times New Roman" w:cs="Times New Roman"/>
                      <w:color w:val="auto"/>
                      <w:highlight w:val="none"/>
                      <w:lang w:val="en-US" w:eastAsia="zh-CN"/>
                    </w:rPr>
                    <w:t>：废分子筛</w:t>
                  </w:r>
                  <w:r>
                    <w:rPr>
                      <w:rFonts w:hint="default" w:ascii="Times New Roman" w:hAnsi="Times New Roman" w:cs="Times New Roman"/>
                      <w:color w:val="auto"/>
                      <w:highlight w:val="none"/>
                      <w:lang w:val="en-US" w:eastAsia="zh-CN"/>
                    </w:rPr>
                    <w:t>、废</w:t>
                  </w:r>
                  <w:r>
                    <w:rPr>
                      <w:rFonts w:hint="eastAsia" w:cs="Times New Roman"/>
                      <w:color w:val="auto"/>
                      <w:highlight w:val="none"/>
                      <w:lang w:val="en-US" w:eastAsia="zh-CN"/>
                    </w:rPr>
                    <w:t>氧化铝</w:t>
                  </w:r>
                  <w:r>
                    <w:rPr>
                      <w:rFonts w:hint="default" w:ascii="Times New Roman" w:hAnsi="Times New Roman" w:cs="Times New Roman"/>
                      <w:color w:val="auto"/>
                      <w:highlight w:val="none"/>
                      <w:lang w:val="en-US" w:eastAsia="zh-CN"/>
                    </w:rPr>
                    <w:t>、废滤芯，均为Ⅰ类一般固废</w:t>
                  </w:r>
                  <w:r>
                    <w:rPr>
                      <w:rFonts w:hint="eastAsia" w:cs="Times New Roman"/>
                      <w:color w:val="auto"/>
                      <w:highlight w:val="none"/>
                      <w:lang w:val="en-US" w:eastAsia="zh-CN"/>
                    </w:rPr>
                    <w:t>。以上一般固废均由厂家定期进场更换时带走自行处置，不在厂区内暂存。</w:t>
                  </w:r>
                </w:p>
              </w:tc>
              <w:tc>
                <w:tcPr>
                  <w:tcW w:w="915" w:type="dxa"/>
                  <w:tcBorders>
                    <w:tl2br w:val="nil"/>
                    <w:tr2bl w:val="nil"/>
                  </w:tcBorders>
                  <w:shd w:val="clear" w:color="auto" w:fill="auto"/>
                  <w:vAlign w:val="center"/>
                </w:tcPr>
                <w:p>
                  <w:pPr>
                    <w:pStyle w:val="38"/>
                    <w:bidi w:val="0"/>
                    <w:ind w:firstLine="0" w:firstLineChars="0"/>
                    <w:rPr>
                      <w:rFonts w:hint="eastAsia" w:ascii="Times New Roman" w:hAnsi="Times New Roman" w:eastAsia="宋体" w:cstheme="minorBidi"/>
                      <w:color w:val="auto"/>
                      <w:kern w:val="0"/>
                      <w:sz w:val="18"/>
                      <w:szCs w:val="18"/>
                      <w:highlight w:val="none"/>
                      <w:lang w:val="en-US" w:eastAsia="zh-CN" w:bidi="ar-SA"/>
                    </w:rPr>
                  </w:pPr>
                  <w:r>
                    <w:rPr>
                      <w:rFonts w:hint="eastAsia"/>
                      <w:color w:val="auto"/>
                      <w:highlight w:val="none"/>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Merge w:val="continue"/>
                  <w:tcBorders>
                    <w:tl2br w:val="nil"/>
                    <w:tr2bl w:val="nil"/>
                  </w:tcBorders>
                  <w:shd w:val="clear" w:color="auto" w:fill="auto"/>
                  <w:vAlign w:val="center"/>
                </w:tcPr>
                <w:p>
                  <w:pPr>
                    <w:pStyle w:val="38"/>
                    <w:bidi w:val="0"/>
                    <w:rPr>
                      <w:rFonts w:hint="default"/>
                      <w:color w:val="auto"/>
                      <w:highlight w:val="none"/>
                      <w:lang w:val="en-US" w:eastAsia="zh-CN"/>
                    </w:rPr>
                  </w:pPr>
                </w:p>
              </w:tc>
              <w:tc>
                <w:tcPr>
                  <w:tcW w:w="397" w:type="dxa"/>
                  <w:vMerge w:val="continue"/>
                  <w:tcBorders>
                    <w:tl2br w:val="nil"/>
                    <w:tr2bl w:val="nil"/>
                  </w:tcBorders>
                  <w:shd w:val="clear" w:color="auto" w:fill="auto"/>
                  <w:vAlign w:val="center"/>
                </w:tcPr>
                <w:p>
                  <w:pPr>
                    <w:pStyle w:val="38"/>
                    <w:bidi w:val="0"/>
                    <w:rPr>
                      <w:rFonts w:hint="eastAsia"/>
                      <w:color w:val="auto"/>
                      <w:highlight w:val="none"/>
                      <w:lang w:val="en-US" w:eastAsia="zh-CN"/>
                    </w:rPr>
                  </w:pPr>
                </w:p>
              </w:tc>
              <w:tc>
                <w:tcPr>
                  <w:tcW w:w="681" w:type="dxa"/>
                  <w:tcBorders>
                    <w:tl2br w:val="nil"/>
                    <w:tr2bl w:val="nil"/>
                  </w:tcBorders>
                  <w:shd w:val="clear" w:color="auto" w:fill="auto"/>
                  <w:vAlign w:val="center"/>
                </w:tcPr>
                <w:p>
                  <w:pPr>
                    <w:pStyle w:val="38"/>
                    <w:bidi w:val="0"/>
                    <w:ind w:firstLine="0" w:firstLineChars="0"/>
                    <w:rPr>
                      <w:rFonts w:hint="eastAsia" w:ascii="Times New Roman" w:hAnsi="Times New Roman" w:eastAsia="宋体" w:cstheme="minorBidi"/>
                      <w:color w:val="auto"/>
                      <w:kern w:val="0"/>
                      <w:sz w:val="18"/>
                      <w:szCs w:val="18"/>
                      <w:highlight w:val="none"/>
                      <w:lang w:val="en-US" w:eastAsia="zh-CN" w:bidi="ar-SA"/>
                    </w:rPr>
                  </w:pPr>
                  <w:r>
                    <w:rPr>
                      <w:rFonts w:hint="eastAsia"/>
                      <w:color w:val="auto"/>
                      <w:highlight w:val="none"/>
                      <w:lang w:val="en-US" w:eastAsia="zh-CN"/>
                    </w:rPr>
                    <w:t>危险废物</w:t>
                  </w:r>
                </w:p>
              </w:tc>
              <w:tc>
                <w:tcPr>
                  <w:tcW w:w="5285" w:type="dxa"/>
                  <w:gridSpan w:val="2"/>
                  <w:tcBorders>
                    <w:tl2br w:val="nil"/>
                    <w:tr2bl w:val="nil"/>
                  </w:tcBorders>
                  <w:shd w:val="clear" w:color="auto" w:fill="auto"/>
                  <w:vAlign w:val="center"/>
                </w:tcPr>
                <w:p>
                  <w:pPr>
                    <w:pStyle w:val="38"/>
                    <w:bidi w:val="0"/>
                    <w:ind w:firstLine="0" w:firstLineChars="0"/>
                    <w:rPr>
                      <w:rFonts w:hint="eastAsia" w:ascii="Times New Roman" w:hAnsi="Times New Roman" w:eastAsia="宋体" w:cstheme="minorBidi"/>
                      <w:color w:val="auto"/>
                      <w:kern w:val="0"/>
                      <w:sz w:val="18"/>
                      <w:szCs w:val="18"/>
                      <w:highlight w:val="none"/>
                      <w:lang w:val="en-US" w:eastAsia="zh-CN" w:bidi="ar-SA"/>
                    </w:rPr>
                  </w:pPr>
                  <w:r>
                    <w:rPr>
                      <w:rFonts w:hint="eastAsia"/>
                      <w:color w:val="auto"/>
                      <w:highlight w:val="none"/>
                      <w:lang w:val="en-US" w:eastAsia="zh-CN"/>
                    </w:rPr>
                    <w:t>项目运营期产生的危险废物包括：废润滑油、废油桶。</w:t>
                  </w:r>
                  <w:r>
                    <w:rPr>
                      <w:rFonts w:hint="default" w:ascii="Times New Roman" w:hAnsi="Times New Roman" w:cs="Times New Roman"/>
                      <w:color w:val="auto"/>
                      <w:highlight w:val="none"/>
                      <w:lang w:val="en-US" w:eastAsia="zh-CN"/>
                    </w:rPr>
                    <w:t>统一收集暂存于</w:t>
                  </w:r>
                  <w:r>
                    <w:rPr>
                      <w:rFonts w:hint="eastAsia" w:ascii="Times New Roman" w:hAnsi="Times New Roman" w:cs="Times New Roman"/>
                      <w:color w:val="auto"/>
                      <w:highlight w:val="none"/>
                      <w:lang w:val="en-US" w:eastAsia="zh-CN"/>
                    </w:rPr>
                    <w:t>厂区内的</w:t>
                  </w:r>
                  <w:r>
                    <w:rPr>
                      <w:rFonts w:hint="eastAsia" w:cs="Times New Roman"/>
                      <w:color w:val="auto"/>
                      <w:highlight w:val="none"/>
                      <w:shd w:val="clear"/>
                      <w:lang w:val="en-US" w:eastAsia="zh-CN"/>
                    </w:rPr>
                    <w:t>危险废物贮存库</w:t>
                  </w:r>
                  <w:r>
                    <w:rPr>
                      <w:rFonts w:hint="eastAsia" w:ascii="Times New Roman" w:hAnsi="Times New Roman" w:cs="Times New Roman"/>
                      <w:color w:val="auto"/>
                      <w:highlight w:val="none"/>
                      <w:lang w:val="en-US" w:eastAsia="zh-CN"/>
                    </w:rPr>
                    <w:t>内，然后委托</w:t>
                  </w:r>
                  <w:r>
                    <w:rPr>
                      <w:rFonts w:hint="eastAsia"/>
                      <w:color w:val="auto"/>
                      <w:highlight w:val="none"/>
                      <w:lang w:val="en-US" w:eastAsia="zh-CN"/>
                    </w:rPr>
                    <w:t>云南广莱再生资源回收有限公司</w:t>
                  </w:r>
                  <w:r>
                    <w:rPr>
                      <w:rFonts w:hint="eastAsia" w:ascii="Times New Roman" w:hAnsi="Times New Roman" w:cs="Times New Roman"/>
                      <w:color w:val="auto"/>
                      <w:highlight w:val="none"/>
                      <w:lang w:val="en-US" w:eastAsia="zh-CN"/>
                    </w:rPr>
                    <w:t>定期清运处置</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依托的</w:t>
                  </w:r>
                  <w:r>
                    <w:rPr>
                      <w:rFonts w:hint="eastAsia" w:cs="Times New Roman"/>
                      <w:color w:val="auto"/>
                      <w:highlight w:val="none"/>
                      <w:lang w:val="en-US" w:eastAsia="zh-CN"/>
                    </w:rPr>
                    <w:t>危险废物贮存库</w:t>
                  </w:r>
                  <w:r>
                    <w:rPr>
                      <w:rFonts w:hint="eastAsia" w:ascii="Times New Roman" w:hAnsi="Times New Roman" w:cs="Times New Roman"/>
                      <w:color w:val="auto"/>
                      <w:highlight w:val="none"/>
                      <w:lang w:val="en-US" w:eastAsia="zh-CN"/>
                    </w:rPr>
                    <w:t>占地面积为</w:t>
                  </w:r>
                  <w:r>
                    <w:rPr>
                      <w:rFonts w:hint="eastAsia" w:cs="Times New Roman"/>
                      <w:color w:val="auto"/>
                      <w:highlight w:val="none"/>
                      <w:lang w:val="en-US" w:eastAsia="zh-CN"/>
                    </w:rPr>
                    <w:t>99</w:t>
                  </w:r>
                  <w:r>
                    <w:rPr>
                      <w:rFonts w:hint="eastAsia" w:ascii="Times New Roman" w:hAnsi="Times New Roman" w:cs="Times New Roman"/>
                      <w:color w:val="auto"/>
                      <w:highlight w:val="none"/>
                      <w:lang w:val="en-US" w:eastAsia="zh-CN"/>
                    </w:rPr>
                    <w:t>m</w:t>
                  </w:r>
                  <w:r>
                    <w:rPr>
                      <w:rFonts w:hint="eastAsia" w:ascii="Times New Roman" w:hAnsi="Times New Roman" w:cs="Times New Roman"/>
                      <w:color w:val="auto"/>
                      <w:highlight w:val="none"/>
                      <w:vertAlign w:val="superscript"/>
                      <w:lang w:val="en-US" w:eastAsia="zh-CN"/>
                    </w:rPr>
                    <w:t>2</w:t>
                  </w:r>
                  <w:r>
                    <w:rPr>
                      <w:rFonts w:hint="eastAsia" w:ascii="Times New Roman" w:hAnsi="Times New Roman" w:cs="Times New Roman"/>
                      <w:color w:val="auto"/>
                      <w:highlight w:val="none"/>
                      <w:lang w:val="en-US" w:eastAsia="zh-CN"/>
                    </w:rPr>
                    <w:t>，已采取了以下防渗措施：侧壁（自内向外）：环库挡墙壁+GCL（钠基膨润土毯）+2mm厚 HDPE膜+C2细石混凝土压重墙+建筑防腐层；库底（自下向上）：场地平整基础+GCL（钠基膨润土毯）+2mm厚 HDPE膜+复合土工排水网+300mm厚天然砂砾石层（内设 DN160HDPE花孔管）+建筑防腐层，满足重点防渗要求。</w:t>
                  </w:r>
                </w:p>
              </w:tc>
              <w:tc>
                <w:tcPr>
                  <w:tcW w:w="915" w:type="dxa"/>
                  <w:tcBorders>
                    <w:tl2br w:val="nil"/>
                    <w:tr2bl w:val="nil"/>
                  </w:tcBorders>
                  <w:shd w:val="clear" w:color="auto" w:fill="auto"/>
                  <w:vAlign w:val="center"/>
                </w:tcPr>
                <w:p>
                  <w:pPr>
                    <w:pStyle w:val="38"/>
                    <w:bidi w:val="0"/>
                    <w:ind w:firstLine="0" w:firstLineChars="0"/>
                    <w:rPr>
                      <w:rFonts w:hint="eastAsia" w:ascii="Times New Roman" w:hAnsi="Times New Roman" w:eastAsia="宋体" w:cstheme="minorBidi"/>
                      <w:color w:val="auto"/>
                      <w:kern w:val="0"/>
                      <w:sz w:val="18"/>
                      <w:szCs w:val="18"/>
                      <w:highlight w:val="none"/>
                      <w:lang w:val="en-US" w:eastAsia="zh-CN" w:bidi="ar-SA"/>
                    </w:rPr>
                  </w:pPr>
                  <w:r>
                    <w:rPr>
                      <w:rFonts w:hint="eastAsia"/>
                      <w:color w:val="auto"/>
                      <w:highlight w:val="none"/>
                      <w:lang w:val="en-US" w:eastAsia="zh-CN"/>
                    </w:rPr>
                    <w:t>依托</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（六）主要依托工程及可行性</w:t>
            </w:r>
          </w:p>
          <w:p>
            <w:pPr>
              <w:bidi w:val="0"/>
              <w:rPr>
                <w:rFonts w:hint="eastAsia"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1、办公生活区</w:t>
            </w:r>
          </w:p>
          <w:p>
            <w:pPr>
              <w:bidi w:val="0"/>
              <w:rPr>
                <w:rFonts w:hint="eastAsia" w:eastAsia="宋体"/>
                <w:color w:val="auto"/>
                <w:highlight w:val="none"/>
                <w:lang w:val="en-US" w:eastAsia="zh-CN"/>
              </w:rPr>
            </w:pPr>
            <w:r>
              <w:rPr>
                <w:rFonts w:hint="eastAsia" w:ascii="Times New Roman" w:hAnsi="Times New Roman" w:eastAsia="宋体" w:cs="Times New Roman"/>
                <w:color w:val="auto"/>
                <w:sz w:val="24"/>
                <w:highlight w:val="none"/>
                <w:lang w:val="en-US" w:eastAsia="zh-CN"/>
              </w:rPr>
              <w:t>项目改造</w:t>
            </w:r>
            <w:r>
              <w:rPr>
                <w:rFonts w:hint="eastAsia" w:cs="Times New Roman"/>
                <w:color w:val="auto"/>
                <w:sz w:val="24"/>
                <w:highlight w:val="none"/>
                <w:lang w:val="en-US" w:eastAsia="zh-CN"/>
              </w:rPr>
              <w:t>完成</w:t>
            </w:r>
            <w:r>
              <w:rPr>
                <w:rFonts w:hint="eastAsia" w:ascii="Times New Roman" w:hAnsi="Times New Roman" w:eastAsia="宋体" w:cs="Times New Roman"/>
                <w:color w:val="auto"/>
                <w:sz w:val="24"/>
                <w:highlight w:val="none"/>
                <w:lang w:val="en-US" w:eastAsia="zh-CN"/>
              </w:rPr>
              <w:t>后，无需增加劳动定员，现有岗位人员</w:t>
            </w:r>
            <w:r>
              <w:rPr>
                <w:rFonts w:hint="eastAsia" w:cs="Times New Roman"/>
                <w:color w:val="auto"/>
                <w:sz w:val="24"/>
                <w:highlight w:val="none"/>
                <w:lang w:val="en-US" w:eastAsia="zh-CN"/>
              </w:rPr>
              <w:t>共10人，</w:t>
            </w:r>
            <w:r>
              <w:rPr>
                <w:rFonts w:hint="eastAsia" w:ascii="Times New Roman" w:hAnsi="Times New Roman" w:eastAsia="宋体" w:cs="Times New Roman"/>
                <w:color w:val="auto"/>
                <w:sz w:val="24"/>
                <w:highlight w:val="none"/>
                <w:lang w:val="en-US" w:eastAsia="zh-CN"/>
              </w:rPr>
              <w:t>可满足生产需求。现有岗位人员</w:t>
            </w:r>
            <w:r>
              <w:rPr>
                <w:rFonts w:hint="eastAsia" w:ascii="Times New Roman" w:hAnsi="Times New Roman" w:cs="Times New Roman"/>
                <w:color w:val="auto"/>
                <w:sz w:val="24"/>
                <w:highlight w:val="none"/>
                <w:lang w:val="en-US" w:eastAsia="zh-CN"/>
              </w:rPr>
              <w:t>全部</w:t>
            </w:r>
            <w:r>
              <w:rPr>
                <w:rFonts w:hint="eastAsia"/>
                <w:color w:val="auto"/>
                <w:highlight w:val="none"/>
                <w:lang w:val="en-US" w:eastAsia="zh-CN"/>
              </w:rPr>
              <w:t>从易门铜业有限公司内部调配，员工的日常办公及生活均依托易门铜业有限公司已建办公生活区，依托合理可行。</w:t>
            </w:r>
          </w:p>
          <w:p>
            <w:pPr>
              <w:bidi w:val="0"/>
              <w:rPr>
                <w:rFonts w:hint="default"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2、废水处置设施</w:t>
            </w:r>
          </w:p>
          <w:p>
            <w:pPr>
              <w:bidi w:val="0"/>
              <w:rPr>
                <w:rFonts w:hint="default"/>
                <w:color w:val="auto"/>
                <w:highlight w:val="none"/>
                <w:lang w:val="en-US" w:eastAsia="zh-CN"/>
              </w:rPr>
            </w:pPr>
            <w:r>
              <w:rPr>
                <w:rFonts w:hint="eastAsia"/>
                <w:color w:val="auto"/>
                <w:highlight w:val="none"/>
                <w:lang w:val="en-US" w:eastAsia="zh-CN"/>
              </w:rPr>
              <w:t>（1）生活污水处置设施</w:t>
            </w:r>
          </w:p>
          <w:p>
            <w:pPr>
              <w:bidi w:val="0"/>
              <w:rPr>
                <w:rFonts w:hint="eastAsia"/>
                <w:color w:val="auto"/>
                <w:highlight w:val="none"/>
                <w:lang w:val="en-US" w:eastAsia="zh-CN"/>
              </w:rPr>
            </w:pPr>
            <w:r>
              <w:rPr>
                <w:rFonts w:hint="eastAsia"/>
                <w:color w:val="auto"/>
                <w:highlight w:val="none"/>
                <w:lang w:val="en-US" w:eastAsia="zh-CN"/>
              </w:rPr>
              <w:t>本项目现有生活污水经收集后进入厂区生活污水处理站进行处理，处理达标后回用于绿化浇洒，不外排。</w:t>
            </w:r>
            <w:r>
              <w:rPr>
                <w:rFonts w:ascii="Segoe UI" w:hAnsi="Segoe UI" w:eastAsia="Segoe UI" w:cs="Segoe UI"/>
                <w:i w:val="0"/>
                <w:iCs w:val="0"/>
                <w:caps w:val="0"/>
                <w:color w:val="auto"/>
                <w:spacing w:val="0"/>
                <w:sz w:val="24"/>
                <w:szCs w:val="24"/>
                <w:highlight w:val="none"/>
                <w:shd w:val="clear" w:fill="FFFFFF"/>
              </w:rPr>
              <w:t>本</w:t>
            </w:r>
            <w:r>
              <w:rPr>
                <w:rFonts w:hint="eastAsia" w:ascii="Segoe UI" w:hAnsi="Segoe UI" w:eastAsia="宋体" w:cs="Segoe UI"/>
                <w:i w:val="0"/>
                <w:iCs w:val="0"/>
                <w:caps w:val="0"/>
                <w:color w:val="auto"/>
                <w:spacing w:val="0"/>
                <w:sz w:val="24"/>
                <w:szCs w:val="24"/>
                <w:highlight w:val="none"/>
                <w:shd w:val="clear" w:fill="FFFFFF"/>
                <w:lang w:val="en-US" w:eastAsia="zh-CN"/>
              </w:rPr>
              <w:t>次改建</w:t>
            </w:r>
            <w:r>
              <w:rPr>
                <w:rFonts w:ascii="Segoe UI" w:hAnsi="Segoe UI" w:eastAsia="Segoe UI" w:cs="Segoe UI"/>
                <w:i w:val="0"/>
                <w:iCs w:val="0"/>
                <w:caps w:val="0"/>
                <w:color w:val="auto"/>
                <w:spacing w:val="0"/>
                <w:sz w:val="24"/>
                <w:szCs w:val="24"/>
                <w:highlight w:val="none"/>
                <w:shd w:val="clear" w:fill="FFFFFF"/>
              </w:rPr>
              <w:t>项目不新增劳动定员，不新增生活污水，</w:t>
            </w:r>
            <w:r>
              <w:rPr>
                <w:rFonts w:hint="eastAsia" w:ascii="Segoe UI" w:hAnsi="Segoe UI" w:eastAsia="宋体" w:cs="Segoe UI"/>
                <w:i w:val="0"/>
                <w:iCs w:val="0"/>
                <w:caps w:val="0"/>
                <w:color w:val="auto"/>
                <w:spacing w:val="0"/>
                <w:sz w:val="24"/>
                <w:szCs w:val="24"/>
                <w:highlight w:val="none"/>
                <w:shd w:val="clear" w:fill="FFFFFF"/>
                <w:lang w:val="en-US" w:eastAsia="zh-CN"/>
              </w:rPr>
              <w:t>根据建设单位提供的资料，厂区已建</w:t>
            </w:r>
            <w:r>
              <w:rPr>
                <w:rFonts w:ascii="Segoe UI" w:hAnsi="Segoe UI" w:eastAsia="Segoe UI" w:cs="Segoe UI"/>
                <w:i w:val="0"/>
                <w:iCs w:val="0"/>
                <w:caps w:val="0"/>
                <w:color w:val="auto"/>
                <w:spacing w:val="0"/>
                <w:sz w:val="24"/>
                <w:szCs w:val="24"/>
                <w:highlight w:val="none"/>
                <w:shd w:val="clear" w:fill="FFFFFF"/>
              </w:rPr>
              <w:t>生活污水处理站</w:t>
            </w:r>
            <w:r>
              <w:rPr>
                <w:rFonts w:hint="eastAsia" w:ascii="Segoe UI" w:hAnsi="Segoe UI" w:eastAsia="宋体" w:cs="Segoe UI"/>
                <w:i w:val="0"/>
                <w:iCs w:val="0"/>
                <w:caps w:val="0"/>
                <w:color w:val="auto"/>
                <w:spacing w:val="0"/>
                <w:sz w:val="24"/>
                <w:szCs w:val="24"/>
                <w:highlight w:val="none"/>
                <w:shd w:val="clear" w:fill="FFFFFF"/>
                <w:lang w:val="en-US" w:eastAsia="zh-CN"/>
              </w:rPr>
              <w:t>处理规模为</w:t>
            </w:r>
            <w:r>
              <w:rPr>
                <w:rFonts w:hint="default" w:ascii="Times New Roman" w:hAnsi="Times New Roman" w:eastAsia="Segoe UI" w:cs="Times New Roman"/>
                <w:i w:val="0"/>
                <w:iCs w:val="0"/>
                <w:caps w:val="0"/>
                <w:color w:val="auto"/>
                <w:spacing w:val="0"/>
                <w:sz w:val="24"/>
                <w:szCs w:val="24"/>
                <w:highlight w:val="none"/>
                <w:shd w:val="clear" w:fill="FFFFFF"/>
              </w:rPr>
              <w:t>200m³/d</w:t>
            </w:r>
            <w:r>
              <w:rPr>
                <w:rFonts w:hint="eastAsia" w:eastAsia="宋体" w:cs="Times New Roman"/>
                <w:i w:val="0"/>
                <w:iCs w:val="0"/>
                <w:caps w:val="0"/>
                <w:color w:val="auto"/>
                <w:spacing w:val="0"/>
                <w:sz w:val="24"/>
                <w:szCs w:val="24"/>
                <w:highlight w:val="none"/>
                <w:shd w:val="clear" w:fill="FFFFFF"/>
                <w:lang w:eastAsia="zh-CN"/>
              </w:rPr>
              <w:t>，</w:t>
            </w:r>
            <w:r>
              <w:rPr>
                <w:rFonts w:hint="eastAsia" w:ascii="Segoe UI" w:hAnsi="Segoe UI" w:eastAsia="宋体" w:cs="Segoe UI"/>
                <w:i w:val="0"/>
                <w:iCs w:val="0"/>
                <w:caps w:val="0"/>
                <w:color w:val="auto"/>
                <w:spacing w:val="0"/>
                <w:sz w:val="24"/>
                <w:szCs w:val="24"/>
                <w:highlight w:val="none"/>
                <w:shd w:val="clear" w:fill="FFFFFF"/>
                <w:lang w:val="en-US" w:eastAsia="zh-CN"/>
              </w:rPr>
              <w:t>可满足现状生活污水处理需求</w:t>
            </w:r>
            <w:r>
              <w:rPr>
                <w:rFonts w:ascii="Segoe UI" w:hAnsi="Segoe UI" w:eastAsia="Segoe UI" w:cs="Segoe UI"/>
                <w:i w:val="0"/>
                <w:iCs w:val="0"/>
                <w:caps w:val="0"/>
                <w:color w:val="auto"/>
                <w:spacing w:val="0"/>
                <w:sz w:val="24"/>
                <w:szCs w:val="24"/>
                <w:highlight w:val="none"/>
                <w:shd w:val="clear" w:fill="FFFFFF"/>
              </w:rPr>
              <w:t>。</w:t>
            </w:r>
            <w:r>
              <w:rPr>
                <w:rFonts w:hint="eastAsia"/>
                <w:bCs/>
                <w:color w:val="auto"/>
                <w:sz w:val="24"/>
                <w:highlight w:val="none"/>
                <w:lang w:val="en-US" w:eastAsia="zh-CN"/>
              </w:rPr>
              <w:t>因此，本项目改建完成后，生活污水仍依托</w:t>
            </w:r>
            <w:r>
              <w:rPr>
                <w:rFonts w:hint="eastAsia"/>
                <w:color w:val="auto"/>
                <w:highlight w:val="none"/>
                <w:lang w:val="en-US" w:eastAsia="zh-CN"/>
              </w:rPr>
              <w:t>易门铜业有限公司</w:t>
            </w:r>
            <w:r>
              <w:rPr>
                <w:rFonts w:hint="eastAsia"/>
                <w:bCs/>
                <w:color w:val="auto"/>
                <w:sz w:val="24"/>
                <w:highlight w:val="none"/>
                <w:lang w:val="en-US" w:eastAsia="zh-CN"/>
              </w:rPr>
              <w:t>现有生活污水处理设施进行处理是合理可行的</w:t>
            </w:r>
            <w:r>
              <w:rPr>
                <w:rFonts w:hint="eastAsia"/>
                <w:color w:val="auto"/>
                <w:highlight w:val="none"/>
                <w:lang w:val="en-US" w:eastAsia="zh-CN"/>
              </w:rPr>
              <w:t>。</w:t>
            </w:r>
          </w:p>
          <w:p>
            <w:pPr>
              <w:bidi w:val="0"/>
              <w:rPr>
                <w:rFonts w:hint="default"/>
                <w:color w:val="auto"/>
                <w:highlight w:val="none"/>
                <w:lang w:val="en-US" w:eastAsia="zh-CN"/>
              </w:rPr>
            </w:pPr>
            <w:r>
              <w:rPr>
                <w:rFonts w:hint="eastAsia"/>
                <w:color w:val="auto"/>
                <w:highlight w:val="none"/>
                <w:lang w:val="en-US" w:eastAsia="zh-CN"/>
              </w:rPr>
              <w:t>（2）初期雨水处置设施</w:t>
            </w:r>
          </w:p>
          <w:p>
            <w:pPr>
              <w:bidi w:val="0"/>
              <w:rPr>
                <w:rFonts w:hint="eastAsia"/>
                <w:color w:val="auto"/>
                <w:highlight w:val="none"/>
                <w:lang w:val="en-US" w:eastAsia="zh-CN"/>
              </w:rPr>
            </w:pPr>
            <w:r>
              <w:rPr>
                <w:rFonts w:hint="eastAsia"/>
                <w:color w:val="auto"/>
                <w:highlight w:val="none"/>
                <w:lang w:val="en-US" w:eastAsia="zh-CN"/>
              </w:rPr>
              <w:t>本次项目改建均在易门铜业有限公司现有厂区内进行，不新增占地面积，不新增初期雨水量，厂区现已设置初期雨水收集池2座，总容积为4388m</w:t>
            </w:r>
            <w:r>
              <w:rPr>
                <w:rFonts w:hint="eastAsia"/>
                <w:color w:val="auto"/>
                <w:highlight w:val="none"/>
                <w:vertAlign w:val="superscript"/>
                <w:lang w:val="en-US" w:eastAsia="zh-CN"/>
              </w:rPr>
              <w:t>3</w:t>
            </w:r>
            <w:r>
              <w:rPr>
                <w:rFonts w:hint="eastAsia"/>
                <w:color w:val="auto"/>
                <w:highlight w:val="none"/>
                <w:lang w:val="en-US" w:eastAsia="zh-CN"/>
              </w:rPr>
              <w:t>（2388+2000），可满足现状初期雨水的收集及处理，且本项目初期雨水量已纳入全厂初期雨水产生量进行核算，本次项目改建可不再对此进行赘述。</w:t>
            </w:r>
          </w:p>
          <w:p>
            <w:pPr>
              <w:bidi w:val="0"/>
              <w:rPr>
                <w:rFonts w:hint="default"/>
                <w:color w:val="auto"/>
                <w:highlight w:val="none"/>
                <w:lang w:val="en-US" w:eastAsia="zh-CN"/>
              </w:rPr>
            </w:pPr>
            <w:r>
              <w:rPr>
                <w:rFonts w:hint="eastAsia"/>
                <w:color w:val="auto"/>
                <w:highlight w:val="none"/>
                <w:lang w:val="en-US" w:eastAsia="zh-CN"/>
              </w:rPr>
              <w:t>（3）生产废水处置设施</w:t>
            </w:r>
          </w:p>
          <w:p>
            <w:pPr>
              <w:bidi w:val="0"/>
              <w:rPr>
                <w:rFonts w:hint="eastAsia"/>
                <w:color w:val="auto"/>
                <w:highlight w:val="none"/>
                <w:lang w:val="en-US" w:eastAsia="zh-CN"/>
              </w:rPr>
            </w:pPr>
            <w:r>
              <w:rPr>
                <w:rFonts w:hint="eastAsia"/>
                <w:color w:val="auto"/>
                <w:highlight w:val="none"/>
                <w:lang w:val="en-US" w:eastAsia="zh-CN"/>
              </w:rPr>
              <w:t>本项目运营期生产废水主要为循环冷却系统</w:t>
            </w:r>
            <w:r>
              <w:rPr>
                <w:rFonts w:hint="eastAsia"/>
                <w:color w:val="auto"/>
                <w:highlight w:val="none"/>
              </w:rPr>
              <w:t>检修清理</w:t>
            </w:r>
            <w:r>
              <w:rPr>
                <w:rFonts w:hint="eastAsia"/>
                <w:color w:val="auto"/>
                <w:highlight w:val="none"/>
                <w:lang w:val="en-US" w:eastAsia="zh-CN"/>
              </w:rPr>
              <w:t>循环</w:t>
            </w:r>
            <w:r>
              <w:rPr>
                <w:rFonts w:hint="eastAsia"/>
                <w:color w:val="auto"/>
                <w:highlight w:val="none"/>
              </w:rPr>
              <w:t>水池排</w:t>
            </w:r>
            <w:r>
              <w:rPr>
                <w:rFonts w:hint="eastAsia"/>
                <w:color w:val="auto"/>
                <w:highlight w:val="none"/>
                <w:lang w:val="en-US" w:eastAsia="zh-CN"/>
              </w:rPr>
              <w:t>污</w:t>
            </w:r>
            <w:r>
              <w:rPr>
                <w:rFonts w:hint="eastAsia"/>
                <w:color w:val="auto"/>
                <w:highlight w:val="none"/>
              </w:rPr>
              <w:t>水</w:t>
            </w:r>
            <w:r>
              <w:rPr>
                <w:rFonts w:hint="eastAsia"/>
                <w:color w:val="auto"/>
                <w:highlight w:val="none"/>
                <w:lang w:val="en-US" w:eastAsia="zh-CN"/>
              </w:rPr>
              <w:t>，根据建设单位提供的资料，现有项目循环冷却系统</w:t>
            </w:r>
            <w:r>
              <w:rPr>
                <w:rFonts w:hint="eastAsia"/>
                <w:color w:val="auto"/>
                <w:highlight w:val="none"/>
              </w:rPr>
              <w:t>检修清理</w:t>
            </w:r>
            <w:r>
              <w:rPr>
                <w:rFonts w:hint="eastAsia"/>
                <w:color w:val="auto"/>
                <w:highlight w:val="none"/>
                <w:lang w:val="en-US" w:eastAsia="zh-CN"/>
              </w:rPr>
              <w:t>循环</w:t>
            </w:r>
            <w:r>
              <w:rPr>
                <w:rFonts w:hint="eastAsia"/>
                <w:color w:val="auto"/>
                <w:highlight w:val="none"/>
              </w:rPr>
              <w:t>水池</w:t>
            </w:r>
            <w:r>
              <w:rPr>
                <w:rFonts w:hint="eastAsia"/>
                <w:color w:val="auto"/>
                <w:highlight w:val="none"/>
                <w:lang w:val="en-US" w:eastAsia="zh-CN"/>
              </w:rPr>
              <w:t>排污水量为200m</w:t>
            </w:r>
            <w:r>
              <w:rPr>
                <w:rFonts w:hint="eastAsia"/>
                <w:color w:val="auto"/>
                <w:highlight w:val="none"/>
                <w:vertAlign w:val="superscript"/>
                <w:lang w:val="en-US" w:eastAsia="zh-CN"/>
              </w:rPr>
              <w:t>3</w:t>
            </w:r>
            <w:r>
              <w:rPr>
                <w:rFonts w:hint="eastAsia"/>
                <w:color w:val="auto"/>
                <w:highlight w:val="none"/>
                <w:lang w:val="en-US" w:eastAsia="zh-CN"/>
              </w:rPr>
              <w:t>/a（平均0.61m</w:t>
            </w:r>
            <w:r>
              <w:rPr>
                <w:rFonts w:hint="eastAsia"/>
                <w:color w:val="auto"/>
                <w:highlight w:val="none"/>
                <w:vertAlign w:val="superscript"/>
                <w:lang w:val="en-US" w:eastAsia="zh-CN"/>
              </w:rPr>
              <w:t>3</w:t>
            </w:r>
            <w:r>
              <w:rPr>
                <w:rFonts w:hint="eastAsia"/>
                <w:color w:val="auto"/>
                <w:highlight w:val="none"/>
                <w:lang w:val="en-US" w:eastAsia="zh-CN"/>
              </w:rPr>
              <w:t>/d），该排污水经废水管道送至厂区现有生产废水深度水处理站处理达标后回用于易门铜业有限公司冶炼渣缓冷场。根据设计资料，本项目改建完成后，对应的</w:t>
            </w:r>
            <w:r>
              <w:rPr>
                <w:rFonts w:hint="eastAsia"/>
                <w:color w:val="auto"/>
                <w:highlight w:val="none"/>
              </w:rPr>
              <w:t>检修清理</w:t>
            </w:r>
            <w:r>
              <w:rPr>
                <w:rFonts w:hint="eastAsia"/>
                <w:color w:val="auto"/>
                <w:highlight w:val="none"/>
                <w:lang w:val="en-US" w:eastAsia="zh-CN"/>
              </w:rPr>
              <w:t>循环</w:t>
            </w:r>
            <w:r>
              <w:rPr>
                <w:rFonts w:hint="eastAsia"/>
                <w:color w:val="auto"/>
                <w:highlight w:val="none"/>
              </w:rPr>
              <w:t>水池</w:t>
            </w:r>
            <w:r>
              <w:rPr>
                <w:rFonts w:hint="eastAsia"/>
                <w:color w:val="auto"/>
                <w:highlight w:val="none"/>
                <w:lang w:val="en-US" w:eastAsia="zh-CN"/>
              </w:rPr>
              <w:t>排污水量增加至300m</w:t>
            </w:r>
            <w:r>
              <w:rPr>
                <w:rFonts w:hint="eastAsia"/>
                <w:color w:val="auto"/>
                <w:highlight w:val="none"/>
                <w:vertAlign w:val="superscript"/>
                <w:lang w:val="en-US" w:eastAsia="zh-CN"/>
              </w:rPr>
              <w:t>3</w:t>
            </w:r>
            <w:r>
              <w:rPr>
                <w:rFonts w:hint="eastAsia"/>
                <w:color w:val="auto"/>
                <w:highlight w:val="none"/>
                <w:lang w:val="en-US" w:eastAsia="zh-CN"/>
              </w:rPr>
              <w:t>/d（平均0.91m</w:t>
            </w:r>
            <w:r>
              <w:rPr>
                <w:rFonts w:hint="eastAsia"/>
                <w:color w:val="auto"/>
                <w:highlight w:val="none"/>
                <w:vertAlign w:val="superscript"/>
                <w:lang w:val="en-US" w:eastAsia="zh-CN"/>
              </w:rPr>
              <w:t>3</w:t>
            </w:r>
            <w:r>
              <w:rPr>
                <w:rFonts w:hint="eastAsia"/>
                <w:color w:val="auto"/>
                <w:highlight w:val="none"/>
                <w:lang w:val="en-US" w:eastAsia="zh-CN"/>
              </w:rPr>
              <w:t>/d），对比现有排污水量增加100m</w:t>
            </w:r>
            <w:r>
              <w:rPr>
                <w:rFonts w:hint="eastAsia"/>
                <w:color w:val="auto"/>
                <w:highlight w:val="none"/>
                <w:vertAlign w:val="superscript"/>
                <w:lang w:val="en-US" w:eastAsia="zh-CN"/>
              </w:rPr>
              <w:t>3</w:t>
            </w:r>
            <w:r>
              <w:rPr>
                <w:rFonts w:hint="eastAsia"/>
                <w:color w:val="auto"/>
                <w:highlight w:val="none"/>
                <w:lang w:val="en-US" w:eastAsia="zh-CN"/>
              </w:rPr>
              <w:t>/a（平均0.3m</w:t>
            </w:r>
            <w:r>
              <w:rPr>
                <w:rFonts w:hint="eastAsia"/>
                <w:color w:val="auto"/>
                <w:highlight w:val="none"/>
                <w:vertAlign w:val="superscript"/>
                <w:lang w:val="en-US" w:eastAsia="zh-CN"/>
              </w:rPr>
              <w:t>3</w:t>
            </w:r>
            <w:r>
              <w:rPr>
                <w:rFonts w:hint="eastAsia"/>
                <w:color w:val="auto"/>
                <w:highlight w:val="none"/>
                <w:lang w:val="en-US" w:eastAsia="zh-CN"/>
              </w:rPr>
              <w:t>/d），根据建设单位提供的资料，本次依托的生废水处理站处理能力为700m</w:t>
            </w:r>
            <w:r>
              <w:rPr>
                <w:rFonts w:hint="eastAsia"/>
                <w:color w:val="auto"/>
                <w:highlight w:val="none"/>
                <w:vertAlign w:val="superscript"/>
                <w:lang w:val="en-US" w:eastAsia="zh-CN"/>
              </w:rPr>
              <w:t>3</w:t>
            </w:r>
            <w:r>
              <w:rPr>
                <w:rFonts w:hint="eastAsia"/>
                <w:color w:val="auto"/>
                <w:highlight w:val="none"/>
                <w:lang w:val="en-US" w:eastAsia="zh-CN"/>
              </w:rPr>
              <w:t>/d，采用 “软化除钙+多介质过滤+超滤+反渗透”的污水处理工艺，现有富余处理能力约为100m</w:t>
            </w:r>
            <w:r>
              <w:rPr>
                <w:rFonts w:hint="eastAsia"/>
                <w:color w:val="auto"/>
                <w:highlight w:val="none"/>
                <w:vertAlign w:val="superscript"/>
                <w:lang w:val="en-US" w:eastAsia="zh-CN"/>
              </w:rPr>
              <w:t>3</w:t>
            </w:r>
            <w:r>
              <w:rPr>
                <w:rFonts w:hint="eastAsia"/>
                <w:color w:val="auto"/>
                <w:highlight w:val="none"/>
                <w:lang w:val="en-US" w:eastAsia="zh-CN"/>
              </w:rPr>
              <w:t>/d，处理余量远大于新增废水量，因此，本次项目改建完成后循环冷却系统排污水仍依托现有生产废水深度水处理站进行处理是合理可行的。</w:t>
            </w:r>
          </w:p>
          <w:p>
            <w:pPr>
              <w:bidi w:val="0"/>
              <w:rPr>
                <w:rFonts w:hint="default"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3、危险废物贮存库</w:t>
            </w:r>
          </w:p>
          <w:p>
            <w:pPr>
              <w:bidi w:val="0"/>
              <w:rPr>
                <w:rFonts w:hint="default" w:eastAsia="宋体"/>
                <w:color w:val="auto"/>
                <w:highlight w:val="none"/>
                <w:lang w:val="en-US" w:eastAsia="zh-CN"/>
              </w:rPr>
            </w:pPr>
            <w:r>
              <w:rPr>
                <w:rFonts w:hint="eastAsia"/>
                <w:color w:val="auto"/>
                <w:highlight w:val="none"/>
                <w:lang w:val="en-US" w:eastAsia="zh-CN"/>
              </w:rPr>
              <w:t>本项目运营过程中产生的危险废物（包括：</w:t>
            </w:r>
            <w:r>
              <w:rPr>
                <w:rFonts w:hint="default" w:ascii="Times New Roman" w:hAnsi="Times New Roman" w:eastAsia="宋体"/>
                <w:color w:val="auto"/>
                <w:highlight w:val="none"/>
                <w:lang w:val="en-US" w:eastAsia="zh-CN"/>
              </w:rPr>
              <w:t>废润滑油</w:t>
            </w:r>
            <w:r>
              <w:rPr>
                <w:rFonts w:hint="eastAsia"/>
                <w:color w:val="auto"/>
                <w:highlight w:val="none"/>
                <w:lang w:val="en-US" w:eastAsia="zh-CN"/>
              </w:rPr>
              <w:t>、</w:t>
            </w:r>
            <w:r>
              <w:rPr>
                <w:rFonts w:hint="eastAsia" w:ascii="Times New Roman" w:hAnsi="Times New Roman" w:eastAsia="宋体"/>
                <w:color w:val="auto"/>
                <w:highlight w:val="none"/>
                <w:lang w:val="en-US" w:eastAsia="zh-CN"/>
              </w:rPr>
              <w:t>废油桶</w:t>
            </w:r>
            <w:r>
              <w:rPr>
                <w:rFonts w:hint="eastAsia"/>
                <w:color w:val="auto"/>
                <w:highlight w:val="none"/>
                <w:lang w:val="en-US" w:eastAsia="zh-CN"/>
              </w:rPr>
              <w:t>）均依托易门铜业有限公司已建5#危险废物贮存库进行暂存（已通过竣工环保验收），该危险废物贮存库</w:t>
            </w:r>
            <w:r>
              <w:rPr>
                <w:rFonts w:hint="eastAsia"/>
                <w:color w:val="auto"/>
                <w:szCs w:val="21"/>
                <w:highlight w:val="none"/>
              </w:rPr>
              <w:t>占地面积为</w:t>
            </w:r>
            <w:r>
              <w:rPr>
                <w:rFonts w:hint="eastAsia"/>
                <w:color w:val="auto"/>
                <w:highlight w:val="none"/>
                <w:lang w:val="en-US" w:eastAsia="zh-CN"/>
              </w:rPr>
              <w:t>99m</w:t>
            </w:r>
            <w:r>
              <w:rPr>
                <w:rFonts w:hint="eastAsia"/>
                <w:color w:val="auto"/>
                <w:highlight w:val="none"/>
                <w:vertAlign w:val="superscript"/>
                <w:lang w:val="en-US" w:eastAsia="zh-CN"/>
              </w:rPr>
              <w:t>2</w:t>
            </w:r>
            <w:r>
              <w:rPr>
                <w:rFonts w:hint="eastAsia"/>
                <w:color w:val="auto"/>
                <w:szCs w:val="21"/>
                <w:highlight w:val="none"/>
              </w:rPr>
              <w:t>，</w:t>
            </w:r>
            <w:r>
              <w:rPr>
                <w:rFonts w:hint="eastAsia"/>
                <w:color w:val="auto"/>
                <w:szCs w:val="21"/>
                <w:highlight w:val="none"/>
                <w:lang w:val="en-US" w:eastAsia="zh-CN"/>
              </w:rPr>
              <w:t>已采取的防渗措施可满足重点防渗要求，</w:t>
            </w:r>
            <w:r>
              <w:rPr>
                <w:rFonts w:hint="eastAsia"/>
                <w:color w:val="auto"/>
                <w:szCs w:val="21"/>
                <w:highlight w:val="none"/>
              </w:rPr>
              <w:t>主要</w:t>
            </w:r>
            <w:r>
              <w:rPr>
                <w:rFonts w:hint="eastAsia"/>
                <w:color w:val="auto"/>
                <w:szCs w:val="21"/>
                <w:highlight w:val="none"/>
                <w:lang w:val="en-US" w:eastAsia="zh-CN"/>
              </w:rPr>
              <w:t>用于</w:t>
            </w:r>
            <w:r>
              <w:rPr>
                <w:rFonts w:hint="eastAsia"/>
                <w:color w:val="auto"/>
                <w:szCs w:val="21"/>
                <w:highlight w:val="none"/>
              </w:rPr>
              <w:t>暂存</w:t>
            </w:r>
            <w:r>
              <w:rPr>
                <w:color w:val="auto"/>
                <w:szCs w:val="21"/>
                <w:highlight w:val="none"/>
              </w:rPr>
              <w:t>废润滑油、废机油</w:t>
            </w:r>
            <w:r>
              <w:rPr>
                <w:rFonts w:hint="eastAsia"/>
                <w:color w:val="auto"/>
                <w:szCs w:val="21"/>
                <w:highlight w:val="none"/>
              </w:rPr>
              <w:t>、</w:t>
            </w:r>
            <w:r>
              <w:rPr>
                <w:color w:val="auto"/>
                <w:szCs w:val="21"/>
                <w:highlight w:val="none"/>
              </w:rPr>
              <w:t>废酸液</w:t>
            </w:r>
            <w:r>
              <w:rPr>
                <w:rFonts w:hint="eastAsia"/>
                <w:color w:val="auto"/>
                <w:szCs w:val="21"/>
                <w:highlight w:val="none"/>
              </w:rPr>
              <w:t>、废碱液</w:t>
            </w:r>
            <w:r>
              <w:rPr>
                <w:rFonts w:hint="eastAsia"/>
                <w:color w:val="auto"/>
                <w:szCs w:val="21"/>
                <w:highlight w:val="none"/>
                <w:lang w:val="en-US" w:eastAsia="zh-CN"/>
              </w:rPr>
              <w:t>等危废，目前该危险废物贮存库存储余量较大，且本项目改建完成后危险废物新增产生量较小，可满足项目暂存需求。</w:t>
            </w:r>
          </w:p>
          <w:p>
            <w:pPr>
              <w:bidi w:val="0"/>
              <w:rPr>
                <w:rFonts w:hint="default"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4、其他</w:t>
            </w:r>
          </w:p>
          <w:p>
            <w:pPr>
              <w:bidi w:val="0"/>
              <w:rPr>
                <w:rFonts w:hint="default"/>
                <w:color w:val="auto"/>
                <w:highlight w:val="none"/>
                <w:lang w:val="en-US" w:eastAsia="zh-CN"/>
              </w:rPr>
            </w:pPr>
            <w:r>
              <w:rPr>
                <w:rFonts w:hint="eastAsia"/>
                <w:color w:val="auto"/>
                <w:highlight w:val="none"/>
                <w:lang w:val="en-US" w:eastAsia="zh-CN"/>
              </w:rPr>
              <w:t>本项目所用水、电均依托易门铜业有限公司现有设施，根据现场调查，易门铜业有限公司内部已建成完备的供水、供电通道，且均已通过竣工环保验收，目前各水、电设施运行稳定，本项目水、电等使用量占比易门铜业有限公司总量较小，项目改建完成后不会对易门铜业有限公司日常运营产生影响，依托合理可行。</w:t>
            </w:r>
          </w:p>
          <w:p>
            <w:pPr>
              <w:bidi w:val="0"/>
              <w:rPr>
                <w:rFonts w:hint="eastAsia"/>
                <w:color w:val="auto"/>
                <w:highlight w:val="none"/>
                <w:lang w:val="en-US" w:eastAsia="zh-CN"/>
              </w:rPr>
            </w:pPr>
            <w:r>
              <w:rPr>
                <w:rFonts w:hint="eastAsia"/>
                <w:color w:val="auto"/>
                <w:highlight w:val="none"/>
                <w:lang w:val="en-US" w:eastAsia="zh-CN"/>
              </w:rPr>
              <w:t>综上，本项目部分工程内容依托易门铜业有限公司已建工程是合理可行的。</w:t>
            </w:r>
          </w:p>
          <w:p>
            <w:pPr>
              <w:bidi w:val="0"/>
              <w:rPr>
                <w:rFonts w:hint="eastAsia"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（七）生产规模及产品方案</w:t>
            </w:r>
          </w:p>
          <w:p>
            <w:pPr>
              <w:bidi w:val="0"/>
              <w:rPr>
                <w:rFonts w:hint="default"/>
                <w:color w:val="auto"/>
                <w:highlight w:val="none"/>
                <w:lang w:val="en-US" w:eastAsia="zh-CN"/>
              </w:rPr>
            </w:pPr>
            <w:r>
              <w:rPr>
                <w:rFonts w:hint="eastAsia"/>
                <w:color w:val="auto"/>
                <w:highlight w:val="none"/>
                <w:lang w:val="en-US" w:eastAsia="zh-CN"/>
              </w:rPr>
              <w:t>本次改建</w:t>
            </w:r>
            <w:r>
              <w:rPr>
                <w:color w:val="auto"/>
                <w:highlight w:val="none"/>
              </w:rPr>
              <w:t>项目主要</w:t>
            </w:r>
            <w:r>
              <w:rPr>
                <w:rFonts w:hint="eastAsia" w:ascii="Times New Roman" w:hAnsi="Times New Roman" w:eastAsia="宋体" w:cs="Times New Roman"/>
                <w:color w:val="auto"/>
                <w:sz w:val="24"/>
                <w:szCs w:val="24"/>
                <w:highlight w:val="none"/>
                <w:lang w:val="en-US" w:eastAsia="zh-CN"/>
              </w:rPr>
              <w:t>拆除现有6500Nm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/h制氧设备及管道等，原址改建2×7500</w:t>
            </w:r>
            <w:r>
              <w:rPr>
                <w:rFonts w:ascii="Times New Roman" w:hAnsi="Times New Roman" w:eastAsia="宋体" w:cs="Times New Roman"/>
                <w:color w:val="auto"/>
                <w:sz w:val="24"/>
                <w:szCs w:val="24"/>
                <w:highlight w:val="none"/>
              </w:rPr>
              <w:t>Nm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/h、纯度为</w:t>
            </w:r>
            <w:r>
              <w:rPr>
                <w:rFonts w:hint="default" w:ascii="Arial" w:hAnsi="Arial" w:eastAsia="宋体" w:cs="Arial"/>
                <w:color w:val="auto"/>
                <w:sz w:val="24"/>
                <w:szCs w:val="24"/>
                <w:highlight w:val="none"/>
              </w:rPr>
              <w:t>≥</w:t>
            </w:r>
            <w:r>
              <w:rPr>
                <w:rFonts w:hint="eastAsia" w:ascii="Times New Roman" w:hAnsi="Times New Roman" w:eastAsia="宋体" w:cs="Times New Roman"/>
                <w:color w:val="auto"/>
                <w:sz w:val="24"/>
                <w:szCs w:val="24"/>
                <w:highlight w:val="none"/>
                <w:lang w:val="en-US" w:eastAsia="zh-CN"/>
              </w:rPr>
              <w:t>9</w:t>
            </w:r>
            <w:r>
              <w:rPr>
                <w:rFonts w:ascii="Times New Roman" w:hAnsi="Times New Roman" w:eastAsia="宋体" w:cs="Times New Roman"/>
                <w:color w:val="auto"/>
                <w:sz w:val="24"/>
                <w:szCs w:val="24"/>
                <w:highlight w:val="none"/>
              </w:rPr>
              <w:t>0%的VPSA制氧装置</w:t>
            </w:r>
            <w:r>
              <w:rPr>
                <w:color w:val="auto"/>
                <w:highlight w:val="none"/>
              </w:rPr>
              <w:t>。</w:t>
            </w:r>
          </w:p>
          <w:p>
            <w:pPr>
              <w:pStyle w:val="36"/>
              <w:bidi w:val="0"/>
              <w:rPr>
                <w:rFonts w:hint="eastAsia"/>
                <w:color w:val="auto"/>
                <w:highlight w:val="none"/>
                <w:lang w:val="en-US" w:eastAsia="zh-CN"/>
              </w:rPr>
            </w:pPr>
            <w:r>
              <w:rPr>
                <w:rFonts w:hint="eastAsia"/>
                <w:color w:val="auto"/>
                <w:highlight w:val="none"/>
                <w:lang w:val="en-US" w:eastAsia="zh-CN"/>
              </w:rPr>
              <w:t>表2-3  项目改建前后产品方案一览表</w:t>
            </w:r>
          </w:p>
          <w:tbl>
            <w:tblPr>
              <w:tblStyle w:val="24"/>
              <w:tblW w:w="78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2157"/>
              <w:gridCol w:w="1922"/>
              <w:gridCol w:w="1337"/>
              <w:gridCol w:w="13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Borders>
                    <w:tl2br w:val="nil"/>
                    <w:tr2bl w:val="nil"/>
                  </w:tcBorders>
                  <w:vAlign w:val="center"/>
                </w:tcPr>
                <w:p>
                  <w:pPr>
                    <w:pStyle w:val="38"/>
                    <w:bidi w:val="0"/>
                    <w:jc w:val="center"/>
                    <w:rPr>
                      <w:rFonts w:hint="default"/>
                      <w:color w:val="auto"/>
                      <w:highlight w:val="none"/>
                      <w:lang w:val="en-US" w:eastAsia="zh-CN"/>
                    </w:rPr>
                  </w:pPr>
                  <w:r>
                    <w:rPr>
                      <w:rFonts w:hint="eastAsia"/>
                      <w:color w:val="auto"/>
                      <w:highlight w:val="none"/>
                      <w:lang w:val="en-US" w:eastAsia="zh-CN"/>
                    </w:rPr>
                    <w:t>序号</w:t>
                  </w:r>
                </w:p>
              </w:tc>
              <w:tc>
                <w:tcPr>
                  <w:tcW w:w="2157" w:type="dxa"/>
                  <w:tcBorders>
                    <w:tl2br w:val="nil"/>
                    <w:tr2bl w:val="nil"/>
                  </w:tcBorders>
                  <w:vAlign w:val="center"/>
                </w:tcPr>
                <w:p>
                  <w:pPr>
                    <w:pStyle w:val="38"/>
                    <w:bidi w:val="0"/>
                    <w:jc w:val="center"/>
                    <w:rPr>
                      <w:rFonts w:hint="default"/>
                      <w:color w:val="auto"/>
                      <w:highlight w:val="none"/>
                      <w:lang w:val="en-US" w:eastAsia="zh-CN"/>
                    </w:rPr>
                  </w:pPr>
                  <w:r>
                    <w:rPr>
                      <w:rFonts w:hint="eastAsia"/>
                      <w:color w:val="auto"/>
                      <w:highlight w:val="none"/>
                      <w:lang w:val="en-US" w:eastAsia="zh-CN"/>
                    </w:rPr>
                    <w:t>名称</w:t>
                  </w:r>
                </w:p>
              </w:tc>
              <w:tc>
                <w:tcPr>
                  <w:tcW w:w="1922" w:type="dxa"/>
                  <w:tcBorders>
                    <w:tl2br w:val="nil"/>
                    <w:tr2bl w:val="nil"/>
                  </w:tcBorders>
                  <w:vAlign w:val="center"/>
                </w:tcPr>
                <w:p>
                  <w:pPr>
                    <w:pStyle w:val="38"/>
                    <w:bidi w:val="0"/>
                    <w:jc w:val="center"/>
                    <w:rPr>
                      <w:rFonts w:hint="default"/>
                      <w:color w:val="auto"/>
                      <w:highlight w:val="none"/>
                      <w:lang w:val="en-US" w:eastAsia="zh-CN"/>
                    </w:rPr>
                  </w:pPr>
                  <w:r>
                    <w:rPr>
                      <w:rFonts w:hint="default" w:ascii="Times New Roman" w:hAnsi="Times New Roman" w:eastAsia="宋体" w:cs="Times New Roman"/>
                      <w:color w:val="auto"/>
                      <w:highlight w:val="none"/>
                      <w:lang w:val="en-US" w:eastAsia="zh-CN"/>
                    </w:rPr>
                    <w:t>设计规模</w:t>
                  </w:r>
                  <w:r>
                    <w:rPr>
                      <w:rFonts w:hint="eastAsia"/>
                      <w:color w:val="auto"/>
                      <w:highlight w:val="none"/>
                      <w:lang w:val="en-US" w:eastAsia="zh-CN"/>
                    </w:rPr>
                    <w:t>（Nm</w:t>
                  </w:r>
                  <w:r>
                    <w:rPr>
                      <w:rFonts w:hint="eastAsia"/>
                      <w:color w:val="auto"/>
                      <w:highlight w:val="none"/>
                      <w:vertAlign w:val="superscript"/>
                      <w:lang w:val="en-US" w:eastAsia="zh-CN"/>
                    </w:rPr>
                    <w:t>3</w:t>
                  </w:r>
                  <w:r>
                    <w:rPr>
                      <w:rFonts w:hint="eastAsia"/>
                      <w:color w:val="auto"/>
                      <w:highlight w:val="none"/>
                      <w:lang w:val="en-US" w:eastAsia="zh-CN"/>
                    </w:rPr>
                    <w:t>/h）</w:t>
                  </w:r>
                </w:p>
              </w:tc>
              <w:tc>
                <w:tcPr>
                  <w:tcW w:w="1337" w:type="dxa"/>
                  <w:tcBorders>
                    <w:tl2br w:val="nil"/>
                    <w:tr2bl w:val="nil"/>
                  </w:tcBorders>
                  <w:vAlign w:val="center"/>
                </w:tcPr>
                <w:p>
                  <w:pPr>
                    <w:pStyle w:val="38"/>
                    <w:bidi w:val="0"/>
                    <w:jc w:val="center"/>
                    <w:rPr>
                      <w:rFonts w:hint="default"/>
                      <w:color w:val="auto"/>
                      <w:highlight w:val="none"/>
                      <w:lang w:val="en-US" w:eastAsia="zh-CN"/>
                    </w:rPr>
                  </w:pPr>
                  <w:r>
                    <w:rPr>
                      <w:rFonts w:hint="eastAsia"/>
                      <w:color w:val="auto"/>
                      <w:highlight w:val="none"/>
                      <w:lang w:val="en-US" w:eastAsia="zh-CN"/>
                    </w:rPr>
                    <w:t>纯度/%</w:t>
                  </w:r>
                </w:p>
              </w:tc>
              <w:tc>
                <w:tcPr>
                  <w:tcW w:w="1338" w:type="dxa"/>
                  <w:tcBorders>
                    <w:tl2br w:val="nil"/>
                    <w:tr2bl w:val="nil"/>
                  </w:tcBorders>
                  <w:vAlign w:val="center"/>
                </w:tcPr>
                <w:p>
                  <w:pPr>
                    <w:pStyle w:val="38"/>
                    <w:bidi w:val="0"/>
                    <w:jc w:val="center"/>
                    <w:rPr>
                      <w:rFonts w:hint="default"/>
                      <w:color w:val="auto"/>
                      <w:highlight w:val="none"/>
                      <w:lang w:val="en-US" w:eastAsia="zh-CN"/>
                    </w:rPr>
                  </w:pPr>
                  <w:r>
                    <w:rPr>
                      <w:rFonts w:hint="eastAsia"/>
                      <w:color w:val="auto"/>
                      <w:highlight w:val="none"/>
                      <w:lang w:val="en-US" w:eastAsia="zh-CN"/>
                    </w:rPr>
                    <w:t>合计（Nm</w:t>
                  </w:r>
                  <w:r>
                    <w:rPr>
                      <w:rFonts w:hint="eastAsia"/>
                      <w:color w:val="auto"/>
                      <w:highlight w:val="none"/>
                      <w:vertAlign w:val="superscript"/>
                      <w:lang w:val="en-US" w:eastAsia="zh-CN"/>
                    </w:rPr>
                    <w:t>3</w:t>
                  </w:r>
                  <w:r>
                    <w:rPr>
                      <w:rFonts w:hint="eastAsia"/>
                      <w:color w:val="auto"/>
                      <w:highlight w:val="none"/>
                      <w:lang w:val="en-US" w:eastAsia="zh-CN"/>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Borders>
                    <w:tl2br w:val="nil"/>
                    <w:tr2bl w:val="nil"/>
                  </w:tcBorders>
                  <w:vAlign w:val="center"/>
                </w:tcPr>
                <w:p>
                  <w:pPr>
                    <w:pStyle w:val="38"/>
                    <w:bidi w:val="0"/>
                    <w:jc w:val="center"/>
                    <w:rPr>
                      <w:rFonts w:hint="default"/>
                      <w:color w:val="auto"/>
                      <w:highlight w:val="none"/>
                      <w:lang w:val="en-US" w:eastAsia="zh-CN"/>
                    </w:rPr>
                  </w:pPr>
                  <w:r>
                    <w:rPr>
                      <w:rFonts w:hint="eastAsia"/>
                      <w:color w:val="auto"/>
                      <w:highlight w:val="none"/>
                      <w:lang w:val="en-US" w:eastAsia="zh-CN"/>
                    </w:rPr>
                    <w:t>1</w:t>
                  </w:r>
                </w:p>
              </w:tc>
              <w:tc>
                <w:tcPr>
                  <w:tcW w:w="2157" w:type="dxa"/>
                  <w:tcBorders>
                    <w:tl2br w:val="nil"/>
                    <w:tr2bl w:val="nil"/>
                  </w:tcBorders>
                  <w:vAlign w:val="center"/>
                </w:tcPr>
                <w:p>
                  <w:pPr>
                    <w:pStyle w:val="38"/>
                    <w:bidi w:val="0"/>
                    <w:jc w:val="center"/>
                    <w:rPr>
                      <w:rFonts w:hint="default"/>
                      <w:color w:val="auto"/>
                      <w:highlight w:val="none"/>
                      <w:lang w:val="en-US" w:eastAsia="zh-CN"/>
                    </w:rPr>
                  </w:pPr>
                  <w:r>
                    <w:rPr>
                      <w:rFonts w:hint="eastAsia"/>
                      <w:color w:val="auto"/>
                      <w:highlight w:val="none"/>
                      <w:lang w:val="en-US" w:eastAsia="zh-CN"/>
                    </w:rPr>
                    <w:t>现有制氧系统</w:t>
                  </w:r>
                </w:p>
              </w:tc>
              <w:tc>
                <w:tcPr>
                  <w:tcW w:w="1922" w:type="dxa"/>
                  <w:tcBorders>
                    <w:tl2br w:val="nil"/>
                    <w:tr2bl w:val="nil"/>
                  </w:tcBorders>
                  <w:shd w:val="clear" w:color="auto" w:fill="auto"/>
                  <w:vAlign w:val="center"/>
                </w:tcPr>
                <w:p>
                  <w:pPr>
                    <w:pStyle w:val="38"/>
                    <w:bidi w:val="0"/>
                    <w:ind w:firstLine="0" w:firstLineChars="0"/>
                    <w:jc w:val="center"/>
                    <w:rPr>
                      <w:rFonts w:hint="default" w:ascii="Times New Roman" w:hAnsi="Times New Roman" w:eastAsia="宋体" w:cstheme="minorBidi"/>
                      <w:color w:val="auto"/>
                      <w:kern w:val="0"/>
                      <w:sz w:val="18"/>
                      <w:szCs w:val="18"/>
                      <w:highlight w:val="none"/>
                      <w:lang w:val="en-US" w:eastAsia="zh-CN" w:bidi="ar-SA"/>
                    </w:rPr>
                  </w:pPr>
                  <w:r>
                    <w:rPr>
                      <w:rFonts w:hint="eastAsia"/>
                      <w:color w:val="auto"/>
                      <w:highlight w:val="none"/>
                      <w:lang w:val="en-US" w:eastAsia="zh-CN"/>
                    </w:rPr>
                    <w:t>6500</w:t>
                  </w:r>
                </w:p>
              </w:tc>
              <w:tc>
                <w:tcPr>
                  <w:tcW w:w="1337" w:type="dxa"/>
                  <w:tcBorders>
                    <w:tl2br w:val="nil"/>
                    <w:tr2bl w:val="nil"/>
                  </w:tcBorders>
                  <w:shd w:val="clear" w:color="auto" w:fill="auto"/>
                  <w:vAlign w:val="center"/>
                </w:tcPr>
                <w:p>
                  <w:pPr>
                    <w:pStyle w:val="38"/>
                    <w:bidi w:val="0"/>
                    <w:ind w:firstLine="0" w:firstLineChars="0"/>
                    <w:jc w:val="center"/>
                    <w:rPr>
                      <w:rFonts w:hint="default" w:ascii="Times New Roman" w:hAnsi="Times New Roman" w:eastAsia="宋体" w:cstheme="minorBidi"/>
                      <w:color w:val="auto"/>
                      <w:kern w:val="0"/>
                      <w:sz w:val="18"/>
                      <w:szCs w:val="18"/>
                      <w:highlight w:val="none"/>
                      <w:lang w:val="en-US" w:eastAsia="zh-CN" w:bidi="ar-SA"/>
                    </w:rPr>
                  </w:pPr>
                  <w:r>
                    <w:rPr>
                      <w:rFonts w:hint="eastAsia"/>
                      <w:color w:val="auto"/>
                      <w:highlight w:val="none"/>
                      <w:lang w:val="en-US" w:eastAsia="zh-CN"/>
                    </w:rPr>
                    <w:t>80</w:t>
                  </w:r>
                </w:p>
              </w:tc>
              <w:tc>
                <w:tcPr>
                  <w:tcW w:w="1338" w:type="dxa"/>
                  <w:tcBorders>
                    <w:tl2br w:val="nil"/>
                    <w:tr2bl w:val="nil"/>
                  </w:tcBorders>
                  <w:shd w:val="clear" w:color="auto" w:fill="auto"/>
                  <w:vAlign w:val="center"/>
                </w:tcPr>
                <w:p>
                  <w:pPr>
                    <w:pStyle w:val="38"/>
                    <w:bidi w:val="0"/>
                    <w:ind w:firstLine="0" w:firstLineChars="0"/>
                    <w:jc w:val="center"/>
                    <w:rPr>
                      <w:rFonts w:hint="default" w:ascii="Times New Roman" w:hAnsi="Times New Roman" w:eastAsia="宋体" w:cstheme="minorBidi"/>
                      <w:color w:val="auto"/>
                      <w:kern w:val="0"/>
                      <w:sz w:val="18"/>
                      <w:szCs w:val="18"/>
                      <w:highlight w:val="none"/>
                      <w:lang w:val="en-US" w:eastAsia="zh-CN" w:bidi="ar-SA"/>
                    </w:rPr>
                  </w:pPr>
                  <w:r>
                    <w:rPr>
                      <w:rFonts w:hint="eastAsia"/>
                      <w:color w:val="auto"/>
                      <w:highlight w:val="none"/>
                      <w:lang w:val="en-US" w:eastAsia="zh-CN"/>
                    </w:rPr>
                    <w:t>6500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Borders>
                    <w:tl2br w:val="nil"/>
                    <w:tr2bl w:val="nil"/>
                  </w:tcBorders>
                  <w:vAlign w:val="center"/>
                </w:tcPr>
                <w:p>
                  <w:pPr>
                    <w:pStyle w:val="38"/>
                    <w:bidi w:val="0"/>
                    <w:jc w:val="center"/>
                    <w:rPr>
                      <w:rFonts w:hint="default"/>
                      <w:color w:val="auto"/>
                      <w:highlight w:val="none"/>
                      <w:lang w:val="en-US" w:eastAsia="zh-CN"/>
                    </w:rPr>
                  </w:pPr>
                  <w:r>
                    <w:rPr>
                      <w:rFonts w:hint="eastAsia"/>
                      <w:color w:val="auto"/>
                      <w:highlight w:val="none"/>
                      <w:lang w:val="en-US" w:eastAsia="zh-CN"/>
                    </w:rPr>
                    <w:t>2</w:t>
                  </w:r>
                </w:p>
              </w:tc>
              <w:tc>
                <w:tcPr>
                  <w:tcW w:w="2157" w:type="dxa"/>
                  <w:tcBorders>
                    <w:tl2br w:val="nil"/>
                    <w:tr2bl w:val="nil"/>
                  </w:tcBorders>
                  <w:vAlign w:val="center"/>
                </w:tcPr>
                <w:p>
                  <w:pPr>
                    <w:pStyle w:val="38"/>
                    <w:bidi w:val="0"/>
                    <w:jc w:val="center"/>
                    <w:rPr>
                      <w:rFonts w:hint="default"/>
                      <w:color w:val="auto"/>
                      <w:highlight w:val="none"/>
                      <w:lang w:val="en-US" w:eastAsia="zh-CN"/>
                    </w:rPr>
                  </w:pPr>
                  <w:r>
                    <w:rPr>
                      <w:rFonts w:hint="eastAsia"/>
                      <w:color w:val="auto"/>
                      <w:highlight w:val="none"/>
                      <w:lang w:val="en-US" w:eastAsia="zh-CN"/>
                    </w:rPr>
                    <w:t>改建后制氧系统</w:t>
                  </w:r>
                </w:p>
              </w:tc>
              <w:tc>
                <w:tcPr>
                  <w:tcW w:w="1922" w:type="dxa"/>
                  <w:tcBorders>
                    <w:tl2br w:val="nil"/>
                    <w:tr2bl w:val="nil"/>
                  </w:tcBorders>
                  <w:shd w:val="clear" w:color="auto" w:fill="auto"/>
                  <w:vAlign w:val="center"/>
                </w:tcPr>
                <w:p>
                  <w:pPr>
                    <w:pStyle w:val="38"/>
                    <w:bidi w:val="0"/>
                    <w:ind w:firstLine="0" w:firstLineChars="0"/>
                    <w:jc w:val="center"/>
                    <w:rPr>
                      <w:rFonts w:hint="default" w:ascii="Times New Roman" w:hAnsi="Times New Roman" w:eastAsia="宋体" w:cstheme="minorBidi"/>
                      <w:color w:val="auto"/>
                      <w:kern w:val="0"/>
                      <w:sz w:val="18"/>
                      <w:szCs w:val="18"/>
                      <w:highlight w:val="none"/>
                      <w:lang w:val="en-US" w:eastAsia="zh-CN" w:bidi="ar-SA"/>
                    </w:rPr>
                  </w:pPr>
                  <w:r>
                    <w:rPr>
                      <w:rFonts w:hint="default"/>
                      <w:color w:val="auto"/>
                      <w:highlight w:val="none"/>
                      <w:lang w:val="en-US" w:eastAsia="zh-CN"/>
                    </w:rPr>
                    <w:t>2×7500</w:t>
                  </w:r>
                </w:p>
              </w:tc>
              <w:tc>
                <w:tcPr>
                  <w:tcW w:w="1337" w:type="dxa"/>
                  <w:tcBorders>
                    <w:tl2br w:val="nil"/>
                    <w:tr2bl w:val="nil"/>
                  </w:tcBorders>
                  <w:shd w:val="clear" w:color="auto" w:fill="auto"/>
                  <w:vAlign w:val="center"/>
                </w:tcPr>
                <w:p>
                  <w:pPr>
                    <w:pStyle w:val="38"/>
                    <w:bidi w:val="0"/>
                    <w:ind w:firstLine="0" w:firstLineChars="0"/>
                    <w:jc w:val="center"/>
                    <w:rPr>
                      <w:rFonts w:hint="default" w:ascii="Times New Roman" w:hAnsi="Times New Roman" w:eastAsia="宋体" w:cstheme="minorBidi"/>
                      <w:color w:val="auto"/>
                      <w:kern w:val="0"/>
                      <w:sz w:val="18"/>
                      <w:szCs w:val="18"/>
                      <w:highlight w:val="none"/>
                      <w:lang w:val="en-US" w:eastAsia="zh-CN" w:bidi="ar-SA"/>
                    </w:rPr>
                  </w:pPr>
                  <w:r>
                    <w:rPr>
                      <w:rFonts w:hint="default" w:ascii="Times New Roman" w:hAnsi="Times New Roman" w:eastAsia="宋体" w:cs="Times New Roman"/>
                      <w:color w:val="auto"/>
                      <w:highlight w:val="none"/>
                      <w:lang w:val="en-US" w:eastAsia="zh-CN"/>
                    </w:rPr>
                    <w:t>≥90</w:t>
                  </w:r>
                </w:p>
              </w:tc>
              <w:tc>
                <w:tcPr>
                  <w:tcW w:w="1338" w:type="dxa"/>
                  <w:tcBorders>
                    <w:tl2br w:val="nil"/>
                    <w:tr2bl w:val="nil"/>
                  </w:tcBorders>
                  <w:shd w:val="clear" w:color="auto" w:fill="auto"/>
                  <w:vAlign w:val="center"/>
                </w:tcPr>
                <w:p>
                  <w:pPr>
                    <w:pStyle w:val="38"/>
                    <w:bidi w:val="0"/>
                    <w:ind w:firstLine="0" w:firstLineChars="0"/>
                    <w:jc w:val="center"/>
                    <w:rPr>
                      <w:rFonts w:hint="default" w:ascii="Times New Roman" w:hAnsi="Times New Roman" w:eastAsia="宋体" w:cstheme="minorBidi"/>
                      <w:color w:val="auto"/>
                      <w:kern w:val="0"/>
                      <w:sz w:val="18"/>
                      <w:szCs w:val="18"/>
                      <w:highlight w:val="none"/>
                      <w:lang w:val="en-US" w:eastAsia="zh-CN" w:bidi="ar-SA"/>
                    </w:rPr>
                  </w:pPr>
                  <w:r>
                    <w:rPr>
                      <w:rFonts w:hint="eastAsia"/>
                      <w:color w:val="auto"/>
                      <w:highlight w:val="none"/>
                      <w:lang w:val="en-US" w:eastAsia="zh-CN"/>
                    </w:rPr>
                    <w:t>15000</w:t>
                  </w:r>
                </w:p>
              </w:tc>
            </w:tr>
          </w:tbl>
          <w:p>
            <w:pPr>
              <w:pStyle w:val="35"/>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color w:val="auto"/>
                <w:highlight w:val="none"/>
                <w:lang w:val="en-US" w:eastAsia="zh-CN"/>
              </w:rPr>
            </w:pPr>
            <w:r>
              <w:rPr>
                <w:rFonts w:hint="eastAsia"/>
                <w:color w:val="auto"/>
                <w:highlight w:val="none"/>
                <w:lang w:val="en-US" w:eastAsia="zh-CN"/>
              </w:rPr>
              <w:t>表2-4  项目氧产品技术要求</w:t>
            </w:r>
          </w:p>
          <w:tbl>
            <w:tblPr>
              <w:tblStyle w:val="24"/>
              <w:tblW w:w="7772"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2680"/>
              <w:gridCol w:w="40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3" w:type="dxa"/>
                  <w:tcBorders>
                    <w:tl2br w:val="nil"/>
                    <w:tr2bl w:val="nil"/>
                  </w:tcBorders>
                  <w:vAlign w:val="center"/>
                </w:tcPr>
                <w:p>
                  <w:pPr>
                    <w:pStyle w:val="34"/>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序号</w:t>
                  </w:r>
                </w:p>
              </w:tc>
              <w:tc>
                <w:tcPr>
                  <w:tcW w:w="2680" w:type="dxa"/>
                  <w:tcBorders>
                    <w:tl2br w:val="nil"/>
                    <w:tr2bl w:val="nil"/>
                  </w:tcBorders>
                  <w:vAlign w:val="center"/>
                </w:tcPr>
                <w:p>
                  <w:pPr>
                    <w:pStyle w:val="34"/>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项目</w:t>
                  </w:r>
                </w:p>
              </w:tc>
              <w:tc>
                <w:tcPr>
                  <w:tcW w:w="4029" w:type="dxa"/>
                  <w:tcBorders>
                    <w:tl2br w:val="nil"/>
                    <w:tr2bl w:val="nil"/>
                  </w:tcBorders>
                  <w:vAlign w:val="center"/>
                </w:tcPr>
                <w:p>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指标</w:t>
                  </w:r>
                  <w:r>
                    <w:rPr>
                      <w:rFonts w:hint="default" w:ascii="Times New Roman" w:hAnsi="Times New Roman" w:cs="Times New Roman"/>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063" w:type="dxa"/>
                  <w:tcBorders>
                    <w:tl2br w:val="nil"/>
                    <w:tr2bl w:val="nil"/>
                  </w:tcBorders>
                  <w:vAlign w:val="center"/>
                </w:tcPr>
                <w:p>
                  <w:pPr>
                    <w:pStyle w:val="34"/>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w:t>
                  </w:r>
                </w:p>
              </w:tc>
              <w:tc>
                <w:tcPr>
                  <w:tcW w:w="2680" w:type="dxa"/>
                  <w:tcBorders>
                    <w:tl2br w:val="nil"/>
                    <w:tr2bl w:val="nil"/>
                  </w:tcBorders>
                  <w:shd w:val="clear" w:color="auto" w:fill="auto"/>
                  <w:vAlign w:val="center"/>
                </w:tcPr>
                <w:p>
                  <w:pPr>
                    <w:pStyle w:val="34"/>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氧（O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）含量</w:t>
                  </w:r>
                </w:p>
              </w:tc>
              <w:tc>
                <w:tcPr>
                  <w:tcW w:w="4029" w:type="dxa"/>
                  <w:tcBorders>
                    <w:tl2br w:val="nil"/>
                    <w:tr2bl w:val="nil"/>
                  </w:tcBorders>
                  <w:shd w:val="clear" w:color="auto" w:fill="auto"/>
                  <w:vAlign w:val="center"/>
                </w:tcPr>
                <w:p>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063" w:type="dxa"/>
                  <w:tcBorders>
                    <w:tl2br w:val="nil"/>
                    <w:tr2bl w:val="nil"/>
                  </w:tcBorders>
                  <w:vAlign w:val="center"/>
                </w:tcPr>
                <w:p>
                  <w:pPr>
                    <w:pStyle w:val="34"/>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w:t>
                  </w:r>
                </w:p>
              </w:tc>
              <w:tc>
                <w:tcPr>
                  <w:tcW w:w="2680" w:type="dxa"/>
                  <w:tcBorders>
                    <w:tl2br w:val="nil"/>
                    <w:tr2bl w:val="nil"/>
                  </w:tcBorders>
                  <w:shd w:val="clear" w:color="auto" w:fill="auto"/>
                  <w:vAlign w:val="center"/>
                </w:tcPr>
                <w:p>
                  <w:pPr>
                    <w:pStyle w:val="34"/>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水（H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O）</w:t>
                  </w:r>
                </w:p>
              </w:tc>
              <w:tc>
                <w:tcPr>
                  <w:tcW w:w="4029" w:type="dxa"/>
                  <w:tcBorders>
                    <w:tl2br w:val="nil"/>
                    <w:tr2bl w:val="nil"/>
                  </w:tcBorders>
                  <w:shd w:val="clear" w:color="auto" w:fill="auto"/>
                  <w:vAlign w:val="center"/>
                </w:tcPr>
                <w:p>
                  <w:pPr>
                    <w:pStyle w:val="34"/>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无游离水</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（八）主要生产设备</w:t>
            </w:r>
          </w:p>
          <w:p>
            <w:pPr>
              <w:bidi w:val="0"/>
              <w:ind w:left="0" w:leftChars="0" w:firstLine="480" w:firstLineChars="200"/>
              <w:jc w:val="both"/>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项目</w:t>
            </w:r>
            <w:r>
              <w:rPr>
                <w:rFonts w:hint="eastAsia" w:cs="Times New Roman"/>
                <w:b w:val="0"/>
                <w:bCs w:val="0"/>
                <w:color w:val="auto"/>
                <w:highlight w:val="none"/>
                <w:lang w:val="en-US" w:eastAsia="zh-CN"/>
              </w:rPr>
              <w:t>改建后</w:t>
            </w:r>
            <w:r>
              <w:rPr>
                <w:rFonts w:hint="default" w:ascii="Times New Roman" w:hAnsi="Times New Roman" w:eastAsia="宋体" w:cs="Times New Roman"/>
                <w:b w:val="0"/>
                <w:bCs w:val="0"/>
                <w:color w:val="auto"/>
                <w:highlight w:val="none"/>
                <w:lang w:val="en-US" w:eastAsia="zh-CN"/>
              </w:rPr>
              <w:t>主要生产设备情况</w:t>
            </w:r>
            <w:r>
              <w:rPr>
                <w:rFonts w:hint="eastAsia" w:cs="Times New Roman"/>
                <w:b w:val="0"/>
                <w:bCs w:val="0"/>
                <w:color w:val="auto"/>
                <w:highlight w:val="none"/>
                <w:lang w:val="en-US" w:eastAsia="zh-CN"/>
              </w:rPr>
              <w:t>详见下表</w:t>
            </w:r>
            <w:r>
              <w:rPr>
                <w:rFonts w:hint="default" w:ascii="Times New Roman" w:hAnsi="Times New Roman" w:cs="Times New Roman"/>
                <w:b w:val="0"/>
                <w:bCs w:val="0"/>
                <w:color w:val="auto"/>
                <w:highlight w:val="none"/>
                <w:lang w:val="en-US" w:eastAsia="zh-CN"/>
              </w:rPr>
              <w:t>。</w:t>
            </w:r>
          </w:p>
          <w:p>
            <w:pPr>
              <w:pStyle w:val="36"/>
              <w:bidi w:val="0"/>
              <w:rPr>
                <w:rFonts w:hint="default" w:ascii="Times New Roman" w:hAnsi="Times New Roman" w:eastAsia="宋体" w:cs="Times New Roman"/>
                <w:b/>
                <w:bCs/>
                <w:color w:val="auto"/>
                <w:szCs w:val="21"/>
                <w:highlight w:val="none"/>
                <w:lang w:val="en-US" w:eastAsia="zh-CN"/>
              </w:rPr>
            </w:pPr>
            <w:r>
              <w:rPr>
                <w:rFonts w:hint="default"/>
                <w:color w:val="auto"/>
                <w:highlight w:val="none"/>
                <w:lang w:val="en-US" w:eastAsia="zh-CN"/>
              </w:rPr>
              <w:t>表2-</w:t>
            </w:r>
            <w:r>
              <w:rPr>
                <w:rFonts w:hint="eastAsia"/>
                <w:color w:val="auto"/>
                <w:highlight w:val="none"/>
                <w:lang w:val="en-US" w:eastAsia="zh-CN"/>
              </w:rPr>
              <w:t>5</w:t>
            </w:r>
            <w:r>
              <w:rPr>
                <w:rFonts w:hint="default"/>
                <w:color w:val="auto"/>
                <w:highlight w:val="none"/>
                <w:lang w:val="en-US" w:eastAsia="zh-CN"/>
              </w:rPr>
              <w:t xml:space="preserve"> </w:t>
            </w:r>
            <w:r>
              <w:rPr>
                <w:rFonts w:hint="eastAsia"/>
                <w:color w:val="auto"/>
                <w:highlight w:val="none"/>
                <w:lang w:val="en-US" w:eastAsia="zh-CN"/>
              </w:rPr>
              <w:t xml:space="preserve"> </w:t>
            </w:r>
            <w:r>
              <w:rPr>
                <w:rFonts w:hint="default"/>
                <w:color w:val="auto"/>
                <w:highlight w:val="none"/>
                <w:lang w:val="en-US" w:eastAsia="zh-CN"/>
              </w:rPr>
              <w:t>主要生产设备一览表</w:t>
            </w:r>
          </w:p>
          <w:tbl>
            <w:tblPr>
              <w:tblStyle w:val="24"/>
              <w:tblW w:w="776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882"/>
              <w:gridCol w:w="2433"/>
              <w:gridCol w:w="792"/>
              <w:gridCol w:w="850"/>
              <w:gridCol w:w="11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序号</w:t>
                  </w:r>
                </w:p>
              </w:tc>
              <w:tc>
                <w:tcPr>
                  <w:tcW w:w="188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rPr>
                    <w:t>设备名称</w:t>
                  </w:r>
                </w:p>
              </w:tc>
              <w:tc>
                <w:tcPr>
                  <w:tcW w:w="2433"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rPr>
                    <w:t>规格型号</w:t>
                  </w:r>
                </w:p>
              </w:tc>
              <w:tc>
                <w:tcPr>
                  <w:tcW w:w="79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rPr>
                    <w:t>单位</w:t>
                  </w:r>
                </w:p>
              </w:tc>
              <w:tc>
                <w:tcPr>
                  <w:tcW w:w="850"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rPr>
                    <w:t>数量</w:t>
                  </w:r>
                </w:p>
              </w:tc>
              <w:tc>
                <w:tcPr>
                  <w:tcW w:w="1114"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rPr>
                    <w:t>1</w:t>
                  </w:r>
                </w:p>
              </w:tc>
              <w:tc>
                <w:tcPr>
                  <w:tcW w:w="188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离心鼓风机（含配套电机及变频器）</w:t>
                  </w:r>
                </w:p>
              </w:tc>
              <w:tc>
                <w:tcPr>
                  <w:tcW w:w="2433"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P=53kPa，Q=1495m</w:t>
                  </w:r>
                  <w:r>
                    <w:rPr>
                      <w:rFonts w:hint="default" w:ascii="Times New Roman" w:hAnsi="Times New Roman" w:cs="Times New Roman"/>
                      <w:color w:val="auto"/>
                      <w:sz w:val="18"/>
                      <w:szCs w:val="18"/>
                      <w:highlight w:val="none"/>
                      <w:vertAlign w:val="superscript"/>
                      <w:lang w:val="en-US" w:eastAsia="zh-CN"/>
                    </w:rPr>
                    <w:t>3</w:t>
                  </w:r>
                  <w:r>
                    <w:rPr>
                      <w:rFonts w:hint="default" w:ascii="Times New Roman" w:hAnsi="Times New Roman" w:cs="Times New Roman"/>
                      <w:color w:val="auto"/>
                      <w:sz w:val="18"/>
                      <w:szCs w:val="18"/>
                      <w:highlight w:val="none"/>
                      <w:lang w:val="en-US" w:eastAsia="zh-CN"/>
                    </w:rPr>
                    <w:t xml:space="preserve">/min  </w:t>
                  </w:r>
                </w:p>
              </w:tc>
              <w:tc>
                <w:tcPr>
                  <w:tcW w:w="79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台</w:t>
                  </w:r>
                </w:p>
              </w:tc>
              <w:tc>
                <w:tcPr>
                  <w:tcW w:w="850"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w:t>
                  </w:r>
                </w:p>
              </w:tc>
              <w:tc>
                <w:tcPr>
                  <w:tcW w:w="1114" w:type="dxa"/>
                  <w:tcBorders>
                    <w:tl2br w:val="nil"/>
                    <w:tr2bl w:val="nil"/>
                  </w:tcBorders>
                  <w:shd w:val="clear" w:color="auto" w:fill="auto"/>
                  <w:vAlign w:val="center"/>
                </w:tcPr>
                <w:p>
                  <w:pPr>
                    <w:pStyle w:val="34"/>
                    <w:bidi w:val="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rPr>
                    <w:t>2</w:t>
                  </w:r>
                </w:p>
              </w:tc>
              <w:tc>
                <w:tcPr>
                  <w:tcW w:w="188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离心真空泵（含配套电机及变频器）</w:t>
                  </w:r>
                </w:p>
              </w:tc>
              <w:tc>
                <w:tcPr>
                  <w:tcW w:w="2433"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P=-50kPa，Q=1875m</w:t>
                  </w:r>
                  <w:r>
                    <w:rPr>
                      <w:rFonts w:hint="default" w:ascii="Times New Roman" w:hAnsi="Times New Roman" w:cs="Times New Roman"/>
                      <w:color w:val="auto"/>
                      <w:sz w:val="18"/>
                      <w:szCs w:val="18"/>
                      <w:highlight w:val="none"/>
                      <w:vertAlign w:val="superscript"/>
                      <w:lang w:val="en-US" w:eastAsia="zh-CN"/>
                    </w:rPr>
                    <w:t>3</w:t>
                  </w:r>
                  <w:r>
                    <w:rPr>
                      <w:rFonts w:hint="default" w:ascii="Times New Roman" w:hAnsi="Times New Roman" w:cs="Times New Roman"/>
                      <w:color w:val="auto"/>
                      <w:sz w:val="18"/>
                      <w:szCs w:val="18"/>
                      <w:highlight w:val="none"/>
                      <w:lang w:val="en-US" w:eastAsia="zh-CN"/>
                    </w:rPr>
                    <w:t>/min</w:t>
                  </w:r>
                </w:p>
              </w:tc>
              <w:tc>
                <w:tcPr>
                  <w:tcW w:w="79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台</w:t>
                  </w:r>
                </w:p>
              </w:tc>
              <w:tc>
                <w:tcPr>
                  <w:tcW w:w="850"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w:t>
                  </w:r>
                </w:p>
              </w:tc>
              <w:tc>
                <w:tcPr>
                  <w:tcW w:w="1114"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rPr>
                    <w:t>3</w:t>
                  </w:r>
                </w:p>
              </w:tc>
              <w:tc>
                <w:tcPr>
                  <w:tcW w:w="188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空气换热器</w:t>
                  </w:r>
                </w:p>
              </w:tc>
              <w:tc>
                <w:tcPr>
                  <w:tcW w:w="2433"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 xml:space="preserve"> 换热面积：</w:t>
                  </w:r>
                  <w:r>
                    <w:rPr>
                      <w:rFonts w:hint="eastAsia" w:cs="Times New Roman"/>
                      <w:color w:val="auto"/>
                      <w:sz w:val="18"/>
                      <w:szCs w:val="18"/>
                      <w:highlight w:val="none"/>
                      <w:lang w:val="en-US" w:eastAsia="zh-CN"/>
                    </w:rPr>
                    <w:t>1800</w:t>
                  </w:r>
                  <w:r>
                    <w:rPr>
                      <w:rFonts w:hint="default" w:ascii="Times New Roman" w:hAnsi="Times New Roman" w:cs="Times New Roman"/>
                      <w:color w:val="auto"/>
                      <w:sz w:val="18"/>
                      <w:szCs w:val="18"/>
                      <w:highlight w:val="none"/>
                      <w:lang w:val="en-US" w:eastAsia="zh-CN"/>
                    </w:rPr>
                    <w:t>m</w:t>
                  </w:r>
                  <w:r>
                    <w:rPr>
                      <w:rFonts w:hint="default" w:ascii="Times New Roman" w:hAnsi="Times New Roman" w:cs="Times New Roman"/>
                      <w:color w:val="auto"/>
                      <w:sz w:val="18"/>
                      <w:szCs w:val="18"/>
                      <w:highlight w:val="none"/>
                      <w:vertAlign w:val="superscript"/>
                      <w:lang w:val="en-US" w:eastAsia="zh-CN"/>
                    </w:rPr>
                    <w:t>2</w:t>
                  </w:r>
                </w:p>
              </w:tc>
              <w:tc>
                <w:tcPr>
                  <w:tcW w:w="79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台</w:t>
                  </w:r>
                </w:p>
              </w:tc>
              <w:tc>
                <w:tcPr>
                  <w:tcW w:w="850"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w:t>
                  </w:r>
                </w:p>
              </w:tc>
              <w:tc>
                <w:tcPr>
                  <w:tcW w:w="1114"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rPr>
                    <w:t>4</w:t>
                  </w:r>
                </w:p>
              </w:tc>
              <w:tc>
                <w:tcPr>
                  <w:tcW w:w="188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空气过滤器</w:t>
                  </w:r>
                </w:p>
              </w:tc>
              <w:tc>
                <w:tcPr>
                  <w:tcW w:w="2433"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过滤面积：2700 m</w:t>
                  </w:r>
                  <w:r>
                    <w:rPr>
                      <w:rFonts w:hint="default" w:ascii="Times New Roman" w:hAnsi="Times New Roman" w:cs="Times New Roman"/>
                      <w:color w:val="auto"/>
                      <w:sz w:val="18"/>
                      <w:szCs w:val="18"/>
                      <w:highlight w:val="none"/>
                      <w:vertAlign w:val="superscript"/>
                      <w:lang w:val="en-US" w:eastAsia="zh-CN"/>
                    </w:rPr>
                    <w:t>2</w:t>
                  </w:r>
                </w:p>
              </w:tc>
              <w:tc>
                <w:tcPr>
                  <w:tcW w:w="79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台</w:t>
                  </w:r>
                </w:p>
              </w:tc>
              <w:tc>
                <w:tcPr>
                  <w:tcW w:w="850"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w:t>
                  </w:r>
                </w:p>
              </w:tc>
              <w:tc>
                <w:tcPr>
                  <w:tcW w:w="1114"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rPr>
                    <w:t>5</w:t>
                  </w:r>
                </w:p>
              </w:tc>
              <w:tc>
                <w:tcPr>
                  <w:tcW w:w="188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径向吸附器</w:t>
                  </w:r>
                </w:p>
              </w:tc>
              <w:tc>
                <w:tcPr>
                  <w:tcW w:w="2433"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φ4200,H=7.4m</w:t>
                  </w:r>
                </w:p>
              </w:tc>
              <w:tc>
                <w:tcPr>
                  <w:tcW w:w="79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台</w:t>
                  </w:r>
                </w:p>
              </w:tc>
              <w:tc>
                <w:tcPr>
                  <w:tcW w:w="850"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w:t>
                  </w:r>
                </w:p>
              </w:tc>
              <w:tc>
                <w:tcPr>
                  <w:tcW w:w="1114"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rPr>
                    <w:t>6</w:t>
                  </w:r>
                </w:p>
              </w:tc>
              <w:tc>
                <w:tcPr>
                  <w:tcW w:w="188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氧气缓冲罐</w:t>
                  </w:r>
                </w:p>
              </w:tc>
              <w:tc>
                <w:tcPr>
                  <w:tcW w:w="2433"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P=</w:t>
                  </w:r>
                  <w:r>
                    <w:rPr>
                      <w:rFonts w:hint="eastAsia" w:cs="Times New Roman"/>
                      <w:color w:val="auto"/>
                      <w:sz w:val="18"/>
                      <w:szCs w:val="18"/>
                      <w:highlight w:val="none"/>
                      <w:lang w:val="en-US" w:eastAsia="zh-CN"/>
                    </w:rPr>
                    <w:t>70</w:t>
                  </w:r>
                  <w:r>
                    <w:rPr>
                      <w:rFonts w:hint="default" w:ascii="Times New Roman" w:hAnsi="Times New Roman" w:cs="Times New Roman"/>
                      <w:color w:val="auto"/>
                      <w:sz w:val="18"/>
                      <w:szCs w:val="18"/>
                      <w:highlight w:val="none"/>
                      <w:lang w:val="en-US" w:eastAsia="zh-CN"/>
                    </w:rPr>
                    <w:t>kPa,V=280m</w:t>
                  </w:r>
                  <w:r>
                    <w:rPr>
                      <w:rFonts w:hint="default" w:ascii="Times New Roman" w:hAnsi="Times New Roman" w:cs="Times New Roman"/>
                      <w:color w:val="auto"/>
                      <w:sz w:val="18"/>
                      <w:szCs w:val="18"/>
                      <w:highlight w:val="none"/>
                      <w:vertAlign w:val="superscript"/>
                      <w:lang w:val="en-US" w:eastAsia="zh-CN"/>
                    </w:rPr>
                    <w:t>3</w:t>
                  </w:r>
                  <w:r>
                    <w:rPr>
                      <w:rFonts w:hint="default" w:ascii="Times New Roman" w:hAnsi="Times New Roman" w:cs="Times New Roman"/>
                      <w:color w:val="auto"/>
                      <w:sz w:val="18"/>
                      <w:szCs w:val="18"/>
                      <w:highlight w:val="none"/>
                      <w:lang w:val="en-US" w:eastAsia="zh-CN"/>
                    </w:rPr>
                    <w:t xml:space="preserve"> </w:t>
                  </w:r>
                </w:p>
              </w:tc>
              <w:tc>
                <w:tcPr>
                  <w:tcW w:w="79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台</w:t>
                  </w:r>
                </w:p>
              </w:tc>
              <w:tc>
                <w:tcPr>
                  <w:tcW w:w="850"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2</w:t>
                  </w:r>
                </w:p>
              </w:tc>
              <w:tc>
                <w:tcPr>
                  <w:tcW w:w="1114"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rPr>
                    <w:t>7</w:t>
                  </w:r>
                </w:p>
              </w:tc>
              <w:tc>
                <w:tcPr>
                  <w:tcW w:w="188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rPr>
                    <w:t>压缩空气缓冲罐</w:t>
                  </w:r>
                </w:p>
              </w:tc>
              <w:tc>
                <w:tcPr>
                  <w:tcW w:w="2433"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rPr>
                    <w:t>P=0.8MPa,V=</w:t>
                  </w:r>
                  <w:r>
                    <w:rPr>
                      <w:rFonts w:hint="default" w:ascii="Times New Roman" w:hAnsi="Times New Roman" w:cs="Times New Roman"/>
                      <w:color w:val="auto"/>
                      <w:sz w:val="18"/>
                      <w:szCs w:val="18"/>
                      <w:highlight w:val="none"/>
                      <w:lang w:val="en-US" w:eastAsia="zh-CN"/>
                    </w:rPr>
                    <w:t>5</w:t>
                  </w:r>
                  <w:r>
                    <w:rPr>
                      <w:rFonts w:hint="default" w:ascii="Times New Roman" w:hAnsi="Times New Roman" w:cs="Times New Roman"/>
                      <w:color w:val="auto"/>
                      <w:sz w:val="18"/>
                      <w:szCs w:val="18"/>
                      <w:highlight w:val="none"/>
                    </w:rPr>
                    <w:t>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highlight w:val="none"/>
                    </w:rPr>
                    <w:t xml:space="preserve"> </w:t>
                  </w:r>
                </w:p>
              </w:tc>
              <w:tc>
                <w:tcPr>
                  <w:tcW w:w="79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台</w:t>
                  </w:r>
                </w:p>
              </w:tc>
              <w:tc>
                <w:tcPr>
                  <w:tcW w:w="850"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c>
                <w:tcPr>
                  <w:tcW w:w="1114"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rPr>
                    <w:t>8</w:t>
                  </w:r>
                </w:p>
              </w:tc>
              <w:tc>
                <w:tcPr>
                  <w:tcW w:w="188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rPr>
                    <w:t>液压泵站</w:t>
                  </w:r>
                </w:p>
              </w:tc>
              <w:tc>
                <w:tcPr>
                  <w:tcW w:w="2433"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Q=210L/min</w:t>
                  </w:r>
                </w:p>
              </w:tc>
              <w:tc>
                <w:tcPr>
                  <w:tcW w:w="79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套</w:t>
                  </w:r>
                </w:p>
              </w:tc>
              <w:tc>
                <w:tcPr>
                  <w:tcW w:w="850"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2</w:t>
                  </w:r>
                </w:p>
              </w:tc>
              <w:tc>
                <w:tcPr>
                  <w:tcW w:w="1114"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rPr>
                    <w:t>9</w:t>
                  </w:r>
                </w:p>
              </w:tc>
              <w:tc>
                <w:tcPr>
                  <w:tcW w:w="188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消声器</w:t>
                  </w:r>
                </w:p>
              </w:tc>
              <w:tc>
                <w:tcPr>
                  <w:tcW w:w="2433"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79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台</w:t>
                  </w:r>
                </w:p>
              </w:tc>
              <w:tc>
                <w:tcPr>
                  <w:tcW w:w="850"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2</w:t>
                  </w:r>
                </w:p>
              </w:tc>
              <w:tc>
                <w:tcPr>
                  <w:tcW w:w="1114"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rPr>
                    <w:t>10</w:t>
                  </w:r>
                </w:p>
              </w:tc>
              <w:tc>
                <w:tcPr>
                  <w:tcW w:w="188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电动单梁桥式起重机</w:t>
                  </w:r>
                </w:p>
              </w:tc>
              <w:tc>
                <w:tcPr>
                  <w:tcW w:w="2433"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Q=</w:t>
                  </w:r>
                  <w:r>
                    <w:rPr>
                      <w:rFonts w:hint="eastAsia" w:cs="Times New Roman"/>
                      <w:color w:val="auto"/>
                      <w:sz w:val="18"/>
                      <w:szCs w:val="18"/>
                      <w:highlight w:val="none"/>
                      <w:lang w:val="en-US" w:eastAsia="zh-CN"/>
                    </w:rPr>
                    <w:t>16</w:t>
                  </w:r>
                  <w:r>
                    <w:rPr>
                      <w:rFonts w:hint="default" w:ascii="Times New Roman" w:hAnsi="Times New Roman" w:cs="Times New Roman"/>
                      <w:color w:val="auto"/>
                      <w:sz w:val="18"/>
                      <w:szCs w:val="18"/>
                      <w:highlight w:val="none"/>
                      <w:lang w:val="en-US" w:eastAsia="zh-CN"/>
                    </w:rPr>
                    <w:t xml:space="preserve">t/5t   </w:t>
                  </w:r>
                </w:p>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 xml:space="preserve">跨度10.5m </w:t>
                  </w:r>
                </w:p>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H=12m</w:t>
                  </w:r>
                </w:p>
              </w:tc>
              <w:tc>
                <w:tcPr>
                  <w:tcW w:w="79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台</w:t>
                  </w:r>
                </w:p>
              </w:tc>
              <w:tc>
                <w:tcPr>
                  <w:tcW w:w="850"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c>
                <w:tcPr>
                  <w:tcW w:w="1114"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rPr>
                    <w:t>11</w:t>
                  </w:r>
                </w:p>
              </w:tc>
              <w:tc>
                <w:tcPr>
                  <w:tcW w:w="188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锂分子筛</w:t>
                  </w:r>
                </w:p>
              </w:tc>
              <w:tc>
                <w:tcPr>
                  <w:tcW w:w="2433"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PU-8</w:t>
                  </w:r>
                </w:p>
              </w:tc>
              <w:tc>
                <w:tcPr>
                  <w:tcW w:w="79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t</w:t>
                  </w:r>
                </w:p>
              </w:tc>
              <w:tc>
                <w:tcPr>
                  <w:tcW w:w="850"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62</w:t>
                  </w:r>
                </w:p>
              </w:tc>
              <w:tc>
                <w:tcPr>
                  <w:tcW w:w="1114" w:type="dxa"/>
                  <w:tcBorders>
                    <w:tl2br w:val="nil"/>
                    <w:tr2bl w:val="nil"/>
                  </w:tcBorders>
                  <w:shd w:val="clear" w:color="auto" w:fill="auto"/>
                  <w:vAlign w:val="center"/>
                </w:tcPr>
                <w:p>
                  <w:pPr>
                    <w:pStyle w:val="34"/>
                    <w:bidi w:val="0"/>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利用原有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12</w:t>
                  </w:r>
                </w:p>
              </w:tc>
              <w:tc>
                <w:tcPr>
                  <w:tcW w:w="188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仪表气螺杆空压机</w:t>
                  </w:r>
                </w:p>
              </w:tc>
              <w:tc>
                <w:tcPr>
                  <w:tcW w:w="2433"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BMVF55</w:t>
                  </w:r>
                </w:p>
              </w:tc>
              <w:tc>
                <w:tcPr>
                  <w:tcW w:w="79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台</w:t>
                  </w:r>
                </w:p>
              </w:tc>
              <w:tc>
                <w:tcPr>
                  <w:tcW w:w="850"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c>
                <w:tcPr>
                  <w:tcW w:w="1114"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利用原有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13</w:t>
                  </w:r>
                </w:p>
              </w:tc>
              <w:tc>
                <w:tcPr>
                  <w:tcW w:w="188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混凝土厂房</w:t>
                  </w:r>
                </w:p>
              </w:tc>
              <w:tc>
                <w:tcPr>
                  <w:tcW w:w="2433"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35.8m*11.8m</w:t>
                  </w:r>
                </w:p>
              </w:tc>
              <w:tc>
                <w:tcPr>
                  <w:tcW w:w="79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m</w:t>
                  </w:r>
                  <w:r>
                    <w:rPr>
                      <w:rFonts w:hint="default" w:ascii="Times New Roman" w:hAnsi="Times New Roman" w:cs="Times New Roman"/>
                      <w:color w:val="auto"/>
                      <w:sz w:val="18"/>
                      <w:szCs w:val="18"/>
                      <w:highlight w:val="none"/>
                      <w:vertAlign w:val="superscript"/>
                      <w:lang w:val="en-US" w:eastAsia="zh-CN"/>
                    </w:rPr>
                    <w:t>2</w:t>
                  </w:r>
                </w:p>
              </w:tc>
              <w:tc>
                <w:tcPr>
                  <w:tcW w:w="850"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422.44</w:t>
                  </w:r>
                </w:p>
              </w:tc>
              <w:tc>
                <w:tcPr>
                  <w:tcW w:w="1114"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利用原有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14</w:t>
                  </w:r>
                </w:p>
              </w:tc>
              <w:tc>
                <w:tcPr>
                  <w:tcW w:w="188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混凝土高压室</w:t>
                  </w:r>
                </w:p>
              </w:tc>
              <w:tc>
                <w:tcPr>
                  <w:tcW w:w="2433"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5.7m*5.7m</w:t>
                  </w:r>
                </w:p>
              </w:tc>
              <w:tc>
                <w:tcPr>
                  <w:tcW w:w="79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m</w:t>
                  </w:r>
                  <w:r>
                    <w:rPr>
                      <w:rFonts w:hint="default" w:ascii="Times New Roman" w:hAnsi="Times New Roman" w:cs="Times New Roman"/>
                      <w:color w:val="auto"/>
                      <w:sz w:val="18"/>
                      <w:szCs w:val="18"/>
                      <w:highlight w:val="none"/>
                      <w:vertAlign w:val="superscript"/>
                      <w:lang w:val="en-US" w:eastAsia="zh-CN"/>
                    </w:rPr>
                    <w:t>2</w:t>
                  </w:r>
                </w:p>
              </w:tc>
              <w:tc>
                <w:tcPr>
                  <w:tcW w:w="850"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32.49</w:t>
                  </w:r>
                </w:p>
              </w:tc>
              <w:tc>
                <w:tcPr>
                  <w:tcW w:w="1114"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利用原有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15</w:t>
                  </w:r>
                </w:p>
              </w:tc>
              <w:tc>
                <w:tcPr>
                  <w:tcW w:w="188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混凝土低压室</w:t>
                  </w:r>
                </w:p>
              </w:tc>
              <w:tc>
                <w:tcPr>
                  <w:tcW w:w="2433"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5.7m*5.7m</w:t>
                  </w:r>
                </w:p>
              </w:tc>
              <w:tc>
                <w:tcPr>
                  <w:tcW w:w="79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m</w:t>
                  </w:r>
                  <w:r>
                    <w:rPr>
                      <w:rFonts w:hint="default" w:ascii="Times New Roman" w:hAnsi="Times New Roman" w:cs="Times New Roman"/>
                      <w:color w:val="auto"/>
                      <w:sz w:val="18"/>
                      <w:szCs w:val="18"/>
                      <w:highlight w:val="none"/>
                      <w:vertAlign w:val="superscript"/>
                      <w:lang w:val="en-US" w:eastAsia="zh-CN"/>
                    </w:rPr>
                    <w:t>2</w:t>
                  </w:r>
                </w:p>
              </w:tc>
              <w:tc>
                <w:tcPr>
                  <w:tcW w:w="850"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32.4</w:t>
                  </w:r>
                </w:p>
              </w:tc>
              <w:tc>
                <w:tcPr>
                  <w:tcW w:w="1114"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利用原有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16</w:t>
                  </w:r>
                </w:p>
              </w:tc>
              <w:tc>
                <w:tcPr>
                  <w:tcW w:w="188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电压变压器</w:t>
                  </w:r>
                </w:p>
              </w:tc>
              <w:tc>
                <w:tcPr>
                  <w:tcW w:w="2433"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S22-M-800/6</w:t>
                  </w:r>
                </w:p>
              </w:tc>
              <w:tc>
                <w:tcPr>
                  <w:tcW w:w="79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台</w:t>
                  </w:r>
                </w:p>
              </w:tc>
              <w:tc>
                <w:tcPr>
                  <w:tcW w:w="850"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c>
                <w:tcPr>
                  <w:tcW w:w="1114"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利用原有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17</w:t>
                  </w:r>
                </w:p>
              </w:tc>
              <w:tc>
                <w:tcPr>
                  <w:tcW w:w="188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循环水泵</w:t>
                  </w:r>
                </w:p>
              </w:tc>
              <w:tc>
                <w:tcPr>
                  <w:tcW w:w="2433"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Q=1200Nm</w:t>
                  </w:r>
                  <w:r>
                    <w:rPr>
                      <w:rFonts w:hint="default" w:ascii="Times New Roman" w:hAnsi="Times New Roman" w:cs="Times New Roman"/>
                      <w:color w:val="auto"/>
                      <w:sz w:val="18"/>
                      <w:szCs w:val="18"/>
                      <w:highlight w:val="none"/>
                      <w:vertAlign w:val="superscript"/>
                      <w:lang w:val="en-US" w:eastAsia="zh-CN"/>
                    </w:rPr>
                    <w:t>3</w:t>
                  </w:r>
                  <w:r>
                    <w:rPr>
                      <w:rFonts w:hint="default" w:ascii="Times New Roman" w:hAnsi="Times New Roman" w:cs="Times New Roman"/>
                      <w:color w:val="auto"/>
                      <w:sz w:val="18"/>
                      <w:szCs w:val="18"/>
                      <w:highlight w:val="none"/>
                      <w:lang w:val="en-US" w:eastAsia="zh-CN"/>
                    </w:rPr>
                    <w:t>/h H=30mH</w:t>
                  </w:r>
                  <w:r>
                    <w:rPr>
                      <w:rFonts w:hint="default" w:ascii="Times New Roman" w:hAnsi="Times New Roman" w:cs="Times New Roman"/>
                      <w:color w:val="auto"/>
                      <w:sz w:val="18"/>
                      <w:szCs w:val="18"/>
                      <w:highlight w:val="none"/>
                      <w:vertAlign w:val="subscript"/>
                      <w:lang w:val="en-US" w:eastAsia="zh-CN"/>
                    </w:rPr>
                    <w:t>2</w:t>
                  </w:r>
                  <w:r>
                    <w:rPr>
                      <w:rFonts w:hint="default" w:ascii="Times New Roman" w:hAnsi="Times New Roman" w:cs="Times New Roman"/>
                      <w:color w:val="auto"/>
                      <w:sz w:val="18"/>
                      <w:szCs w:val="18"/>
                      <w:highlight w:val="none"/>
                      <w:lang w:val="en-US" w:eastAsia="zh-CN"/>
                    </w:rPr>
                    <w:t>O  P=160kW</w:t>
                  </w:r>
                </w:p>
              </w:tc>
              <w:tc>
                <w:tcPr>
                  <w:tcW w:w="79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台</w:t>
                  </w:r>
                </w:p>
              </w:tc>
              <w:tc>
                <w:tcPr>
                  <w:tcW w:w="850"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c>
                <w:tcPr>
                  <w:tcW w:w="1114"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利用原有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18</w:t>
                  </w:r>
                </w:p>
              </w:tc>
              <w:tc>
                <w:tcPr>
                  <w:tcW w:w="188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配电室专用工业</w:t>
                  </w:r>
                  <w:r>
                    <w:rPr>
                      <w:rFonts w:hint="default" w:ascii="Times New Roman" w:hAnsi="Times New Roman" w:cs="Times New Roman"/>
                      <w:color w:val="auto"/>
                      <w:sz w:val="18"/>
                      <w:szCs w:val="18"/>
                      <w:highlight w:val="none"/>
                    </w:rPr>
                    <w:t>空调</w:t>
                  </w:r>
                </w:p>
              </w:tc>
              <w:tc>
                <w:tcPr>
                  <w:tcW w:w="2433"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rPr>
                    <w:t>Ql=</w:t>
                  </w:r>
                  <w:r>
                    <w:rPr>
                      <w:rFonts w:hint="default" w:ascii="Times New Roman" w:hAnsi="Times New Roman" w:cs="Times New Roman"/>
                      <w:color w:val="auto"/>
                      <w:sz w:val="18"/>
                      <w:szCs w:val="18"/>
                      <w:highlight w:val="none"/>
                      <w:lang w:val="en-US" w:eastAsia="zh-CN"/>
                    </w:rPr>
                    <w:t>40</w:t>
                  </w:r>
                  <w:r>
                    <w:rPr>
                      <w:rFonts w:hint="default" w:ascii="Times New Roman" w:hAnsi="Times New Roman" w:cs="Times New Roman"/>
                      <w:color w:val="auto"/>
                      <w:sz w:val="18"/>
                      <w:szCs w:val="18"/>
                      <w:highlight w:val="none"/>
                    </w:rPr>
                    <w:t>kW；N=</w:t>
                  </w:r>
                  <w:r>
                    <w:rPr>
                      <w:rFonts w:hint="default" w:ascii="Times New Roman" w:hAnsi="Times New Roman" w:cs="Times New Roman"/>
                      <w:color w:val="auto"/>
                      <w:sz w:val="18"/>
                      <w:szCs w:val="18"/>
                      <w:highlight w:val="none"/>
                      <w:lang w:val="en-US" w:eastAsia="zh-CN"/>
                    </w:rPr>
                    <w:t>14</w:t>
                  </w:r>
                  <w:r>
                    <w:rPr>
                      <w:rFonts w:hint="default" w:ascii="Times New Roman" w:hAnsi="Times New Roman" w:cs="Times New Roman"/>
                      <w:color w:val="auto"/>
                      <w:sz w:val="18"/>
                      <w:szCs w:val="18"/>
                      <w:highlight w:val="none"/>
                    </w:rPr>
                    <w:t>kW</w:t>
                  </w:r>
                </w:p>
              </w:tc>
              <w:tc>
                <w:tcPr>
                  <w:tcW w:w="79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rPr>
                    <w:t>台</w:t>
                  </w:r>
                </w:p>
              </w:tc>
              <w:tc>
                <w:tcPr>
                  <w:tcW w:w="850"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w:t>
                  </w:r>
                </w:p>
              </w:tc>
              <w:tc>
                <w:tcPr>
                  <w:tcW w:w="1114"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19</w:t>
                  </w:r>
                </w:p>
              </w:tc>
              <w:tc>
                <w:tcPr>
                  <w:tcW w:w="188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总线接线箱</w:t>
                  </w:r>
                </w:p>
              </w:tc>
              <w:tc>
                <w:tcPr>
                  <w:tcW w:w="2433"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铁制过塑，壁挂式、IP68,</w:t>
                  </w:r>
                </w:p>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宽×深×高：540×200×400mm</w:t>
                  </w:r>
                </w:p>
              </w:tc>
              <w:tc>
                <w:tcPr>
                  <w:tcW w:w="79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个</w:t>
                  </w:r>
                </w:p>
              </w:tc>
              <w:tc>
                <w:tcPr>
                  <w:tcW w:w="850"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w:t>
                  </w:r>
                </w:p>
              </w:tc>
              <w:tc>
                <w:tcPr>
                  <w:tcW w:w="1114"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20</w:t>
                  </w:r>
                </w:p>
              </w:tc>
              <w:tc>
                <w:tcPr>
                  <w:tcW w:w="188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报警信号浪涌保护器</w:t>
                  </w:r>
                </w:p>
              </w:tc>
              <w:tc>
                <w:tcPr>
                  <w:tcW w:w="2433"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rPr>
                    <w:t>额定工作电压：DC24V，额定放电电流In（8/20）μs：3kA，最大放电电流Imax（8/20）μs：5kA</w:t>
                  </w:r>
                </w:p>
              </w:tc>
              <w:tc>
                <w:tcPr>
                  <w:tcW w:w="79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rPr>
                    <w:t>个</w:t>
                  </w:r>
                </w:p>
              </w:tc>
              <w:tc>
                <w:tcPr>
                  <w:tcW w:w="850"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w:t>
                  </w:r>
                </w:p>
              </w:tc>
              <w:tc>
                <w:tcPr>
                  <w:tcW w:w="1114"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21</w:t>
                  </w:r>
                </w:p>
              </w:tc>
              <w:tc>
                <w:tcPr>
                  <w:tcW w:w="188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联动电源浪涌保护器</w:t>
                  </w:r>
                </w:p>
              </w:tc>
              <w:tc>
                <w:tcPr>
                  <w:tcW w:w="2433"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rPr>
                    <w:t>额定工作电压：DC24V，额定放电电流In（8/20）μs：5kA，最大放电电流Imax（8/20）μs：10kA</w:t>
                  </w:r>
                </w:p>
              </w:tc>
              <w:tc>
                <w:tcPr>
                  <w:tcW w:w="79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rPr>
                    <w:t>个</w:t>
                  </w:r>
                </w:p>
              </w:tc>
              <w:tc>
                <w:tcPr>
                  <w:tcW w:w="850"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w:t>
                  </w:r>
                </w:p>
              </w:tc>
              <w:tc>
                <w:tcPr>
                  <w:tcW w:w="1114"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22</w:t>
                  </w:r>
                </w:p>
              </w:tc>
              <w:tc>
                <w:tcPr>
                  <w:tcW w:w="188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消防专用电话信号浪涌保护器</w:t>
                  </w:r>
                </w:p>
              </w:tc>
              <w:tc>
                <w:tcPr>
                  <w:tcW w:w="2433"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rPr>
                    <w:t>额定工作电压：DC24V，额定放电电流In（8/20）μs：5kA，最大放电电流Imax（8/20）μs：11kA</w:t>
                  </w:r>
                </w:p>
              </w:tc>
              <w:tc>
                <w:tcPr>
                  <w:tcW w:w="79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rPr>
                    <w:t>个</w:t>
                  </w:r>
                </w:p>
              </w:tc>
              <w:tc>
                <w:tcPr>
                  <w:tcW w:w="850"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w:t>
                  </w:r>
                </w:p>
              </w:tc>
              <w:tc>
                <w:tcPr>
                  <w:tcW w:w="1114"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23</w:t>
                  </w:r>
                </w:p>
              </w:tc>
              <w:tc>
                <w:tcPr>
                  <w:tcW w:w="188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短路隔离器</w:t>
                  </w:r>
                </w:p>
              </w:tc>
              <w:tc>
                <w:tcPr>
                  <w:tcW w:w="2433"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w:t>
                  </w:r>
                </w:p>
              </w:tc>
              <w:tc>
                <w:tcPr>
                  <w:tcW w:w="79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rPr>
                    <w:t>个</w:t>
                  </w:r>
                </w:p>
              </w:tc>
              <w:tc>
                <w:tcPr>
                  <w:tcW w:w="850"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c>
                <w:tcPr>
                  <w:tcW w:w="1114"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24</w:t>
                  </w:r>
                </w:p>
              </w:tc>
              <w:tc>
                <w:tcPr>
                  <w:tcW w:w="188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单输入/单输出模块</w:t>
                  </w:r>
                </w:p>
              </w:tc>
              <w:tc>
                <w:tcPr>
                  <w:tcW w:w="2433"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w:t>
                  </w:r>
                </w:p>
              </w:tc>
              <w:tc>
                <w:tcPr>
                  <w:tcW w:w="79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rPr>
                    <w:t>个</w:t>
                  </w:r>
                </w:p>
              </w:tc>
              <w:tc>
                <w:tcPr>
                  <w:tcW w:w="850"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w:t>
                  </w:r>
                </w:p>
              </w:tc>
              <w:tc>
                <w:tcPr>
                  <w:tcW w:w="1114"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25</w:t>
                  </w:r>
                </w:p>
              </w:tc>
              <w:tc>
                <w:tcPr>
                  <w:tcW w:w="188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点型感烟火灾探测器</w:t>
                  </w:r>
                </w:p>
              </w:tc>
              <w:tc>
                <w:tcPr>
                  <w:tcW w:w="2433"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rPr>
                    <w:t>编码型，含定位底座</w:t>
                  </w:r>
                </w:p>
              </w:tc>
              <w:tc>
                <w:tcPr>
                  <w:tcW w:w="79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rPr>
                    <w:t>套</w:t>
                  </w:r>
                </w:p>
              </w:tc>
              <w:tc>
                <w:tcPr>
                  <w:tcW w:w="850"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8</w:t>
                  </w:r>
                </w:p>
              </w:tc>
              <w:tc>
                <w:tcPr>
                  <w:tcW w:w="1114"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26</w:t>
                  </w:r>
                </w:p>
              </w:tc>
              <w:tc>
                <w:tcPr>
                  <w:tcW w:w="188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手动火灾报警按钮</w:t>
                  </w:r>
                </w:p>
              </w:tc>
              <w:tc>
                <w:tcPr>
                  <w:tcW w:w="2433"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rPr>
                    <w:t>编码型，含定位底座</w:t>
                  </w:r>
                </w:p>
              </w:tc>
              <w:tc>
                <w:tcPr>
                  <w:tcW w:w="79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rPr>
                    <w:t>套</w:t>
                  </w:r>
                </w:p>
              </w:tc>
              <w:tc>
                <w:tcPr>
                  <w:tcW w:w="850"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w:t>
                  </w:r>
                </w:p>
              </w:tc>
              <w:tc>
                <w:tcPr>
                  <w:tcW w:w="1114"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27</w:t>
                  </w:r>
                </w:p>
              </w:tc>
              <w:tc>
                <w:tcPr>
                  <w:tcW w:w="188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火灾声/光警报器</w:t>
                  </w:r>
                </w:p>
              </w:tc>
              <w:tc>
                <w:tcPr>
                  <w:tcW w:w="2433"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rPr>
                    <w:t>编码型</w:t>
                  </w:r>
                </w:p>
              </w:tc>
              <w:tc>
                <w:tcPr>
                  <w:tcW w:w="79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个</w:t>
                  </w:r>
                </w:p>
              </w:tc>
              <w:tc>
                <w:tcPr>
                  <w:tcW w:w="850"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w:t>
                  </w:r>
                </w:p>
              </w:tc>
              <w:tc>
                <w:tcPr>
                  <w:tcW w:w="1114"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28</w:t>
                  </w:r>
                </w:p>
              </w:tc>
              <w:tc>
                <w:tcPr>
                  <w:tcW w:w="188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固定式消防电话分机</w:t>
                  </w:r>
                </w:p>
              </w:tc>
              <w:tc>
                <w:tcPr>
                  <w:tcW w:w="2433"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rPr>
                    <w:t>壁挂式，总线型，与现有消防控制室消防电话总机配套</w:t>
                  </w:r>
                </w:p>
              </w:tc>
              <w:tc>
                <w:tcPr>
                  <w:tcW w:w="79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部</w:t>
                  </w:r>
                </w:p>
              </w:tc>
              <w:tc>
                <w:tcPr>
                  <w:tcW w:w="850"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w:t>
                  </w:r>
                </w:p>
              </w:tc>
              <w:tc>
                <w:tcPr>
                  <w:tcW w:w="1114"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29</w:t>
                  </w:r>
                </w:p>
              </w:tc>
              <w:tc>
                <w:tcPr>
                  <w:tcW w:w="188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电子编码器</w:t>
                  </w:r>
                </w:p>
              </w:tc>
              <w:tc>
                <w:tcPr>
                  <w:tcW w:w="2433"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rPr>
                    <w:t>与火灾报警控制器配套</w:t>
                  </w:r>
                </w:p>
              </w:tc>
              <w:tc>
                <w:tcPr>
                  <w:tcW w:w="792"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个</w:t>
                  </w:r>
                </w:p>
              </w:tc>
              <w:tc>
                <w:tcPr>
                  <w:tcW w:w="850" w:type="dxa"/>
                  <w:tcBorders>
                    <w:tl2br w:val="nil"/>
                    <w:tr2bl w:val="nil"/>
                  </w:tcBorders>
                  <w:shd w:val="clear" w:color="auto" w:fill="auto"/>
                  <w:vAlign w:val="center"/>
                </w:tcPr>
                <w:p>
                  <w:pPr>
                    <w:pStyle w:val="34"/>
                    <w:bidi w:val="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c>
                <w:tcPr>
                  <w:tcW w:w="1114"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30</w:t>
                  </w:r>
                </w:p>
              </w:tc>
              <w:tc>
                <w:tcPr>
                  <w:tcW w:w="1882" w:type="dxa"/>
                  <w:tcBorders>
                    <w:tl2br w:val="nil"/>
                    <w:tr2bl w:val="nil"/>
                  </w:tcBorders>
                  <w:shd w:val="clear" w:color="auto" w:fill="auto"/>
                  <w:vAlign w:val="center"/>
                </w:tcPr>
                <w:p>
                  <w:pPr>
                    <w:pStyle w:val="34"/>
                    <w:bidi w:val="0"/>
                    <w:rPr>
                      <w:rFonts w:hint="default"/>
                      <w:color w:val="auto"/>
                      <w:highlight w:val="none"/>
                      <w:lang w:val="en-US" w:eastAsia="zh-CN"/>
                    </w:rPr>
                  </w:pPr>
                  <w:r>
                    <w:rPr>
                      <w:rFonts w:hint="eastAsia"/>
                      <w:color w:val="auto"/>
                      <w:highlight w:val="none"/>
                      <w:lang w:val="en-US" w:eastAsia="zh-CN"/>
                    </w:rPr>
                    <w:t>一体化热电阻温度变送器</w:t>
                  </w:r>
                </w:p>
              </w:tc>
              <w:tc>
                <w:tcPr>
                  <w:tcW w:w="2433" w:type="dxa"/>
                  <w:tcBorders>
                    <w:tl2br w:val="nil"/>
                    <w:tr2bl w:val="nil"/>
                  </w:tcBorders>
                  <w:shd w:val="clear" w:color="auto" w:fill="auto"/>
                  <w:vAlign w:val="center"/>
                </w:tcPr>
                <w:p>
                  <w:pPr>
                    <w:pStyle w:val="34"/>
                    <w:bidi w:val="0"/>
                    <w:rPr>
                      <w:rFonts w:hint="default"/>
                      <w:color w:val="auto"/>
                      <w:highlight w:val="none"/>
                      <w:lang w:val="en-US" w:eastAsia="zh-CN"/>
                    </w:rPr>
                  </w:pPr>
                  <w:r>
                    <w:rPr>
                      <w:rFonts w:hint="eastAsia"/>
                      <w:color w:val="auto"/>
                      <w:highlight w:val="none"/>
                    </w:rPr>
                    <w:t>Pt100，两线制，4~20mA</w:t>
                  </w:r>
                </w:p>
              </w:tc>
              <w:tc>
                <w:tcPr>
                  <w:tcW w:w="792" w:type="dxa"/>
                  <w:tcBorders>
                    <w:tl2br w:val="nil"/>
                    <w:tr2bl w:val="nil"/>
                  </w:tcBorders>
                  <w:shd w:val="clear" w:color="auto" w:fill="auto"/>
                  <w:vAlign w:val="center"/>
                </w:tcPr>
                <w:p>
                  <w:pPr>
                    <w:pStyle w:val="34"/>
                    <w:bidi w:val="0"/>
                    <w:rPr>
                      <w:rFonts w:hint="default"/>
                      <w:color w:val="auto"/>
                      <w:highlight w:val="none"/>
                      <w:lang w:val="en-US" w:eastAsia="zh-CN"/>
                    </w:rPr>
                  </w:pPr>
                  <w:r>
                    <w:rPr>
                      <w:rFonts w:hint="eastAsia"/>
                      <w:color w:val="auto"/>
                      <w:highlight w:val="none"/>
                      <w:lang w:val="en-US" w:eastAsia="zh-CN"/>
                    </w:rPr>
                    <w:t>个</w:t>
                  </w:r>
                </w:p>
              </w:tc>
              <w:tc>
                <w:tcPr>
                  <w:tcW w:w="850" w:type="dxa"/>
                  <w:tcBorders>
                    <w:tl2br w:val="nil"/>
                    <w:tr2bl w:val="nil"/>
                  </w:tcBorders>
                  <w:shd w:val="clear" w:color="auto" w:fill="auto"/>
                  <w:vAlign w:val="center"/>
                </w:tcPr>
                <w:p>
                  <w:pPr>
                    <w:pStyle w:val="34"/>
                    <w:bidi w:val="0"/>
                    <w:rPr>
                      <w:rFonts w:hint="default"/>
                      <w:color w:val="auto"/>
                      <w:highlight w:val="none"/>
                      <w:lang w:val="en-US" w:eastAsia="zh-CN"/>
                    </w:rPr>
                  </w:pPr>
                  <w:r>
                    <w:rPr>
                      <w:rFonts w:hint="eastAsia"/>
                      <w:color w:val="auto"/>
                      <w:highlight w:val="none"/>
                      <w:lang w:val="en-US" w:eastAsia="zh-CN"/>
                    </w:rPr>
                    <w:t>1</w:t>
                  </w:r>
                </w:p>
              </w:tc>
              <w:tc>
                <w:tcPr>
                  <w:tcW w:w="1114"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31</w:t>
                  </w:r>
                </w:p>
              </w:tc>
              <w:tc>
                <w:tcPr>
                  <w:tcW w:w="1882" w:type="dxa"/>
                  <w:tcBorders>
                    <w:tl2br w:val="nil"/>
                    <w:tr2bl w:val="nil"/>
                  </w:tcBorders>
                  <w:shd w:val="clear" w:color="auto" w:fill="auto"/>
                  <w:vAlign w:val="center"/>
                </w:tcPr>
                <w:p>
                  <w:pPr>
                    <w:pStyle w:val="34"/>
                    <w:bidi w:val="0"/>
                    <w:rPr>
                      <w:rFonts w:hint="default"/>
                      <w:color w:val="auto"/>
                      <w:highlight w:val="none"/>
                      <w:lang w:val="en-US" w:eastAsia="zh-CN"/>
                    </w:rPr>
                  </w:pPr>
                  <w:r>
                    <w:rPr>
                      <w:rFonts w:hint="eastAsia"/>
                      <w:color w:val="auto"/>
                      <w:highlight w:val="none"/>
                      <w:lang w:val="en-US" w:eastAsia="zh-CN"/>
                    </w:rPr>
                    <w:t>控制系统，DCS系统</w:t>
                  </w:r>
                </w:p>
              </w:tc>
              <w:tc>
                <w:tcPr>
                  <w:tcW w:w="2433" w:type="dxa"/>
                  <w:tcBorders>
                    <w:tl2br w:val="nil"/>
                    <w:tr2bl w:val="nil"/>
                  </w:tcBorders>
                  <w:shd w:val="clear" w:color="auto" w:fill="auto"/>
                  <w:vAlign w:val="center"/>
                </w:tcPr>
                <w:p>
                  <w:pPr>
                    <w:pStyle w:val="34"/>
                    <w:bidi w:val="0"/>
                    <w:rPr>
                      <w:rFonts w:hint="default"/>
                      <w:color w:val="auto"/>
                      <w:highlight w:val="none"/>
                      <w:lang w:val="en-US" w:eastAsia="zh-CN"/>
                    </w:rPr>
                  </w:pPr>
                  <w:r>
                    <w:rPr>
                      <w:rFonts w:hint="eastAsia"/>
                      <w:color w:val="auto"/>
                      <w:highlight w:val="none"/>
                      <w:lang w:val="en-US" w:eastAsia="zh-CN"/>
                    </w:rPr>
                    <w:t>/</w:t>
                  </w:r>
                </w:p>
              </w:tc>
              <w:tc>
                <w:tcPr>
                  <w:tcW w:w="792" w:type="dxa"/>
                  <w:tcBorders>
                    <w:tl2br w:val="nil"/>
                    <w:tr2bl w:val="nil"/>
                  </w:tcBorders>
                  <w:shd w:val="clear" w:color="auto" w:fill="auto"/>
                  <w:vAlign w:val="center"/>
                </w:tcPr>
                <w:p>
                  <w:pPr>
                    <w:pStyle w:val="34"/>
                    <w:bidi w:val="0"/>
                    <w:rPr>
                      <w:rFonts w:hint="default"/>
                      <w:color w:val="auto"/>
                      <w:highlight w:val="none"/>
                      <w:lang w:val="en-US" w:eastAsia="zh-CN"/>
                    </w:rPr>
                  </w:pPr>
                  <w:r>
                    <w:rPr>
                      <w:rFonts w:hint="eastAsia"/>
                      <w:color w:val="auto"/>
                      <w:highlight w:val="none"/>
                      <w:lang w:val="en-US" w:eastAsia="zh-CN"/>
                    </w:rPr>
                    <w:t>套</w:t>
                  </w:r>
                </w:p>
              </w:tc>
              <w:tc>
                <w:tcPr>
                  <w:tcW w:w="850" w:type="dxa"/>
                  <w:tcBorders>
                    <w:tl2br w:val="nil"/>
                    <w:tr2bl w:val="nil"/>
                  </w:tcBorders>
                  <w:shd w:val="clear" w:color="auto" w:fill="auto"/>
                  <w:vAlign w:val="center"/>
                </w:tcPr>
                <w:p>
                  <w:pPr>
                    <w:pStyle w:val="34"/>
                    <w:bidi w:val="0"/>
                    <w:rPr>
                      <w:rFonts w:hint="default"/>
                      <w:color w:val="auto"/>
                      <w:highlight w:val="none"/>
                      <w:lang w:val="en-US" w:eastAsia="zh-CN"/>
                    </w:rPr>
                  </w:pPr>
                  <w:r>
                    <w:rPr>
                      <w:rFonts w:hint="eastAsia"/>
                      <w:color w:val="auto"/>
                      <w:highlight w:val="none"/>
                      <w:lang w:val="en-US" w:eastAsia="zh-CN"/>
                    </w:rPr>
                    <w:t>1</w:t>
                  </w:r>
                </w:p>
              </w:tc>
              <w:tc>
                <w:tcPr>
                  <w:tcW w:w="1114"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新增</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color w:val="auto"/>
                <w:highlight w:val="none"/>
                <w:lang w:val="en-US" w:eastAsia="zh-CN"/>
              </w:rPr>
            </w:pPr>
            <w:r>
              <w:rPr>
                <w:rFonts w:hint="eastAsia" w:ascii="黑体" w:hAnsi="黑体" w:eastAsia="黑体" w:cs="黑体"/>
                <w:color w:val="auto"/>
                <w:highlight w:val="none"/>
                <w:lang w:val="en-US" w:eastAsia="zh-CN"/>
              </w:rPr>
              <w:t>（九）主要原辅材料</w:t>
            </w:r>
          </w:p>
          <w:p>
            <w:pPr>
              <w:bidi w:val="0"/>
              <w:rPr>
                <w:rFonts w:hint="default" w:eastAsia="宋体"/>
                <w:color w:val="auto"/>
                <w:highlight w:val="none"/>
                <w:lang w:val="en-US" w:eastAsia="zh-CN"/>
              </w:rPr>
            </w:pPr>
            <w:r>
              <w:rPr>
                <w:color w:val="auto"/>
                <w:highlight w:val="none"/>
              </w:rPr>
              <w:t>本项目主要原、辅材料</w:t>
            </w:r>
            <w:r>
              <w:rPr>
                <w:rFonts w:hint="eastAsia"/>
                <w:color w:val="auto"/>
                <w:highlight w:val="none"/>
                <w:lang w:val="en-US" w:eastAsia="zh-CN"/>
              </w:rPr>
              <w:t>消耗量详见下表。</w:t>
            </w:r>
          </w:p>
          <w:p>
            <w:pPr>
              <w:pStyle w:val="36"/>
              <w:bidi w:val="0"/>
              <w:rPr>
                <w:rFonts w:hint="default"/>
                <w:color w:val="auto"/>
                <w:highlight w:val="none"/>
                <w:lang w:val="en-US" w:eastAsia="zh-CN"/>
              </w:rPr>
            </w:pPr>
            <w:r>
              <w:rPr>
                <w:rFonts w:hint="default"/>
                <w:color w:val="auto"/>
                <w:highlight w:val="none"/>
                <w:lang w:val="en-US" w:eastAsia="zh-CN"/>
              </w:rPr>
              <w:t>表2-</w:t>
            </w:r>
            <w:r>
              <w:rPr>
                <w:rFonts w:hint="eastAsia"/>
                <w:color w:val="auto"/>
                <w:highlight w:val="none"/>
                <w:lang w:val="en-US" w:eastAsia="zh-CN"/>
              </w:rPr>
              <w:t>6</w:t>
            </w:r>
            <w:r>
              <w:rPr>
                <w:rFonts w:hint="default"/>
                <w:color w:val="auto"/>
                <w:highlight w:val="none"/>
                <w:lang w:val="en-US" w:eastAsia="zh-CN"/>
              </w:rPr>
              <w:t xml:space="preserve"> </w:t>
            </w:r>
            <w:r>
              <w:rPr>
                <w:rFonts w:hint="eastAsia"/>
                <w:color w:val="auto"/>
                <w:highlight w:val="none"/>
                <w:lang w:val="en-US" w:eastAsia="zh-CN"/>
              </w:rPr>
              <w:t xml:space="preserve"> 项目改建前后</w:t>
            </w:r>
            <w:r>
              <w:rPr>
                <w:rFonts w:hint="default"/>
                <w:color w:val="auto"/>
                <w:highlight w:val="none"/>
                <w:lang w:val="en-US" w:eastAsia="zh-CN"/>
              </w:rPr>
              <w:t>原辅料消耗情况一览表</w:t>
            </w:r>
          </w:p>
          <w:tbl>
            <w:tblPr>
              <w:tblStyle w:val="24"/>
              <w:tblW w:w="779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5"/>
              <w:gridCol w:w="842"/>
              <w:gridCol w:w="1281"/>
              <w:gridCol w:w="1575"/>
              <w:gridCol w:w="1575"/>
              <w:gridCol w:w="888"/>
              <w:gridCol w:w="10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595" w:type="dxa"/>
                  <w:vMerge w:val="restart"/>
                  <w:tcBorders>
                    <w:tl2br w:val="nil"/>
                    <w:tr2bl w:val="nil"/>
                  </w:tcBorders>
                  <w:shd w:val="clear" w:color="auto" w:fill="auto"/>
                  <w:vAlign w:val="center"/>
                </w:tcPr>
                <w:p>
                  <w:pPr>
                    <w:pStyle w:val="38"/>
                    <w:bidi w:val="0"/>
                    <w:jc w:val="center"/>
                    <w:rPr>
                      <w:rFonts w:hint="default"/>
                      <w:color w:val="auto"/>
                      <w:highlight w:val="none"/>
                      <w:lang w:val="en-US" w:eastAsia="zh-CN"/>
                    </w:rPr>
                  </w:pPr>
                  <w:r>
                    <w:rPr>
                      <w:color w:val="auto"/>
                      <w:highlight w:val="none"/>
                    </w:rPr>
                    <w:t>序号</w:t>
                  </w:r>
                </w:p>
              </w:tc>
              <w:tc>
                <w:tcPr>
                  <w:tcW w:w="842" w:type="dxa"/>
                  <w:vMerge w:val="restart"/>
                  <w:tcBorders>
                    <w:tl2br w:val="nil"/>
                    <w:tr2bl w:val="nil"/>
                  </w:tcBorders>
                  <w:shd w:val="clear" w:color="auto" w:fill="auto"/>
                  <w:vAlign w:val="center"/>
                </w:tcPr>
                <w:p>
                  <w:pPr>
                    <w:pStyle w:val="38"/>
                    <w:bidi w:val="0"/>
                    <w:jc w:val="center"/>
                    <w:rPr>
                      <w:rFonts w:hint="default"/>
                      <w:color w:val="auto"/>
                      <w:highlight w:val="none"/>
                      <w:lang w:val="en-US" w:eastAsia="zh-CN"/>
                    </w:rPr>
                  </w:pPr>
                  <w:r>
                    <w:rPr>
                      <w:rFonts w:hint="eastAsia"/>
                      <w:color w:val="auto"/>
                      <w:highlight w:val="none"/>
                      <w:lang w:val="en-US" w:eastAsia="zh-CN"/>
                    </w:rPr>
                    <w:t>类别</w:t>
                  </w:r>
                </w:p>
              </w:tc>
              <w:tc>
                <w:tcPr>
                  <w:tcW w:w="1281" w:type="dxa"/>
                  <w:vMerge w:val="restart"/>
                  <w:tcBorders>
                    <w:tl2br w:val="nil"/>
                    <w:tr2bl w:val="nil"/>
                  </w:tcBorders>
                  <w:shd w:val="clear" w:color="auto" w:fill="auto"/>
                  <w:vAlign w:val="center"/>
                </w:tcPr>
                <w:p>
                  <w:pPr>
                    <w:pStyle w:val="38"/>
                    <w:bidi w:val="0"/>
                    <w:ind w:firstLine="0" w:firstLineChars="0"/>
                    <w:jc w:val="center"/>
                    <w:rPr>
                      <w:rFonts w:hint="eastAsia" w:ascii="Times New Roman" w:hAnsi="Times New Roman" w:eastAsia="宋体" w:cstheme="minorBidi"/>
                      <w:color w:val="auto"/>
                      <w:kern w:val="0"/>
                      <w:sz w:val="18"/>
                      <w:szCs w:val="18"/>
                      <w:highlight w:val="none"/>
                      <w:lang w:val="en-US" w:eastAsia="zh-CN" w:bidi="ar-SA"/>
                    </w:rPr>
                  </w:pPr>
                  <w:r>
                    <w:rPr>
                      <w:color w:val="auto"/>
                      <w:highlight w:val="none"/>
                    </w:rPr>
                    <w:t>名称</w:t>
                  </w:r>
                </w:p>
              </w:tc>
              <w:tc>
                <w:tcPr>
                  <w:tcW w:w="3150" w:type="dxa"/>
                  <w:gridSpan w:val="2"/>
                  <w:tcBorders>
                    <w:tl2br w:val="nil"/>
                    <w:tr2bl w:val="nil"/>
                  </w:tcBorders>
                  <w:shd w:val="clear" w:color="auto" w:fill="auto"/>
                  <w:vAlign w:val="center"/>
                </w:tcPr>
                <w:p>
                  <w:pPr>
                    <w:pStyle w:val="38"/>
                    <w:bidi w:val="0"/>
                    <w:jc w:val="center"/>
                    <w:rPr>
                      <w:color w:val="auto"/>
                      <w:highlight w:val="none"/>
                    </w:rPr>
                  </w:pPr>
                  <w:r>
                    <w:rPr>
                      <w:rFonts w:hint="eastAsia"/>
                      <w:color w:val="auto"/>
                      <w:highlight w:val="none"/>
                      <w:lang w:val="en-US" w:eastAsia="zh-CN"/>
                    </w:rPr>
                    <w:t>消</w:t>
                  </w:r>
                  <w:r>
                    <w:rPr>
                      <w:color w:val="auto"/>
                      <w:highlight w:val="none"/>
                    </w:rPr>
                    <w:t>耗量</w:t>
                  </w:r>
                </w:p>
              </w:tc>
              <w:tc>
                <w:tcPr>
                  <w:tcW w:w="888" w:type="dxa"/>
                  <w:vMerge w:val="restart"/>
                  <w:tcBorders>
                    <w:tl2br w:val="nil"/>
                    <w:tr2bl w:val="nil"/>
                  </w:tcBorders>
                  <w:shd w:val="clear" w:color="auto" w:fill="auto"/>
                  <w:vAlign w:val="center"/>
                </w:tcPr>
                <w:p>
                  <w:pPr>
                    <w:pStyle w:val="38"/>
                    <w:bidi w:val="0"/>
                    <w:jc w:val="center"/>
                    <w:rPr>
                      <w:rFonts w:hint="default"/>
                      <w:color w:val="auto"/>
                      <w:highlight w:val="none"/>
                      <w:lang w:val="en-US" w:eastAsia="zh-CN"/>
                    </w:rPr>
                  </w:pPr>
                  <w:r>
                    <w:rPr>
                      <w:rFonts w:hint="eastAsia"/>
                      <w:color w:val="auto"/>
                      <w:highlight w:val="none"/>
                      <w:lang w:val="en-US" w:eastAsia="zh-CN"/>
                    </w:rPr>
                    <w:t>单位</w:t>
                  </w:r>
                </w:p>
              </w:tc>
              <w:tc>
                <w:tcPr>
                  <w:tcW w:w="1035" w:type="dxa"/>
                  <w:vMerge w:val="restart"/>
                  <w:tcBorders>
                    <w:tl2br w:val="nil"/>
                    <w:tr2bl w:val="nil"/>
                  </w:tcBorders>
                  <w:shd w:val="clear" w:color="auto" w:fill="auto"/>
                  <w:vAlign w:val="center"/>
                </w:tcPr>
                <w:p>
                  <w:pPr>
                    <w:pStyle w:val="38"/>
                    <w:bidi w:val="0"/>
                    <w:jc w:val="center"/>
                    <w:rPr>
                      <w:rFonts w:hint="eastAsia"/>
                      <w:color w:val="auto"/>
                      <w:highlight w:val="none"/>
                      <w:lang w:val="en-US" w:eastAsia="zh-CN"/>
                    </w:rPr>
                  </w:pPr>
                  <w:r>
                    <w:rPr>
                      <w:color w:val="auto"/>
                      <w:highlight w:val="none"/>
                    </w:rPr>
                    <w:t>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595" w:type="dxa"/>
                  <w:vMerge w:val="continue"/>
                  <w:tcBorders>
                    <w:tl2br w:val="nil"/>
                    <w:tr2bl w:val="nil"/>
                  </w:tcBorders>
                  <w:shd w:val="clear" w:color="auto" w:fill="auto"/>
                  <w:vAlign w:val="center"/>
                </w:tcPr>
                <w:p>
                  <w:pPr>
                    <w:pStyle w:val="38"/>
                    <w:bidi w:val="0"/>
                    <w:jc w:val="center"/>
                    <w:rPr>
                      <w:color w:val="auto"/>
                      <w:highlight w:val="none"/>
                    </w:rPr>
                  </w:pPr>
                </w:p>
              </w:tc>
              <w:tc>
                <w:tcPr>
                  <w:tcW w:w="842" w:type="dxa"/>
                  <w:vMerge w:val="continue"/>
                  <w:tcBorders>
                    <w:tl2br w:val="nil"/>
                    <w:tr2bl w:val="nil"/>
                  </w:tcBorders>
                  <w:shd w:val="clear" w:color="auto" w:fill="auto"/>
                  <w:vAlign w:val="center"/>
                </w:tcPr>
                <w:p>
                  <w:pPr>
                    <w:pStyle w:val="38"/>
                    <w:bidi w:val="0"/>
                    <w:jc w:val="center"/>
                    <w:rPr>
                      <w:color w:val="auto"/>
                      <w:highlight w:val="none"/>
                    </w:rPr>
                  </w:pPr>
                </w:p>
              </w:tc>
              <w:tc>
                <w:tcPr>
                  <w:tcW w:w="1281" w:type="dxa"/>
                  <w:vMerge w:val="continue"/>
                  <w:tcBorders>
                    <w:tl2br w:val="nil"/>
                    <w:tr2bl w:val="nil"/>
                  </w:tcBorders>
                  <w:shd w:val="clear" w:color="auto" w:fill="auto"/>
                  <w:vAlign w:val="center"/>
                </w:tcPr>
                <w:p>
                  <w:pPr>
                    <w:pStyle w:val="38"/>
                    <w:bidi w:val="0"/>
                    <w:jc w:val="center"/>
                    <w:rPr>
                      <w:color w:val="auto"/>
                      <w:highlight w:val="none"/>
                    </w:rPr>
                  </w:pPr>
                </w:p>
              </w:tc>
              <w:tc>
                <w:tcPr>
                  <w:tcW w:w="1575" w:type="dxa"/>
                  <w:tcBorders>
                    <w:tl2br w:val="nil"/>
                    <w:tr2bl w:val="nil"/>
                  </w:tcBorders>
                  <w:shd w:val="clear" w:color="auto" w:fill="auto"/>
                  <w:vAlign w:val="center"/>
                </w:tcPr>
                <w:p>
                  <w:pPr>
                    <w:pStyle w:val="38"/>
                    <w:bidi w:val="0"/>
                    <w:jc w:val="center"/>
                    <w:rPr>
                      <w:rFonts w:hint="eastAsia" w:eastAsia="宋体"/>
                      <w:color w:val="auto"/>
                      <w:highlight w:val="none"/>
                      <w:lang w:val="en-US" w:eastAsia="zh-CN"/>
                    </w:rPr>
                  </w:pPr>
                  <w:r>
                    <w:rPr>
                      <w:rFonts w:hint="eastAsia"/>
                      <w:color w:val="auto"/>
                      <w:highlight w:val="none"/>
                      <w:lang w:val="en-US" w:eastAsia="zh-CN"/>
                    </w:rPr>
                    <w:t>改建前</w:t>
                  </w:r>
                </w:p>
              </w:tc>
              <w:tc>
                <w:tcPr>
                  <w:tcW w:w="1575" w:type="dxa"/>
                  <w:tcBorders>
                    <w:tl2br w:val="nil"/>
                    <w:tr2bl w:val="nil"/>
                  </w:tcBorders>
                  <w:shd w:val="clear" w:color="auto" w:fill="auto"/>
                  <w:vAlign w:val="center"/>
                </w:tcPr>
                <w:p>
                  <w:pPr>
                    <w:pStyle w:val="38"/>
                    <w:bidi w:val="0"/>
                    <w:jc w:val="center"/>
                    <w:rPr>
                      <w:rFonts w:hint="eastAsia" w:eastAsia="宋体"/>
                      <w:color w:val="auto"/>
                      <w:highlight w:val="none"/>
                      <w:lang w:val="en-US" w:eastAsia="zh-CN"/>
                    </w:rPr>
                  </w:pPr>
                  <w:r>
                    <w:rPr>
                      <w:rFonts w:hint="eastAsia"/>
                      <w:color w:val="auto"/>
                      <w:highlight w:val="none"/>
                      <w:lang w:val="en-US" w:eastAsia="zh-CN"/>
                    </w:rPr>
                    <w:t>改建后</w:t>
                  </w:r>
                </w:p>
              </w:tc>
              <w:tc>
                <w:tcPr>
                  <w:tcW w:w="888" w:type="dxa"/>
                  <w:vMerge w:val="continue"/>
                  <w:tcBorders>
                    <w:tl2br w:val="nil"/>
                    <w:tr2bl w:val="nil"/>
                  </w:tcBorders>
                  <w:shd w:val="clear" w:color="auto" w:fill="auto"/>
                  <w:vAlign w:val="center"/>
                </w:tcPr>
                <w:p>
                  <w:pPr>
                    <w:pStyle w:val="38"/>
                    <w:bidi w:val="0"/>
                    <w:jc w:val="center"/>
                    <w:rPr>
                      <w:color w:val="auto"/>
                      <w:highlight w:val="none"/>
                    </w:rPr>
                  </w:pPr>
                </w:p>
              </w:tc>
              <w:tc>
                <w:tcPr>
                  <w:tcW w:w="1035" w:type="dxa"/>
                  <w:vMerge w:val="continue"/>
                  <w:tcBorders>
                    <w:tl2br w:val="nil"/>
                    <w:tr2bl w:val="nil"/>
                  </w:tcBorders>
                  <w:shd w:val="clear" w:color="auto" w:fill="auto"/>
                  <w:vAlign w:val="center"/>
                </w:tcPr>
                <w:p>
                  <w:pPr>
                    <w:pStyle w:val="38"/>
                    <w:bidi w:val="0"/>
                    <w:jc w:val="center"/>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tcBorders>
                    <w:tl2br w:val="nil"/>
                    <w:tr2bl w:val="nil"/>
                  </w:tcBorders>
                  <w:shd w:val="clear" w:color="auto" w:fill="auto"/>
                  <w:vAlign w:val="center"/>
                </w:tcPr>
                <w:p>
                  <w:pPr>
                    <w:pStyle w:val="38"/>
                    <w:bidi w:val="0"/>
                    <w:jc w:val="center"/>
                    <w:rPr>
                      <w:rFonts w:hint="eastAsia"/>
                      <w:color w:val="auto"/>
                      <w:highlight w:val="none"/>
                      <w:lang w:val="en-US" w:eastAsia="zh-CN"/>
                    </w:rPr>
                  </w:pPr>
                  <w:r>
                    <w:rPr>
                      <w:color w:val="auto"/>
                      <w:highlight w:val="none"/>
                    </w:rPr>
                    <w:t>1</w:t>
                  </w:r>
                </w:p>
              </w:tc>
              <w:tc>
                <w:tcPr>
                  <w:tcW w:w="842" w:type="dxa"/>
                  <w:tcBorders>
                    <w:tl2br w:val="nil"/>
                    <w:tr2bl w:val="nil"/>
                  </w:tcBorders>
                  <w:shd w:val="clear" w:color="auto" w:fill="auto"/>
                  <w:vAlign w:val="center"/>
                </w:tcPr>
                <w:p>
                  <w:pPr>
                    <w:pStyle w:val="38"/>
                    <w:bidi w:val="0"/>
                    <w:jc w:val="center"/>
                    <w:rPr>
                      <w:rFonts w:hint="default"/>
                      <w:color w:val="auto"/>
                      <w:highlight w:val="none"/>
                      <w:lang w:val="en-US" w:eastAsia="zh-CN"/>
                    </w:rPr>
                  </w:pPr>
                  <w:r>
                    <w:rPr>
                      <w:rFonts w:hint="eastAsia"/>
                      <w:color w:val="auto"/>
                      <w:highlight w:val="none"/>
                      <w:lang w:val="en-US" w:eastAsia="zh-CN"/>
                    </w:rPr>
                    <w:t>原料</w:t>
                  </w:r>
                </w:p>
              </w:tc>
              <w:tc>
                <w:tcPr>
                  <w:tcW w:w="1281" w:type="dxa"/>
                  <w:tcBorders>
                    <w:tl2br w:val="nil"/>
                    <w:tr2bl w:val="nil"/>
                  </w:tcBorders>
                  <w:shd w:val="clear" w:color="auto" w:fill="auto"/>
                  <w:vAlign w:val="center"/>
                </w:tcPr>
                <w:p>
                  <w:pPr>
                    <w:pStyle w:val="38"/>
                    <w:bidi w:val="0"/>
                    <w:ind w:firstLine="0" w:firstLineChars="0"/>
                    <w:jc w:val="center"/>
                    <w:rPr>
                      <w:rFonts w:hint="eastAsia" w:ascii="Times New Roman" w:hAnsi="Times New Roman" w:eastAsia="宋体" w:cstheme="minorBidi"/>
                      <w:color w:val="auto"/>
                      <w:kern w:val="0"/>
                      <w:sz w:val="18"/>
                      <w:szCs w:val="18"/>
                      <w:highlight w:val="none"/>
                      <w:lang w:val="en-US" w:eastAsia="zh-CN" w:bidi="ar-SA"/>
                    </w:rPr>
                  </w:pPr>
                  <w:r>
                    <w:rPr>
                      <w:rFonts w:hint="eastAsia"/>
                      <w:color w:val="auto"/>
                      <w:highlight w:val="none"/>
                      <w:lang w:val="en-US" w:eastAsia="zh-CN"/>
                    </w:rPr>
                    <w:t>空气</w:t>
                  </w:r>
                </w:p>
              </w:tc>
              <w:tc>
                <w:tcPr>
                  <w:tcW w:w="1575" w:type="dxa"/>
                  <w:tcBorders>
                    <w:tl2br w:val="nil"/>
                    <w:tr2bl w:val="nil"/>
                  </w:tcBorders>
                  <w:shd w:val="clear" w:color="auto" w:fill="auto"/>
                  <w:vAlign w:val="center"/>
                </w:tcPr>
                <w:p>
                  <w:pPr>
                    <w:pStyle w:val="38"/>
                    <w:bidi w:val="0"/>
                    <w:jc w:val="center"/>
                    <w:rPr>
                      <w:rFonts w:hint="default"/>
                      <w:color w:val="auto"/>
                      <w:highlight w:val="none"/>
                      <w:lang w:val="en-US" w:eastAsia="zh-CN"/>
                    </w:rPr>
                  </w:pPr>
                  <w:r>
                    <w:rPr>
                      <w:rFonts w:hint="eastAsia"/>
                      <w:color w:val="auto"/>
                      <w:highlight w:val="none"/>
                      <w:lang w:val="en-US" w:eastAsia="zh-CN"/>
                    </w:rPr>
                    <w:t>连续供应</w:t>
                  </w:r>
                </w:p>
              </w:tc>
              <w:tc>
                <w:tcPr>
                  <w:tcW w:w="1575" w:type="dxa"/>
                  <w:tcBorders>
                    <w:tl2br w:val="nil"/>
                    <w:tr2bl w:val="nil"/>
                  </w:tcBorders>
                  <w:shd w:val="clear" w:color="auto" w:fill="auto"/>
                  <w:vAlign w:val="center"/>
                </w:tcPr>
                <w:p>
                  <w:pPr>
                    <w:pStyle w:val="38"/>
                    <w:bidi w:val="0"/>
                    <w:ind w:firstLine="0" w:firstLineChars="0"/>
                    <w:jc w:val="center"/>
                    <w:rPr>
                      <w:rFonts w:hint="eastAsia" w:ascii="Times New Roman" w:hAnsi="Times New Roman" w:eastAsia="宋体" w:cstheme="minorBidi"/>
                      <w:color w:val="auto"/>
                      <w:kern w:val="0"/>
                      <w:sz w:val="18"/>
                      <w:szCs w:val="18"/>
                      <w:highlight w:val="none"/>
                      <w:lang w:val="en-US" w:eastAsia="zh-CN" w:bidi="ar-SA"/>
                    </w:rPr>
                  </w:pPr>
                  <w:r>
                    <w:rPr>
                      <w:rFonts w:hint="eastAsia"/>
                      <w:color w:val="auto"/>
                      <w:highlight w:val="none"/>
                      <w:lang w:val="en-US" w:eastAsia="zh-CN"/>
                    </w:rPr>
                    <w:t>连续供应</w:t>
                  </w:r>
                </w:p>
              </w:tc>
              <w:tc>
                <w:tcPr>
                  <w:tcW w:w="888" w:type="dxa"/>
                  <w:tcBorders>
                    <w:tl2br w:val="nil"/>
                    <w:tr2bl w:val="nil"/>
                  </w:tcBorders>
                  <w:shd w:val="clear" w:color="auto" w:fill="auto"/>
                  <w:vAlign w:val="center"/>
                </w:tcPr>
                <w:p>
                  <w:pPr>
                    <w:pStyle w:val="38"/>
                    <w:bidi w:val="0"/>
                    <w:jc w:val="center"/>
                    <w:rPr>
                      <w:rFonts w:hint="eastAsia"/>
                      <w:color w:val="auto"/>
                      <w:highlight w:val="none"/>
                      <w:lang w:val="en-US" w:eastAsia="zh-CN"/>
                    </w:rPr>
                  </w:pPr>
                  <w:r>
                    <w:rPr>
                      <w:rFonts w:hint="eastAsia"/>
                      <w:color w:val="auto"/>
                      <w:highlight w:val="none"/>
                      <w:lang w:val="en-US" w:eastAsia="zh-CN"/>
                    </w:rPr>
                    <w:t>Nm</w:t>
                  </w:r>
                  <w:r>
                    <w:rPr>
                      <w:rFonts w:hint="eastAsia"/>
                      <w:color w:val="auto"/>
                      <w:highlight w:val="none"/>
                      <w:vertAlign w:val="superscript"/>
                      <w:lang w:val="en-US" w:eastAsia="zh-CN"/>
                    </w:rPr>
                    <w:t>3</w:t>
                  </w:r>
                  <w:r>
                    <w:rPr>
                      <w:rFonts w:hint="eastAsia"/>
                      <w:color w:val="auto"/>
                      <w:highlight w:val="none"/>
                      <w:lang w:val="en-US" w:eastAsia="zh-CN"/>
                    </w:rPr>
                    <w:t>/h</w:t>
                  </w:r>
                </w:p>
              </w:tc>
              <w:tc>
                <w:tcPr>
                  <w:tcW w:w="1035" w:type="dxa"/>
                  <w:tcBorders>
                    <w:tl2br w:val="nil"/>
                    <w:tr2bl w:val="nil"/>
                  </w:tcBorders>
                  <w:shd w:val="clear" w:color="auto" w:fill="auto"/>
                  <w:vAlign w:val="center"/>
                </w:tcPr>
                <w:p>
                  <w:pPr>
                    <w:pStyle w:val="38"/>
                    <w:bidi w:val="0"/>
                    <w:jc w:val="center"/>
                    <w:rPr>
                      <w:rFonts w:hint="default"/>
                      <w:color w:val="auto"/>
                      <w:highlight w:val="none"/>
                      <w:lang w:val="en-US" w:eastAsia="zh-CN"/>
                    </w:rPr>
                  </w:pPr>
                  <w:r>
                    <w:rPr>
                      <w:rFonts w:hint="eastAsia"/>
                      <w:color w:val="auto"/>
                      <w:highlight w:val="none"/>
                      <w:lang w:val="en-US" w:eastAsia="zh-CN"/>
                    </w:rPr>
                    <w:t>大气环境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tcBorders>
                    <w:tl2br w:val="nil"/>
                    <w:tr2bl w:val="nil"/>
                  </w:tcBorders>
                  <w:shd w:val="clear" w:color="auto" w:fill="auto"/>
                  <w:vAlign w:val="center"/>
                </w:tcPr>
                <w:p>
                  <w:pPr>
                    <w:pStyle w:val="38"/>
                    <w:bidi w:val="0"/>
                    <w:jc w:val="center"/>
                    <w:rPr>
                      <w:rFonts w:hint="eastAsia"/>
                      <w:color w:val="auto"/>
                      <w:highlight w:val="none"/>
                      <w:lang w:val="en-US" w:eastAsia="zh-CN"/>
                    </w:rPr>
                  </w:pPr>
                  <w:r>
                    <w:rPr>
                      <w:rFonts w:hint="eastAsia"/>
                      <w:color w:val="auto"/>
                      <w:highlight w:val="none"/>
                    </w:rPr>
                    <w:t>2</w:t>
                  </w:r>
                </w:p>
              </w:tc>
              <w:tc>
                <w:tcPr>
                  <w:tcW w:w="842" w:type="dxa"/>
                  <w:tcBorders>
                    <w:tl2br w:val="nil"/>
                    <w:tr2bl w:val="nil"/>
                  </w:tcBorders>
                  <w:shd w:val="clear" w:color="auto" w:fill="auto"/>
                  <w:vAlign w:val="center"/>
                </w:tcPr>
                <w:p>
                  <w:pPr>
                    <w:pStyle w:val="38"/>
                    <w:bidi w:val="0"/>
                    <w:jc w:val="center"/>
                    <w:rPr>
                      <w:rFonts w:hint="default"/>
                      <w:color w:val="auto"/>
                      <w:highlight w:val="none"/>
                      <w:lang w:val="en-US" w:eastAsia="zh-CN"/>
                    </w:rPr>
                  </w:pPr>
                  <w:r>
                    <w:rPr>
                      <w:rFonts w:hint="eastAsia"/>
                      <w:color w:val="auto"/>
                      <w:highlight w:val="none"/>
                      <w:lang w:val="en-US" w:eastAsia="zh-CN"/>
                    </w:rPr>
                    <w:t>辅料</w:t>
                  </w:r>
                </w:p>
              </w:tc>
              <w:tc>
                <w:tcPr>
                  <w:tcW w:w="1281" w:type="dxa"/>
                  <w:tcBorders>
                    <w:tl2br w:val="nil"/>
                    <w:tr2bl w:val="nil"/>
                  </w:tcBorders>
                  <w:shd w:val="clear" w:color="auto" w:fill="auto"/>
                  <w:vAlign w:val="center"/>
                </w:tcPr>
                <w:p>
                  <w:pPr>
                    <w:pStyle w:val="38"/>
                    <w:bidi w:val="0"/>
                    <w:jc w:val="center"/>
                    <w:rPr>
                      <w:rFonts w:hint="eastAsia"/>
                      <w:color w:val="auto"/>
                      <w:highlight w:val="none"/>
                      <w:lang w:val="en-US" w:eastAsia="zh-CN"/>
                    </w:rPr>
                  </w:pPr>
                  <w:r>
                    <w:rPr>
                      <w:rFonts w:hint="eastAsia"/>
                      <w:color w:val="auto"/>
                      <w:highlight w:val="none"/>
                      <w:lang w:val="en-US" w:eastAsia="zh-CN"/>
                    </w:rPr>
                    <w:t>分子筛</w:t>
                  </w:r>
                </w:p>
              </w:tc>
              <w:tc>
                <w:tcPr>
                  <w:tcW w:w="1575" w:type="dxa"/>
                  <w:tcBorders>
                    <w:tl2br w:val="nil"/>
                    <w:tr2bl w:val="nil"/>
                  </w:tcBorders>
                  <w:shd w:val="clear" w:color="auto" w:fill="auto"/>
                  <w:vAlign w:val="center"/>
                </w:tcPr>
                <w:p>
                  <w:pPr>
                    <w:pStyle w:val="38"/>
                    <w:bidi w:val="0"/>
                    <w:jc w:val="center"/>
                    <w:rPr>
                      <w:rFonts w:hint="eastAsia"/>
                      <w:color w:val="auto"/>
                      <w:highlight w:val="none"/>
                      <w:lang w:val="en-US" w:eastAsia="zh-CN"/>
                    </w:rPr>
                  </w:pPr>
                  <w:r>
                    <w:rPr>
                      <w:rFonts w:hint="eastAsia"/>
                      <w:color w:val="auto"/>
                      <w:highlight w:val="none"/>
                      <w:lang w:val="en-US" w:eastAsia="zh-CN"/>
                    </w:rPr>
                    <w:t>一次性装填，约50t（设计寿命10年）</w:t>
                  </w:r>
                </w:p>
              </w:tc>
              <w:tc>
                <w:tcPr>
                  <w:tcW w:w="1575" w:type="dxa"/>
                  <w:tcBorders>
                    <w:tl2br w:val="nil"/>
                    <w:tr2bl w:val="nil"/>
                  </w:tcBorders>
                  <w:shd w:val="clear" w:color="auto" w:fill="auto"/>
                  <w:vAlign w:val="center"/>
                </w:tcPr>
                <w:p>
                  <w:pPr>
                    <w:pStyle w:val="38"/>
                    <w:bidi w:val="0"/>
                    <w:ind w:firstLine="0" w:firstLineChars="0"/>
                    <w:jc w:val="center"/>
                    <w:rPr>
                      <w:rFonts w:hint="eastAsia" w:ascii="Times New Roman" w:hAnsi="Times New Roman" w:eastAsia="宋体" w:cstheme="minorBidi"/>
                      <w:color w:val="auto"/>
                      <w:kern w:val="0"/>
                      <w:sz w:val="18"/>
                      <w:szCs w:val="18"/>
                      <w:highlight w:val="none"/>
                      <w:lang w:val="en-US" w:eastAsia="zh-CN" w:bidi="ar-SA"/>
                    </w:rPr>
                  </w:pPr>
                  <w:r>
                    <w:rPr>
                      <w:rFonts w:hint="eastAsia"/>
                      <w:color w:val="auto"/>
                      <w:highlight w:val="none"/>
                      <w:lang w:val="en-US" w:eastAsia="zh-CN"/>
                    </w:rPr>
                    <w:t>一次性装填，约120t（设计寿命10年）</w:t>
                  </w:r>
                </w:p>
              </w:tc>
              <w:tc>
                <w:tcPr>
                  <w:tcW w:w="888" w:type="dxa"/>
                  <w:tcBorders>
                    <w:tl2br w:val="nil"/>
                    <w:tr2bl w:val="nil"/>
                  </w:tcBorders>
                  <w:shd w:val="clear" w:color="auto" w:fill="auto"/>
                  <w:vAlign w:val="center"/>
                </w:tcPr>
                <w:p>
                  <w:pPr>
                    <w:pStyle w:val="38"/>
                    <w:bidi w:val="0"/>
                    <w:jc w:val="center"/>
                    <w:rPr>
                      <w:rFonts w:hint="default"/>
                      <w:color w:val="auto"/>
                      <w:highlight w:val="none"/>
                      <w:lang w:val="en-US" w:eastAsia="zh-CN"/>
                    </w:rPr>
                  </w:pPr>
                  <w:r>
                    <w:rPr>
                      <w:rFonts w:hint="eastAsia"/>
                      <w:color w:val="auto"/>
                      <w:highlight w:val="none"/>
                      <w:lang w:val="en-US" w:eastAsia="zh-CN"/>
                    </w:rPr>
                    <w:t>t/10a</w:t>
                  </w:r>
                </w:p>
              </w:tc>
              <w:tc>
                <w:tcPr>
                  <w:tcW w:w="1035" w:type="dxa"/>
                  <w:tcBorders>
                    <w:tl2br w:val="nil"/>
                    <w:tr2bl w:val="nil"/>
                  </w:tcBorders>
                  <w:shd w:val="clear" w:color="auto" w:fill="auto"/>
                  <w:vAlign w:val="center"/>
                </w:tcPr>
                <w:p>
                  <w:pPr>
                    <w:pStyle w:val="38"/>
                    <w:bidi w:val="0"/>
                    <w:jc w:val="center"/>
                    <w:rPr>
                      <w:rFonts w:hint="default"/>
                      <w:color w:val="auto"/>
                      <w:highlight w:val="none"/>
                      <w:lang w:val="en-US" w:eastAsia="zh-CN"/>
                    </w:rPr>
                  </w:pPr>
                  <w:r>
                    <w:rPr>
                      <w:rFonts w:hint="eastAsia"/>
                      <w:color w:val="auto"/>
                      <w:highlight w:val="none"/>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tcBorders>
                    <w:tl2br w:val="nil"/>
                    <w:tr2bl w:val="nil"/>
                  </w:tcBorders>
                  <w:shd w:val="clear" w:color="auto" w:fill="auto"/>
                  <w:vAlign w:val="center"/>
                </w:tcPr>
                <w:p>
                  <w:pPr>
                    <w:pStyle w:val="38"/>
                    <w:bidi w:val="0"/>
                    <w:jc w:val="center"/>
                    <w:rPr>
                      <w:rFonts w:hint="eastAsia"/>
                      <w:color w:val="auto"/>
                      <w:highlight w:val="none"/>
                      <w:lang w:val="en-US" w:eastAsia="zh-CN"/>
                    </w:rPr>
                  </w:pPr>
                  <w:r>
                    <w:rPr>
                      <w:rFonts w:hint="eastAsia"/>
                      <w:color w:val="auto"/>
                      <w:highlight w:val="none"/>
                    </w:rPr>
                    <w:t>3</w:t>
                  </w:r>
                </w:p>
              </w:tc>
              <w:tc>
                <w:tcPr>
                  <w:tcW w:w="842" w:type="dxa"/>
                  <w:tcBorders>
                    <w:tl2br w:val="nil"/>
                    <w:tr2bl w:val="nil"/>
                  </w:tcBorders>
                  <w:shd w:val="clear" w:color="auto" w:fill="auto"/>
                  <w:vAlign w:val="center"/>
                </w:tcPr>
                <w:p>
                  <w:pPr>
                    <w:pStyle w:val="38"/>
                    <w:bidi w:val="0"/>
                    <w:jc w:val="center"/>
                    <w:rPr>
                      <w:rFonts w:hint="eastAsia"/>
                      <w:color w:val="auto"/>
                      <w:highlight w:val="none"/>
                      <w:lang w:val="en-US" w:eastAsia="zh-CN"/>
                    </w:rPr>
                  </w:pPr>
                  <w:r>
                    <w:rPr>
                      <w:rFonts w:hint="eastAsia"/>
                      <w:color w:val="auto"/>
                      <w:highlight w:val="none"/>
                      <w:lang w:val="en-US" w:eastAsia="zh-CN"/>
                    </w:rPr>
                    <w:t>辅料</w:t>
                  </w:r>
                </w:p>
              </w:tc>
              <w:tc>
                <w:tcPr>
                  <w:tcW w:w="1281" w:type="dxa"/>
                  <w:tcBorders>
                    <w:tl2br w:val="nil"/>
                    <w:tr2bl w:val="nil"/>
                  </w:tcBorders>
                  <w:shd w:val="clear" w:color="auto" w:fill="auto"/>
                  <w:vAlign w:val="center"/>
                </w:tcPr>
                <w:p>
                  <w:pPr>
                    <w:pStyle w:val="38"/>
                    <w:bidi w:val="0"/>
                    <w:jc w:val="center"/>
                    <w:rPr>
                      <w:rFonts w:hint="default"/>
                      <w:color w:val="auto"/>
                      <w:highlight w:val="none"/>
                      <w:lang w:val="en-US" w:eastAsia="zh-CN"/>
                    </w:rPr>
                  </w:pPr>
                  <w:r>
                    <w:rPr>
                      <w:rFonts w:hint="eastAsia"/>
                      <w:color w:val="auto"/>
                      <w:highlight w:val="none"/>
                      <w:lang w:val="en-US" w:eastAsia="zh-CN"/>
                    </w:rPr>
                    <w:t>活性氧化铝</w:t>
                  </w:r>
                </w:p>
              </w:tc>
              <w:tc>
                <w:tcPr>
                  <w:tcW w:w="1575" w:type="dxa"/>
                  <w:tcBorders>
                    <w:tl2br w:val="nil"/>
                    <w:tr2bl w:val="nil"/>
                  </w:tcBorders>
                  <w:shd w:val="clear" w:color="auto" w:fill="auto"/>
                  <w:vAlign w:val="center"/>
                </w:tcPr>
                <w:p>
                  <w:pPr>
                    <w:pStyle w:val="38"/>
                    <w:bidi w:val="0"/>
                    <w:jc w:val="center"/>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一次性装填，约</w:t>
                  </w:r>
                  <w:r>
                    <w:rPr>
                      <w:rFonts w:hint="eastAsia"/>
                      <w:color w:val="auto"/>
                      <w:highlight w:val="none"/>
                      <w:lang w:val="en-US" w:eastAsia="zh-CN"/>
                    </w:rPr>
                    <w:t>15</w:t>
                  </w:r>
                  <w:r>
                    <w:rPr>
                      <w:rFonts w:hint="eastAsia" w:ascii="Times New Roman" w:hAnsi="Times New Roman"/>
                      <w:color w:val="auto"/>
                      <w:highlight w:val="none"/>
                      <w:lang w:val="en-US" w:eastAsia="zh-CN"/>
                    </w:rPr>
                    <w:t>t（与分子筛同步更换）</w:t>
                  </w:r>
                </w:p>
              </w:tc>
              <w:tc>
                <w:tcPr>
                  <w:tcW w:w="1575" w:type="dxa"/>
                  <w:tcBorders>
                    <w:tl2br w:val="nil"/>
                    <w:tr2bl w:val="nil"/>
                  </w:tcBorders>
                  <w:shd w:val="clear" w:color="auto" w:fill="auto"/>
                  <w:vAlign w:val="center"/>
                </w:tcPr>
                <w:p>
                  <w:pPr>
                    <w:pStyle w:val="38"/>
                    <w:bidi w:val="0"/>
                    <w:ind w:firstLine="0" w:firstLineChars="0"/>
                    <w:jc w:val="center"/>
                    <w:rPr>
                      <w:rFonts w:hint="eastAsia" w:ascii="Times New Roman" w:hAnsi="Times New Roman" w:eastAsia="宋体" w:cstheme="minorBidi"/>
                      <w:color w:val="auto"/>
                      <w:kern w:val="0"/>
                      <w:sz w:val="18"/>
                      <w:szCs w:val="18"/>
                      <w:highlight w:val="none"/>
                      <w:lang w:val="en-US" w:eastAsia="zh-CN" w:bidi="ar-SA"/>
                    </w:rPr>
                  </w:pPr>
                  <w:r>
                    <w:rPr>
                      <w:rFonts w:hint="eastAsia" w:ascii="Times New Roman" w:hAnsi="Times New Roman"/>
                      <w:color w:val="auto"/>
                      <w:highlight w:val="none"/>
                      <w:lang w:val="en-US" w:eastAsia="zh-CN"/>
                    </w:rPr>
                    <w:t>一次性装填，约</w:t>
                  </w:r>
                  <w:r>
                    <w:rPr>
                      <w:rFonts w:hint="eastAsia"/>
                      <w:color w:val="auto"/>
                      <w:highlight w:val="none"/>
                      <w:lang w:val="en-US" w:eastAsia="zh-CN"/>
                    </w:rPr>
                    <w:t>35</w:t>
                  </w:r>
                  <w:r>
                    <w:rPr>
                      <w:rFonts w:hint="eastAsia" w:ascii="Times New Roman" w:hAnsi="Times New Roman"/>
                      <w:color w:val="auto"/>
                      <w:highlight w:val="none"/>
                      <w:lang w:val="en-US" w:eastAsia="zh-CN"/>
                    </w:rPr>
                    <w:t>t（与分子筛同步更换）</w:t>
                  </w:r>
                </w:p>
              </w:tc>
              <w:tc>
                <w:tcPr>
                  <w:tcW w:w="888" w:type="dxa"/>
                  <w:tcBorders>
                    <w:tl2br w:val="nil"/>
                    <w:tr2bl w:val="nil"/>
                  </w:tcBorders>
                  <w:shd w:val="clear" w:color="auto" w:fill="auto"/>
                  <w:vAlign w:val="center"/>
                </w:tcPr>
                <w:p>
                  <w:pPr>
                    <w:pStyle w:val="38"/>
                    <w:bidi w:val="0"/>
                    <w:jc w:val="center"/>
                    <w:rPr>
                      <w:rFonts w:hint="eastAsia"/>
                      <w:color w:val="auto"/>
                      <w:highlight w:val="none"/>
                      <w:lang w:val="en-US" w:eastAsia="zh-CN"/>
                    </w:rPr>
                  </w:pPr>
                  <w:r>
                    <w:rPr>
                      <w:rFonts w:hint="eastAsia"/>
                      <w:color w:val="auto"/>
                      <w:highlight w:val="none"/>
                      <w:lang w:val="en-US" w:eastAsia="zh-CN"/>
                    </w:rPr>
                    <w:t>t/10a</w:t>
                  </w:r>
                </w:p>
              </w:tc>
              <w:tc>
                <w:tcPr>
                  <w:tcW w:w="1035" w:type="dxa"/>
                  <w:tcBorders>
                    <w:tl2br w:val="nil"/>
                    <w:tr2bl w:val="nil"/>
                  </w:tcBorders>
                  <w:shd w:val="clear" w:color="auto" w:fill="auto"/>
                  <w:vAlign w:val="center"/>
                </w:tcPr>
                <w:p>
                  <w:pPr>
                    <w:pStyle w:val="38"/>
                    <w:bidi w:val="0"/>
                    <w:jc w:val="center"/>
                    <w:rPr>
                      <w:rFonts w:hint="eastAsia"/>
                      <w:color w:val="auto"/>
                      <w:highlight w:val="none"/>
                      <w:lang w:val="en-US" w:eastAsia="zh-CN"/>
                    </w:rPr>
                  </w:pPr>
                  <w:r>
                    <w:rPr>
                      <w:rFonts w:hint="eastAsia"/>
                      <w:color w:val="auto"/>
                      <w:highlight w:val="none"/>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tcBorders>
                    <w:tl2br w:val="nil"/>
                    <w:tr2bl w:val="nil"/>
                  </w:tcBorders>
                  <w:shd w:val="clear" w:color="auto" w:fill="auto"/>
                  <w:vAlign w:val="center"/>
                </w:tcPr>
                <w:p>
                  <w:pPr>
                    <w:pStyle w:val="38"/>
                    <w:bidi w:val="0"/>
                    <w:jc w:val="center"/>
                    <w:rPr>
                      <w:rFonts w:hint="eastAsia" w:eastAsia="宋体"/>
                      <w:color w:val="auto"/>
                      <w:highlight w:val="none"/>
                      <w:lang w:val="en-US" w:eastAsia="zh-CN"/>
                    </w:rPr>
                  </w:pPr>
                  <w:r>
                    <w:rPr>
                      <w:rFonts w:hint="eastAsia"/>
                      <w:color w:val="auto"/>
                      <w:highlight w:val="none"/>
                      <w:lang w:val="en-US" w:eastAsia="zh-CN"/>
                    </w:rPr>
                    <w:t>4</w:t>
                  </w:r>
                </w:p>
              </w:tc>
              <w:tc>
                <w:tcPr>
                  <w:tcW w:w="842" w:type="dxa"/>
                  <w:tcBorders>
                    <w:tl2br w:val="nil"/>
                    <w:tr2bl w:val="nil"/>
                  </w:tcBorders>
                  <w:shd w:val="clear" w:color="auto" w:fill="auto"/>
                  <w:vAlign w:val="center"/>
                </w:tcPr>
                <w:p>
                  <w:pPr>
                    <w:pStyle w:val="38"/>
                    <w:bidi w:val="0"/>
                    <w:jc w:val="center"/>
                    <w:rPr>
                      <w:rFonts w:hint="eastAsia" w:eastAsia="宋体"/>
                      <w:color w:val="auto"/>
                      <w:highlight w:val="none"/>
                      <w:lang w:val="en-US" w:eastAsia="zh-CN"/>
                    </w:rPr>
                  </w:pPr>
                  <w:r>
                    <w:rPr>
                      <w:rFonts w:hint="eastAsia"/>
                      <w:color w:val="auto"/>
                      <w:highlight w:val="none"/>
                      <w:lang w:val="en-US" w:eastAsia="zh-CN"/>
                    </w:rPr>
                    <w:t>辅料</w:t>
                  </w:r>
                </w:p>
              </w:tc>
              <w:tc>
                <w:tcPr>
                  <w:tcW w:w="1281" w:type="dxa"/>
                  <w:tcBorders>
                    <w:tl2br w:val="nil"/>
                    <w:tr2bl w:val="nil"/>
                  </w:tcBorders>
                  <w:shd w:val="clear" w:color="auto" w:fill="auto"/>
                  <w:vAlign w:val="center"/>
                </w:tcPr>
                <w:p>
                  <w:pPr>
                    <w:pStyle w:val="38"/>
                    <w:bidi w:val="0"/>
                    <w:jc w:val="center"/>
                    <w:rPr>
                      <w:rFonts w:hint="default" w:ascii="Times New Roman" w:hAnsi="Times New Roman"/>
                      <w:color w:val="auto"/>
                      <w:highlight w:val="none"/>
                      <w:lang w:val="en-US" w:eastAsia="zh-CN"/>
                    </w:rPr>
                  </w:pPr>
                  <w:r>
                    <w:rPr>
                      <w:rFonts w:hint="eastAsia"/>
                      <w:color w:val="auto"/>
                      <w:highlight w:val="none"/>
                      <w:lang w:val="en-US" w:eastAsia="zh-CN"/>
                    </w:rPr>
                    <w:t>空气过滤器滤芯</w:t>
                  </w:r>
                </w:p>
              </w:tc>
              <w:tc>
                <w:tcPr>
                  <w:tcW w:w="1575" w:type="dxa"/>
                  <w:tcBorders>
                    <w:tl2br w:val="nil"/>
                    <w:tr2bl w:val="nil"/>
                  </w:tcBorders>
                  <w:shd w:val="clear" w:color="auto" w:fill="auto"/>
                  <w:vAlign w:val="center"/>
                </w:tcPr>
                <w:p>
                  <w:pPr>
                    <w:pStyle w:val="38"/>
                    <w:bidi w:val="0"/>
                    <w:jc w:val="center"/>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一次性装填，约0.5t（更换周期约6个月）</w:t>
                  </w:r>
                </w:p>
              </w:tc>
              <w:tc>
                <w:tcPr>
                  <w:tcW w:w="1575" w:type="dxa"/>
                  <w:tcBorders>
                    <w:tl2br w:val="nil"/>
                    <w:tr2bl w:val="nil"/>
                  </w:tcBorders>
                  <w:shd w:val="clear" w:color="auto" w:fill="auto"/>
                  <w:vAlign w:val="center"/>
                </w:tcPr>
                <w:p>
                  <w:pPr>
                    <w:pStyle w:val="38"/>
                    <w:bidi w:val="0"/>
                    <w:ind w:firstLine="0" w:firstLineChars="0"/>
                    <w:jc w:val="center"/>
                    <w:rPr>
                      <w:rFonts w:hint="eastAsia" w:ascii="Times New Roman" w:hAnsi="Times New Roman" w:eastAsia="宋体" w:cstheme="minorBidi"/>
                      <w:color w:val="auto"/>
                      <w:kern w:val="0"/>
                      <w:sz w:val="18"/>
                      <w:szCs w:val="18"/>
                      <w:highlight w:val="none"/>
                      <w:lang w:val="en-US" w:eastAsia="zh-CN" w:bidi="ar-SA"/>
                    </w:rPr>
                  </w:pPr>
                  <w:r>
                    <w:rPr>
                      <w:rFonts w:hint="eastAsia" w:ascii="Times New Roman" w:hAnsi="Times New Roman"/>
                      <w:color w:val="auto"/>
                      <w:highlight w:val="none"/>
                      <w:lang w:val="en-US" w:eastAsia="zh-CN"/>
                    </w:rPr>
                    <w:t>一次性装填，约</w:t>
                  </w:r>
                  <w:r>
                    <w:rPr>
                      <w:rFonts w:hint="eastAsia"/>
                      <w:color w:val="auto"/>
                      <w:highlight w:val="none"/>
                      <w:lang w:val="en-US" w:eastAsia="zh-CN"/>
                    </w:rPr>
                    <w:t>0.85</w:t>
                  </w:r>
                  <w:r>
                    <w:rPr>
                      <w:rFonts w:hint="eastAsia" w:ascii="Times New Roman" w:hAnsi="Times New Roman"/>
                      <w:color w:val="auto"/>
                      <w:highlight w:val="none"/>
                      <w:lang w:val="en-US" w:eastAsia="zh-CN"/>
                    </w:rPr>
                    <w:t>t（</w:t>
                  </w:r>
                  <w:r>
                    <w:rPr>
                      <w:rFonts w:hint="eastAsia"/>
                      <w:color w:val="auto"/>
                      <w:highlight w:val="none"/>
                      <w:lang w:val="en-US" w:eastAsia="zh-CN"/>
                    </w:rPr>
                    <w:t>更换周期约6个月</w:t>
                  </w:r>
                  <w:r>
                    <w:rPr>
                      <w:rFonts w:hint="eastAsia" w:ascii="Times New Roman" w:hAnsi="Times New Roman"/>
                      <w:color w:val="auto"/>
                      <w:highlight w:val="none"/>
                      <w:lang w:val="en-US" w:eastAsia="zh-CN"/>
                    </w:rPr>
                    <w:t>）</w:t>
                  </w:r>
                </w:p>
              </w:tc>
              <w:tc>
                <w:tcPr>
                  <w:tcW w:w="888" w:type="dxa"/>
                  <w:tcBorders>
                    <w:tl2br w:val="nil"/>
                    <w:tr2bl w:val="nil"/>
                  </w:tcBorders>
                  <w:shd w:val="clear" w:color="auto" w:fill="auto"/>
                  <w:vAlign w:val="center"/>
                </w:tcPr>
                <w:p>
                  <w:pPr>
                    <w:pStyle w:val="38"/>
                    <w:bidi w:val="0"/>
                    <w:jc w:val="center"/>
                    <w:rPr>
                      <w:rFonts w:hint="default"/>
                      <w:color w:val="auto"/>
                      <w:highlight w:val="none"/>
                      <w:lang w:val="en-US"/>
                    </w:rPr>
                  </w:pPr>
                  <w:r>
                    <w:rPr>
                      <w:rFonts w:hint="eastAsia"/>
                      <w:color w:val="auto"/>
                      <w:highlight w:val="none"/>
                      <w:lang w:val="en-US" w:eastAsia="zh-CN"/>
                    </w:rPr>
                    <w:t>t/a</w:t>
                  </w:r>
                </w:p>
              </w:tc>
              <w:tc>
                <w:tcPr>
                  <w:tcW w:w="1035" w:type="dxa"/>
                  <w:tcBorders>
                    <w:tl2br w:val="nil"/>
                    <w:tr2bl w:val="nil"/>
                  </w:tcBorders>
                  <w:shd w:val="clear" w:color="auto" w:fill="auto"/>
                  <w:vAlign w:val="center"/>
                </w:tcPr>
                <w:p>
                  <w:pPr>
                    <w:pStyle w:val="38"/>
                    <w:bidi w:val="0"/>
                    <w:jc w:val="center"/>
                    <w:rPr>
                      <w:rFonts w:hint="eastAsia" w:eastAsia="宋体"/>
                      <w:color w:val="auto"/>
                      <w:highlight w:val="none"/>
                      <w:lang w:val="en-US" w:eastAsia="zh-CN"/>
                    </w:rPr>
                  </w:pPr>
                  <w:r>
                    <w:rPr>
                      <w:rFonts w:hint="eastAsia"/>
                      <w:color w:val="auto"/>
                      <w:highlight w:val="none"/>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tcBorders>
                    <w:tl2br w:val="nil"/>
                    <w:tr2bl w:val="nil"/>
                  </w:tcBorders>
                  <w:shd w:val="clear" w:color="auto" w:fill="auto"/>
                  <w:vAlign w:val="center"/>
                </w:tcPr>
                <w:p>
                  <w:pPr>
                    <w:pStyle w:val="38"/>
                    <w:bidi w:val="0"/>
                    <w:jc w:val="center"/>
                    <w:rPr>
                      <w:rFonts w:hint="default"/>
                      <w:color w:val="auto"/>
                      <w:highlight w:val="none"/>
                      <w:lang w:val="en-US" w:eastAsia="zh-CN"/>
                    </w:rPr>
                  </w:pPr>
                  <w:r>
                    <w:rPr>
                      <w:rFonts w:hint="eastAsia"/>
                      <w:color w:val="auto"/>
                      <w:highlight w:val="none"/>
                      <w:lang w:val="en-US" w:eastAsia="zh-CN"/>
                    </w:rPr>
                    <w:t>6</w:t>
                  </w:r>
                </w:p>
              </w:tc>
              <w:tc>
                <w:tcPr>
                  <w:tcW w:w="842" w:type="dxa"/>
                  <w:tcBorders>
                    <w:tl2br w:val="nil"/>
                    <w:tr2bl w:val="nil"/>
                  </w:tcBorders>
                  <w:shd w:val="clear" w:color="auto" w:fill="auto"/>
                  <w:vAlign w:val="center"/>
                </w:tcPr>
                <w:p>
                  <w:pPr>
                    <w:pStyle w:val="38"/>
                    <w:bidi w:val="0"/>
                    <w:jc w:val="center"/>
                    <w:rPr>
                      <w:rFonts w:hint="default"/>
                      <w:color w:val="auto"/>
                      <w:highlight w:val="none"/>
                      <w:lang w:val="en-US" w:eastAsia="zh-CN"/>
                    </w:rPr>
                  </w:pPr>
                  <w:r>
                    <w:rPr>
                      <w:rFonts w:hint="eastAsia"/>
                      <w:color w:val="auto"/>
                      <w:highlight w:val="none"/>
                      <w:lang w:val="en-US" w:eastAsia="zh-CN"/>
                    </w:rPr>
                    <w:t>辅料</w:t>
                  </w:r>
                </w:p>
              </w:tc>
              <w:tc>
                <w:tcPr>
                  <w:tcW w:w="1281" w:type="dxa"/>
                  <w:tcBorders>
                    <w:tl2br w:val="nil"/>
                    <w:tr2bl w:val="nil"/>
                  </w:tcBorders>
                  <w:shd w:val="clear" w:color="auto" w:fill="auto"/>
                  <w:vAlign w:val="center"/>
                </w:tcPr>
                <w:p>
                  <w:pPr>
                    <w:pStyle w:val="38"/>
                    <w:bidi w:val="0"/>
                    <w:jc w:val="center"/>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润滑油、机油</w:t>
                  </w:r>
                </w:p>
              </w:tc>
              <w:tc>
                <w:tcPr>
                  <w:tcW w:w="1575" w:type="dxa"/>
                  <w:tcBorders>
                    <w:tl2br w:val="nil"/>
                    <w:tr2bl w:val="nil"/>
                  </w:tcBorders>
                  <w:shd w:val="clear" w:color="auto" w:fill="auto"/>
                  <w:vAlign w:val="center"/>
                </w:tcPr>
                <w:p>
                  <w:pPr>
                    <w:pStyle w:val="38"/>
                    <w:bidi w:val="0"/>
                    <w:jc w:val="center"/>
                    <w:rPr>
                      <w:rFonts w:hint="default"/>
                      <w:color w:val="auto"/>
                      <w:highlight w:val="none"/>
                      <w:lang w:val="en-US" w:eastAsia="zh-CN"/>
                    </w:rPr>
                  </w:pPr>
                  <w:r>
                    <w:rPr>
                      <w:rFonts w:hint="eastAsia"/>
                      <w:color w:val="auto"/>
                      <w:highlight w:val="none"/>
                      <w:lang w:val="en-US" w:eastAsia="zh-CN"/>
                    </w:rPr>
                    <w:t>3</w:t>
                  </w:r>
                </w:p>
              </w:tc>
              <w:tc>
                <w:tcPr>
                  <w:tcW w:w="1575" w:type="dxa"/>
                  <w:tcBorders>
                    <w:tl2br w:val="nil"/>
                    <w:tr2bl w:val="nil"/>
                  </w:tcBorders>
                  <w:shd w:val="clear" w:color="auto" w:fill="auto"/>
                  <w:vAlign w:val="center"/>
                </w:tcPr>
                <w:p>
                  <w:pPr>
                    <w:pStyle w:val="38"/>
                    <w:bidi w:val="0"/>
                    <w:ind w:firstLine="0" w:firstLineChars="0"/>
                    <w:jc w:val="center"/>
                    <w:rPr>
                      <w:rFonts w:hint="eastAsia" w:ascii="Times New Roman" w:hAnsi="Times New Roman" w:eastAsia="宋体" w:cstheme="minorBidi"/>
                      <w:color w:val="auto"/>
                      <w:kern w:val="0"/>
                      <w:sz w:val="18"/>
                      <w:szCs w:val="18"/>
                      <w:highlight w:val="none"/>
                      <w:lang w:val="en-US" w:eastAsia="zh-CN" w:bidi="ar-SA"/>
                    </w:rPr>
                  </w:pPr>
                  <w:r>
                    <w:rPr>
                      <w:rFonts w:hint="eastAsia"/>
                      <w:color w:val="auto"/>
                      <w:highlight w:val="none"/>
                      <w:lang w:val="en-US" w:eastAsia="zh-CN"/>
                    </w:rPr>
                    <w:t>5</w:t>
                  </w:r>
                </w:p>
              </w:tc>
              <w:tc>
                <w:tcPr>
                  <w:tcW w:w="888" w:type="dxa"/>
                  <w:tcBorders>
                    <w:tl2br w:val="nil"/>
                    <w:tr2bl w:val="nil"/>
                  </w:tcBorders>
                  <w:shd w:val="clear" w:color="auto" w:fill="auto"/>
                  <w:vAlign w:val="center"/>
                </w:tcPr>
                <w:p>
                  <w:pPr>
                    <w:pStyle w:val="38"/>
                    <w:bidi w:val="0"/>
                    <w:jc w:val="center"/>
                    <w:rPr>
                      <w:rFonts w:hint="default"/>
                      <w:color w:val="auto"/>
                      <w:highlight w:val="none"/>
                      <w:lang w:val="en-US" w:eastAsia="zh-CN"/>
                    </w:rPr>
                  </w:pPr>
                  <w:r>
                    <w:rPr>
                      <w:rFonts w:hint="eastAsia"/>
                      <w:color w:val="auto"/>
                      <w:highlight w:val="none"/>
                      <w:lang w:val="en-US" w:eastAsia="zh-CN"/>
                    </w:rPr>
                    <w:t>t/a</w:t>
                  </w:r>
                </w:p>
              </w:tc>
              <w:tc>
                <w:tcPr>
                  <w:tcW w:w="1035" w:type="dxa"/>
                  <w:tcBorders>
                    <w:tl2br w:val="nil"/>
                    <w:tr2bl w:val="nil"/>
                  </w:tcBorders>
                  <w:shd w:val="clear" w:color="auto" w:fill="auto"/>
                  <w:vAlign w:val="center"/>
                </w:tcPr>
                <w:p>
                  <w:pPr>
                    <w:pStyle w:val="38"/>
                    <w:bidi w:val="0"/>
                    <w:jc w:val="center"/>
                    <w:rPr>
                      <w:rFonts w:hint="eastAsia"/>
                      <w:color w:val="auto"/>
                      <w:highlight w:val="none"/>
                      <w:lang w:val="en-US" w:eastAsia="zh-CN"/>
                    </w:rPr>
                  </w:pPr>
                  <w:r>
                    <w:rPr>
                      <w:rFonts w:hint="eastAsia"/>
                      <w:color w:val="auto"/>
                      <w:highlight w:val="none"/>
                      <w:lang w:val="en-US" w:eastAsia="zh-CN"/>
                    </w:rPr>
                    <w:t>外购</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（十）</w:t>
            </w:r>
            <w:r>
              <w:rPr>
                <w:rFonts w:hint="default" w:ascii="黑体" w:hAnsi="黑体" w:eastAsia="黑体" w:cs="黑体"/>
                <w:color w:val="auto"/>
                <w:highlight w:val="none"/>
                <w:lang w:val="en-US" w:eastAsia="zh-CN"/>
              </w:rPr>
              <w:t>能源消耗情况</w:t>
            </w:r>
          </w:p>
          <w:p>
            <w:pPr>
              <w:bidi w:val="0"/>
              <w:rPr>
                <w:rFonts w:hint="default"/>
                <w:color w:val="auto"/>
                <w:highlight w:val="none"/>
                <w:lang w:val="en-US" w:eastAsia="zh-CN"/>
              </w:rPr>
            </w:pPr>
            <w:r>
              <w:rPr>
                <w:rFonts w:hint="eastAsia"/>
                <w:color w:val="auto"/>
                <w:highlight w:val="none"/>
                <w:lang w:val="en-US" w:eastAsia="zh-CN"/>
              </w:rPr>
              <w:t>根据建设单位提供的相关资料及本次环评核算结果，项目能源消耗情况详见下表。</w:t>
            </w:r>
          </w:p>
          <w:p>
            <w:pPr>
              <w:pStyle w:val="36"/>
              <w:bidi w:val="0"/>
              <w:rPr>
                <w:rFonts w:hint="default"/>
                <w:color w:val="auto"/>
                <w:highlight w:val="none"/>
                <w:lang w:val="en-US" w:eastAsia="zh-CN"/>
              </w:rPr>
            </w:pPr>
            <w:r>
              <w:rPr>
                <w:rFonts w:hint="default"/>
                <w:color w:val="auto"/>
                <w:highlight w:val="none"/>
                <w:lang w:val="en-US" w:eastAsia="zh-CN"/>
              </w:rPr>
              <w:t>表2-</w:t>
            </w:r>
            <w:r>
              <w:rPr>
                <w:rFonts w:hint="eastAsia"/>
                <w:color w:val="auto"/>
                <w:highlight w:val="none"/>
                <w:lang w:val="en-US" w:eastAsia="zh-CN"/>
              </w:rPr>
              <w:t>7</w:t>
            </w:r>
            <w:r>
              <w:rPr>
                <w:rFonts w:hint="default"/>
                <w:color w:val="auto"/>
                <w:highlight w:val="none"/>
                <w:lang w:val="en-US" w:eastAsia="zh-CN"/>
              </w:rPr>
              <w:t xml:space="preserve">  </w:t>
            </w:r>
            <w:r>
              <w:rPr>
                <w:rFonts w:hint="eastAsia"/>
                <w:color w:val="auto"/>
                <w:highlight w:val="none"/>
                <w:lang w:val="en-US" w:eastAsia="zh-CN"/>
              </w:rPr>
              <w:t>项目改建前后</w:t>
            </w:r>
            <w:r>
              <w:rPr>
                <w:rFonts w:hint="default"/>
                <w:color w:val="auto"/>
                <w:highlight w:val="none"/>
                <w:lang w:val="en-US" w:eastAsia="zh-CN"/>
              </w:rPr>
              <w:t>能源消耗情况</w:t>
            </w:r>
            <w:r>
              <w:rPr>
                <w:rFonts w:hint="eastAsia"/>
                <w:color w:val="auto"/>
                <w:highlight w:val="none"/>
                <w:lang w:val="en-US" w:eastAsia="zh-CN"/>
              </w:rPr>
              <w:t>一览</w:t>
            </w:r>
            <w:r>
              <w:rPr>
                <w:rFonts w:hint="default"/>
                <w:color w:val="auto"/>
                <w:highlight w:val="none"/>
                <w:lang w:val="en-US" w:eastAsia="zh-CN"/>
              </w:rPr>
              <w:t>表</w:t>
            </w:r>
          </w:p>
          <w:tbl>
            <w:tblPr>
              <w:tblStyle w:val="24"/>
              <w:tblW w:w="769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0"/>
              <w:gridCol w:w="854"/>
              <w:gridCol w:w="986"/>
              <w:gridCol w:w="987"/>
              <w:gridCol w:w="1062"/>
              <w:gridCol w:w="1361"/>
              <w:gridCol w:w="17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650" w:type="dxa"/>
                  <w:vMerge w:val="restart"/>
                  <w:tcBorders>
                    <w:tl2br w:val="nil"/>
                    <w:tr2bl w:val="nil"/>
                  </w:tcBorders>
                  <w:vAlign w:val="center"/>
                </w:tcPr>
                <w:p>
                  <w:pPr>
                    <w:pStyle w:val="38"/>
                    <w:bidi w:val="0"/>
                    <w:rPr>
                      <w:rFonts w:hint="default"/>
                      <w:color w:val="auto"/>
                      <w:highlight w:val="none"/>
                      <w:lang w:val="en-US" w:eastAsia="zh-CN"/>
                    </w:rPr>
                  </w:pPr>
                  <w:r>
                    <w:rPr>
                      <w:rFonts w:hint="default"/>
                      <w:color w:val="auto"/>
                      <w:highlight w:val="none"/>
                      <w:lang w:val="en-US" w:eastAsia="zh-CN"/>
                    </w:rPr>
                    <w:t>序号</w:t>
                  </w:r>
                </w:p>
              </w:tc>
              <w:tc>
                <w:tcPr>
                  <w:tcW w:w="854" w:type="dxa"/>
                  <w:vMerge w:val="restart"/>
                  <w:tcBorders>
                    <w:tl2br w:val="nil"/>
                    <w:tr2bl w:val="nil"/>
                  </w:tcBorders>
                  <w:vAlign w:val="center"/>
                </w:tcPr>
                <w:p>
                  <w:pPr>
                    <w:pStyle w:val="38"/>
                    <w:bidi w:val="0"/>
                    <w:rPr>
                      <w:rFonts w:hint="default"/>
                      <w:color w:val="auto"/>
                      <w:highlight w:val="none"/>
                      <w:lang w:val="en-US" w:eastAsia="zh-CN"/>
                    </w:rPr>
                  </w:pPr>
                  <w:r>
                    <w:rPr>
                      <w:rFonts w:hint="default"/>
                      <w:color w:val="auto"/>
                      <w:highlight w:val="none"/>
                      <w:lang w:val="en-US" w:eastAsia="zh-CN"/>
                    </w:rPr>
                    <w:t>名称</w:t>
                  </w:r>
                </w:p>
              </w:tc>
              <w:tc>
                <w:tcPr>
                  <w:tcW w:w="1973" w:type="dxa"/>
                  <w:gridSpan w:val="2"/>
                  <w:tcBorders>
                    <w:tl2br w:val="nil"/>
                    <w:tr2bl w:val="nil"/>
                  </w:tcBorders>
                  <w:vAlign w:val="center"/>
                </w:tcPr>
                <w:p>
                  <w:pPr>
                    <w:pStyle w:val="38"/>
                    <w:bidi w:val="0"/>
                    <w:rPr>
                      <w:rFonts w:hint="default"/>
                      <w:color w:val="auto"/>
                      <w:highlight w:val="none"/>
                      <w:lang w:val="en-US" w:eastAsia="zh-CN"/>
                    </w:rPr>
                  </w:pPr>
                  <w:r>
                    <w:rPr>
                      <w:rFonts w:hint="default"/>
                      <w:color w:val="auto"/>
                      <w:highlight w:val="none"/>
                      <w:lang w:val="en-US" w:eastAsia="zh-CN"/>
                    </w:rPr>
                    <w:t>用量</w:t>
                  </w:r>
                </w:p>
              </w:tc>
              <w:tc>
                <w:tcPr>
                  <w:tcW w:w="1062" w:type="dxa"/>
                  <w:vMerge w:val="restart"/>
                  <w:tcBorders>
                    <w:tl2br w:val="nil"/>
                    <w:tr2bl w:val="nil"/>
                  </w:tcBorders>
                  <w:vAlign w:val="center"/>
                </w:tcPr>
                <w:p>
                  <w:pPr>
                    <w:pStyle w:val="38"/>
                    <w:bidi w:val="0"/>
                    <w:rPr>
                      <w:rFonts w:hint="default"/>
                      <w:color w:val="auto"/>
                      <w:highlight w:val="none"/>
                      <w:lang w:val="en-US" w:eastAsia="zh-CN"/>
                    </w:rPr>
                  </w:pPr>
                  <w:r>
                    <w:rPr>
                      <w:rFonts w:hint="default"/>
                      <w:color w:val="auto"/>
                      <w:highlight w:val="none"/>
                      <w:lang w:val="en-US" w:eastAsia="zh-CN"/>
                    </w:rPr>
                    <w:t>单位</w:t>
                  </w:r>
                </w:p>
              </w:tc>
              <w:tc>
                <w:tcPr>
                  <w:tcW w:w="1361" w:type="dxa"/>
                  <w:vMerge w:val="restart"/>
                  <w:tcBorders>
                    <w:tl2br w:val="nil"/>
                    <w:tr2bl w:val="nil"/>
                  </w:tcBorders>
                  <w:vAlign w:val="center"/>
                </w:tcPr>
                <w:p>
                  <w:pPr>
                    <w:pStyle w:val="38"/>
                    <w:bidi w:val="0"/>
                    <w:rPr>
                      <w:rFonts w:hint="default"/>
                      <w:color w:val="auto"/>
                      <w:highlight w:val="none"/>
                      <w:lang w:val="en-US" w:eastAsia="zh-CN"/>
                    </w:rPr>
                  </w:pPr>
                  <w:r>
                    <w:rPr>
                      <w:rFonts w:hint="default"/>
                      <w:color w:val="auto"/>
                      <w:highlight w:val="none"/>
                      <w:lang w:val="en-US" w:eastAsia="zh-CN"/>
                    </w:rPr>
                    <w:t>折标煤量（tce/a）</w:t>
                  </w:r>
                </w:p>
              </w:tc>
              <w:tc>
                <w:tcPr>
                  <w:tcW w:w="1794" w:type="dxa"/>
                  <w:vMerge w:val="restart"/>
                  <w:tcBorders>
                    <w:tl2br w:val="nil"/>
                    <w:tr2bl w:val="nil"/>
                  </w:tcBorders>
                  <w:vAlign w:val="center"/>
                </w:tcPr>
                <w:p>
                  <w:pPr>
                    <w:pStyle w:val="38"/>
                    <w:bidi w:val="0"/>
                    <w:rPr>
                      <w:rFonts w:hint="default"/>
                      <w:color w:val="auto"/>
                      <w:highlight w:val="none"/>
                      <w:lang w:val="en-US" w:eastAsia="zh-CN"/>
                    </w:rPr>
                  </w:pPr>
                  <w:r>
                    <w:rPr>
                      <w:rFonts w:hint="eastAsia"/>
                      <w:color w:val="auto"/>
                      <w:highlight w:val="none"/>
                      <w:lang w:val="en-US" w:eastAsia="zh-CN"/>
                    </w:rPr>
                    <w:t>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650" w:type="dxa"/>
                  <w:vMerge w:val="continue"/>
                  <w:tcBorders>
                    <w:tl2br w:val="nil"/>
                    <w:tr2bl w:val="nil"/>
                  </w:tcBorders>
                  <w:vAlign w:val="center"/>
                </w:tcPr>
                <w:p>
                  <w:pPr>
                    <w:pStyle w:val="38"/>
                    <w:bidi w:val="0"/>
                    <w:rPr>
                      <w:color w:val="auto"/>
                      <w:highlight w:val="none"/>
                    </w:rPr>
                  </w:pPr>
                </w:p>
              </w:tc>
              <w:tc>
                <w:tcPr>
                  <w:tcW w:w="854" w:type="dxa"/>
                  <w:vMerge w:val="continue"/>
                  <w:tcBorders>
                    <w:tl2br w:val="nil"/>
                    <w:tr2bl w:val="nil"/>
                  </w:tcBorders>
                  <w:vAlign w:val="center"/>
                </w:tcPr>
                <w:p>
                  <w:pPr>
                    <w:pStyle w:val="38"/>
                    <w:bidi w:val="0"/>
                    <w:rPr>
                      <w:color w:val="auto"/>
                      <w:highlight w:val="none"/>
                    </w:rPr>
                  </w:pPr>
                </w:p>
              </w:tc>
              <w:tc>
                <w:tcPr>
                  <w:tcW w:w="986" w:type="dxa"/>
                  <w:tcBorders>
                    <w:tl2br w:val="nil"/>
                    <w:tr2bl w:val="nil"/>
                  </w:tcBorders>
                  <w:vAlign w:val="center"/>
                </w:tcPr>
                <w:p>
                  <w:pPr>
                    <w:pStyle w:val="38"/>
                    <w:bidi w:val="0"/>
                    <w:rPr>
                      <w:rFonts w:hint="eastAsia" w:eastAsia="宋体"/>
                      <w:color w:val="auto"/>
                      <w:highlight w:val="none"/>
                      <w:lang w:val="en-US" w:eastAsia="zh-CN"/>
                    </w:rPr>
                  </w:pPr>
                  <w:r>
                    <w:rPr>
                      <w:rFonts w:hint="eastAsia"/>
                      <w:color w:val="auto"/>
                      <w:highlight w:val="none"/>
                      <w:lang w:val="en-US" w:eastAsia="zh-CN"/>
                    </w:rPr>
                    <w:t>改建前</w:t>
                  </w:r>
                </w:p>
              </w:tc>
              <w:tc>
                <w:tcPr>
                  <w:tcW w:w="987" w:type="dxa"/>
                  <w:tcBorders>
                    <w:tl2br w:val="nil"/>
                    <w:tr2bl w:val="nil"/>
                  </w:tcBorders>
                  <w:vAlign w:val="center"/>
                </w:tcPr>
                <w:p>
                  <w:pPr>
                    <w:pStyle w:val="38"/>
                    <w:bidi w:val="0"/>
                    <w:rPr>
                      <w:rFonts w:hint="eastAsia" w:eastAsia="宋体"/>
                      <w:color w:val="auto"/>
                      <w:highlight w:val="none"/>
                      <w:lang w:val="en-US" w:eastAsia="zh-CN"/>
                    </w:rPr>
                  </w:pPr>
                  <w:r>
                    <w:rPr>
                      <w:rFonts w:hint="eastAsia"/>
                      <w:color w:val="auto"/>
                      <w:highlight w:val="none"/>
                      <w:lang w:val="en-US" w:eastAsia="zh-CN"/>
                    </w:rPr>
                    <w:t>改建后</w:t>
                  </w:r>
                </w:p>
              </w:tc>
              <w:tc>
                <w:tcPr>
                  <w:tcW w:w="1062" w:type="dxa"/>
                  <w:vMerge w:val="continue"/>
                  <w:tcBorders>
                    <w:tl2br w:val="nil"/>
                    <w:tr2bl w:val="nil"/>
                  </w:tcBorders>
                  <w:vAlign w:val="center"/>
                </w:tcPr>
                <w:p>
                  <w:pPr>
                    <w:pStyle w:val="38"/>
                    <w:bidi w:val="0"/>
                    <w:rPr>
                      <w:color w:val="auto"/>
                      <w:highlight w:val="none"/>
                    </w:rPr>
                  </w:pPr>
                </w:p>
              </w:tc>
              <w:tc>
                <w:tcPr>
                  <w:tcW w:w="1361" w:type="dxa"/>
                  <w:vMerge w:val="continue"/>
                  <w:tcBorders>
                    <w:tl2br w:val="nil"/>
                    <w:tr2bl w:val="nil"/>
                  </w:tcBorders>
                  <w:vAlign w:val="center"/>
                </w:tcPr>
                <w:p>
                  <w:pPr>
                    <w:pStyle w:val="38"/>
                    <w:bidi w:val="0"/>
                    <w:rPr>
                      <w:color w:val="auto"/>
                      <w:highlight w:val="none"/>
                    </w:rPr>
                  </w:pPr>
                </w:p>
              </w:tc>
              <w:tc>
                <w:tcPr>
                  <w:tcW w:w="1794" w:type="dxa"/>
                  <w:vMerge w:val="continue"/>
                  <w:tcBorders>
                    <w:tl2br w:val="nil"/>
                    <w:tr2bl w:val="nil"/>
                  </w:tcBorders>
                  <w:vAlign w:val="center"/>
                </w:tcPr>
                <w:p>
                  <w:pPr>
                    <w:pStyle w:val="38"/>
                    <w:bidi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tcBorders>
                    <w:tl2br w:val="nil"/>
                    <w:tr2bl w:val="nil"/>
                  </w:tcBorders>
                  <w:vAlign w:val="center"/>
                </w:tcPr>
                <w:p>
                  <w:pPr>
                    <w:pStyle w:val="38"/>
                    <w:bidi w:val="0"/>
                    <w:rPr>
                      <w:rFonts w:hint="default"/>
                      <w:color w:val="auto"/>
                      <w:highlight w:val="none"/>
                      <w:lang w:val="en-US" w:eastAsia="zh-CN"/>
                    </w:rPr>
                  </w:pPr>
                  <w:r>
                    <w:rPr>
                      <w:rFonts w:hint="default"/>
                      <w:color w:val="auto"/>
                      <w:highlight w:val="none"/>
                      <w:lang w:val="en-US" w:eastAsia="zh-CN"/>
                    </w:rPr>
                    <w:t>1</w:t>
                  </w:r>
                </w:p>
              </w:tc>
              <w:tc>
                <w:tcPr>
                  <w:tcW w:w="854" w:type="dxa"/>
                  <w:tcBorders>
                    <w:tl2br w:val="nil"/>
                    <w:tr2bl w:val="nil"/>
                  </w:tcBorders>
                  <w:vAlign w:val="center"/>
                </w:tcPr>
                <w:p>
                  <w:pPr>
                    <w:pStyle w:val="38"/>
                    <w:bidi w:val="0"/>
                    <w:rPr>
                      <w:rFonts w:hint="default"/>
                      <w:color w:val="auto"/>
                      <w:highlight w:val="none"/>
                      <w:lang w:val="en-US" w:eastAsia="zh-CN"/>
                    </w:rPr>
                  </w:pPr>
                  <w:r>
                    <w:rPr>
                      <w:rFonts w:hint="default"/>
                      <w:color w:val="auto"/>
                      <w:highlight w:val="none"/>
                      <w:lang w:val="en-US" w:eastAsia="zh-CN"/>
                    </w:rPr>
                    <w:t>水</w:t>
                  </w:r>
                </w:p>
              </w:tc>
              <w:tc>
                <w:tcPr>
                  <w:tcW w:w="986" w:type="dxa"/>
                  <w:tcBorders>
                    <w:tl2br w:val="nil"/>
                    <w:tr2bl w:val="nil"/>
                  </w:tcBorders>
                  <w:vAlign w:val="center"/>
                </w:tcPr>
                <w:p>
                  <w:pPr>
                    <w:pStyle w:val="38"/>
                    <w:bidi w:val="0"/>
                    <w:rPr>
                      <w:rFonts w:hint="default" w:eastAsia="宋体"/>
                      <w:color w:val="auto"/>
                      <w:highlight w:val="none"/>
                      <w:lang w:val="en-US" w:eastAsia="zh-CN"/>
                    </w:rPr>
                  </w:pPr>
                  <w:r>
                    <w:rPr>
                      <w:rFonts w:hint="eastAsia"/>
                      <w:color w:val="auto"/>
                      <w:highlight w:val="none"/>
                      <w:lang w:val="en-US" w:eastAsia="zh-CN"/>
                    </w:rPr>
                    <w:t>4.165</w:t>
                  </w:r>
                </w:p>
              </w:tc>
              <w:tc>
                <w:tcPr>
                  <w:tcW w:w="987" w:type="dxa"/>
                  <w:tcBorders>
                    <w:tl2br w:val="nil"/>
                    <w:tr2bl w:val="nil"/>
                  </w:tcBorders>
                  <w:shd w:val="clear" w:color="auto" w:fill="auto"/>
                  <w:vAlign w:val="center"/>
                </w:tcPr>
                <w:p>
                  <w:pPr>
                    <w:pStyle w:val="38"/>
                    <w:bidi w:val="0"/>
                    <w:ind w:firstLine="0" w:firstLineChars="0"/>
                    <w:rPr>
                      <w:rFonts w:hint="eastAsia" w:ascii="Times New Roman" w:hAnsi="Times New Roman" w:eastAsia="宋体" w:cstheme="minorBidi"/>
                      <w:color w:val="auto"/>
                      <w:kern w:val="0"/>
                      <w:sz w:val="18"/>
                      <w:szCs w:val="18"/>
                      <w:highlight w:val="none"/>
                      <w:lang w:val="en-US" w:eastAsia="zh-CN" w:bidi="ar-SA"/>
                    </w:rPr>
                  </w:pPr>
                  <w:r>
                    <w:rPr>
                      <w:rFonts w:hint="eastAsia"/>
                      <w:color w:val="auto"/>
                      <w:highlight w:val="none"/>
                      <w:lang w:val="en-US" w:eastAsia="zh-CN"/>
                    </w:rPr>
                    <w:t>7.96</w:t>
                  </w:r>
                </w:p>
              </w:tc>
              <w:tc>
                <w:tcPr>
                  <w:tcW w:w="1062" w:type="dxa"/>
                  <w:tcBorders>
                    <w:tl2br w:val="nil"/>
                    <w:tr2bl w:val="nil"/>
                  </w:tcBorders>
                  <w:vAlign w:val="center"/>
                </w:tcPr>
                <w:p>
                  <w:pPr>
                    <w:pStyle w:val="38"/>
                    <w:bidi w:val="0"/>
                    <w:rPr>
                      <w:rFonts w:hint="default"/>
                      <w:color w:val="auto"/>
                      <w:highlight w:val="none"/>
                      <w:lang w:val="en-US" w:eastAsia="zh-CN"/>
                    </w:rPr>
                  </w:pPr>
                  <w:r>
                    <w:rPr>
                      <w:rFonts w:hint="eastAsia"/>
                      <w:color w:val="auto"/>
                      <w:highlight w:val="none"/>
                      <w:lang w:val="en-US" w:eastAsia="zh-CN"/>
                    </w:rPr>
                    <w:t>万m</w:t>
                  </w:r>
                  <w:r>
                    <w:rPr>
                      <w:rFonts w:hint="eastAsia"/>
                      <w:color w:val="auto"/>
                      <w:highlight w:val="none"/>
                      <w:vertAlign w:val="superscript"/>
                      <w:lang w:val="en-US" w:eastAsia="zh-CN"/>
                    </w:rPr>
                    <w:t>3</w:t>
                  </w:r>
                  <w:r>
                    <w:rPr>
                      <w:rFonts w:hint="eastAsia"/>
                      <w:color w:val="auto"/>
                      <w:highlight w:val="none"/>
                      <w:lang w:val="en-US" w:eastAsia="zh-CN"/>
                    </w:rPr>
                    <w:t>/a</w:t>
                  </w:r>
                </w:p>
              </w:tc>
              <w:tc>
                <w:tcPr>
                  <w:tcW w:w="1361" w:type="dxa"/>
                  <w:tcBorders>
                    <w:tl2br w:val="nil"/>
                    <w:tr2bl w:val="nil"/>
                  </w:tcBorders>
                  <w:vAlign w:val="center"/>
                </w:tcPr>
                <w:p>
                  <w:pPr>
                    <w:pStyle w:val="38"/>
                    <w:bidi w:val="0"/>
                    <w:rPr>
                      <w:rFonts w:hint="default"/>
                      <w:color w:val="auto"/>
                      <w:highlight w:val="none"/>
                      <w:lang w:val="en-US" w:eastAsia="zh-CN"/>
                    </w:rPr>
                  </w:pPr>
                  <w:r>
                    <w:rPr>
                      <w:rFonts w:hint="eastAsia"/>
                      <w:color w:val="auto"/>
                      <w:highlight w:val="none"/>
                      <w:lang w:val="en-US" w:eastAsia="zh-CN"/>
                    </w:rPr>
                    <w:t>/</w:t>
                  </w:r>
                </w:p>
              </w:tc>
              <w:tc>
                <w:tcPr>
                  <w:tcW w:w="1794" w:type="dxa"/>
                  <w:tcBorders>
                    <w:tl2br w:val="nil"/>
                    <w:tr2bl w:val="nil"/>
                  </w:tcBorders>
                  <w:vAlign w:val="center"/>
                </w:tcPr>
                <w:p>
                  <w:pPr>
                    <w:pStyle w:val="38"/>
                    <w:bidi w:val="0"/>
                    <w:rPr>
                      <w:rFonts w:hint="default"/>
                      <w:color w:val="auto"/>
                      <w:highlight w:val="none"/>
                      <w:lang w:val="en-US" w:eastAsia="zh-CN"/>
                    </w:rPr>
                  </w:pPr>
                  <w:r>
                    <w:rPr>
                      <w:rFonts w:hint="default"/>
                      <w:color w:val="auto"/>
                      <w:highlight w:val="none"/>
                      <w:lang w:val="en-US" w:eastAsia="zh-CN"/>
                    </w:rPr>
                    <w:t>厂区生产给水管网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tcBorders>
                    <w:tl2br w:val="nil"/>
                    <w:tr2bl w:val="nil"/>
                  </w:tcBorders>
                  <w:vAlign w:val="center"/>
                </w:tcPr>
                <w:p>
                  <w:pPr>
                    <w:pStyle w:val="38"/>
                    <w:bidi w:val="0"/>
                    <w:rPr>
                      <w:rFonts w:hint="default"/>
                      <w:color w:val="auto"/>
                      <w:highlight w:val="none"/>
                      <w:lang w:val="en-US" w:eastAsia="zh-CN"/>
                    </w:rPr>
                  </w:pPr>
                  <w:r>
                    <w:rPr>
                      <w:rFonts w:hint="default"/>
                      <w:color w:val="auto"/>
                      <w:highlight w:val="none"/>
                      <w:lang w:val="en-US" w:eastAsia="zh-CN"/>
                    </w:rPr>
                    <w:t>2</w:t>
                  </w:r>
                </w:p>
              </w:tc>
              <w:tc>
                <w:tcPr>
                  <w:tcW w:w="854" w:type="dxa"/>
                  <w:tcBorders>
                    <w:tl2br w:val="nil"/>
                    <w:tr2bl w:val="nil"/>
                  </w:tcBorders>
                  <w:vAlign w:val="center"/>
                </w:tcPr>
                <w:p>
                  <w:pPr>
                    <w:pStyle w:val="38"/>
                    <w:bidi w:val="0"/>
                    <w:rPr>
                      <w:rFonts w:hint="default"/>
                      <w:color w:val="auto"/>
                      <w:highlight w:val="none"/>
                      <w:lang w:val="en-US" w:eastAsia="zh-CN"/>
                    </w:rPr>
                  </w:pPr>
                  <w:r>
                    <w:rPr>
                      <w:rFonts w:hint="default"/>
                      <w:color w:val="auto"/>
                      <w:highlight w:val="none"/>
                      <w:lang w:val="en-US" w:eastAsia="zh-CN"/>
                    </w:rPr>
                    <w:t>电</w:t>
                  </w:r>
                </w:p>
              </w:tc>
              <w:tc>
                <w:tcPr>
                  <w:tcW w:w="986" w:type="dxa"/>
                  <w:tcBorders>
                    <w:tl2br w:val="nil"/>
                    <w:tr2bl w:val="nil"/>
                  </w:tcBorders>
                  <w:vAlign w:val="center"/>
                </w:tcPr>
                <w:p>
                  <w:pPr>
                    <w:pStyle w:val="38"/>
                    <w:bidi w:val="0"/>
                    <w:rPr>
                      <w:rFonts w:hint="default"/>
                      <w:color w:val="auto"/>
                      <w:highlight w:val="none"/>
                      <w:lang w:val="en-US" w:eastAsia="zh-CN"/>
                    </w:rPr>
                  </w:pPr>
                  <w:r>
                    <w:rPr>
                      <w:rFonts w:hint="eastAsia"/>
                      <w:color w:val="auto"/>
                      <w:highlight w:val="none"/>
                      <w:lang w:val="en-US" w:eastAsia="zh-CN"/>
                    </w:rPr>
                    <w:t>1997</w:t>
                  </w:r>
                </w:p>
              </w:tc>
              <w:tc>
                <w:tcPr>
                  <w:tcW w:w="987" w:type="dxa"/>
                  <w:tcBorders>
                    <w:tl2br w:val="nil"/>
                    <w:tr2bl w:val="nil"/>
                  </w:tcBorders>
                  <w:shd w:val="clear" w:color="auto" w:fill="auto"/>
                  <w:vAlign w:val="center"/>
                </w:tcPr>
                <w:p>
                  <w:pPr>
                    <w:pStyle w:val="38"/>
                    <w:bidi w:val="0"/>
                    <w:ind w:firstLine="0" w:firstLineChars="0"/>
                    <w:rPr>
                      <w:rFonts w:hint="default" w:ascii="Times New Roman" w:hAnsi="Times New Roman" w:eastAsia="宋体" w:cstheme="minorBidi"/>
                      <w:color w:val="auto"/>
                      <w:kern w:val="0"/>
                      <w:sz w:val="18"/>
                      <w:szCs w:val="18"/>
                      <w:highlight w:val="none"/>
                      <w:lang w:val="en-US" w:eastAsia="zh-CN" w:bidi="ar-SA"/>
                    </w:rPr>
                  </w:pPr>
                  <w:r>
                    <w:rPr>
                      <w:rFonts w:hint="default" w:eastAsia="宋体"/>
                      <w:color w:val="auto"/>
                      <w:highlight w:val="none"/>
                      <w:lang w:val="en-US" w:eastAsia="zh-CN"/>
                    </w:rPr>
                    <w:t>33</w:t>
                  </w:r>
                  <w:r>
                    <w:rPr>
                      <w:rFonts w:hint="eastAsia"/>
                      <w:color w:val="auto"/>
                      <w:highlight w:val="none"/>
                      <w:lang w:val="en-US" w:eastAsia="zh-CN"/>
                    </w:rPr>
                    <w:t>81</w:t>
                  </w:r>
                </w:p>
              </w:tc>
              <w:tc>
                <w:tcPr>
                  <w:tcW w:w="1062" w:type="dxa"/>
                  <w:tcBorders>
                    <w:tl2br w:val="nil"/>
                    <w:tr2bl w:val="nil"/>
                  </w:tcBorders>
                  <w:vAlign w:val="center"/>
                </w:tcPr>
                <w:p>
                  <w:pPr>
                    <w:pStyle w:val="38"/>
                    <w:bidi w:val="0"/>
                    <w:rPr>
                      <w:rFonts w:hint="default"/>
                      <w:color w:val="auto"/>
                      <w:highlight w:val="none"/>
                      <w:lang w:val="en-US" w:eastAsia="zh-CN"/>
                    </w:rPr>
                  </w:pPr>
                  <w:r>
                    <w:rPr>
                      <w:rFonts w:hint="default"/>
                      <w:color w:val="auto"/>
                      <w:highlight w:val="none"/>
                      <w:lang w:val="en-US" w:eastAsia="zh-CN"/>
                    </w:rPr>
                    <w:t>万kWh/a</w:t>
                  </w:r>
                </w:p>
              </w:tc>
              <w:tc>
                <w:tcPr>
                  <w:tcW w:w="1361" w:type="dxa"/>
                  <w:tcBorders>
                    <w:tl2br w:val="nil"/>
                    <w:tr2bl w:val="nil"/>
                  </w:tcBorders>
                  <w:vAlign w:val="center"/>
                </w:tcPr>
                <w:p>
                  <w:pPr>
                    <w:pStyle w:val="38"/>
                    <w:bidi w:val="0"/>
                    <w:rPr>
                      <w:rFonts w:hint="default"/>
                      <w:color w:val="auto"/>
                      <w:highlight w:val="none"/>
                      <w:lang w:val="en-US" w:eastAsia="zh-CN"/>
                    </w:rPr>
                  </w:pPr>
                  <w:r>
                    <w:rPr>
                      <w:rFonts w:hint="default"/>
                      <w:color w:val="auto"/>
                      <w:highlight w:val="none"/>
                      <w:lang w:val="en-US" w:eastAsia="zh-CN"/>
                    </w:rPr>
                    <w:t>4155.25</w:t>
                  </w:r>
                </w:p>
              </w:tc>
              <w:tc>
                <w:tcPr>
                  <w:tcW w:w="1794" w:type="dxa"/>
                  <w:tcBorders>
                    <w:tl2br w:val="nil"/>
                    <w:tr2bl w:val="nil"/>
                  </w:tcBorders>
                  <w:vAlign w:val="center"/>
                </w:tcPr>
                <w:p>
                  <w:pPr>
                    <w:pStyle w:val="38"/>
                    <w:bidi w:val="0"/>
                    <w:rPr>
                      <w:rFonts w:hint="default"/>
                      <w:color w:val="auto"/>
                      <w:highlight w:val="none"/>
                      <w:lang w:val="en-US" w:eastAsia="zh-CN"/>
                    </w:rPr>
                  </w:pPr>
                  <w:r>
                    <w:rPr>
                      <w:rFonts w:hint="default"/>
                      <w:color w:val="auto"/>
                      <w:highlight w:val="none"/>
                      <w:lang w:val="en-US" w:eastAsia="zh-CN"/>
                    </w:rPr>
                    <w:t>厂区变电站</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（十一）劳动定员及工作制度</w:t>
            </w:r>
          </w:p>
          <w:p>
            <w:pPr>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w:t>
            </w:r>
            <w:r>
              <w:rPr>
                <w:rFonts w:hint="default" w:ascii="Times New Roman" w:hAnsi="Times New Roman" w:cs="Times New Roman"/>
                <w:color w:val="auto"/>
                <w:highlight w:val="none"/>
                <w:lang w:val="en-US" w:eastAsia="zh-CN"/>
              </w:rPr>
              <w:t>劳动定员：</w:t>
            </w:r>
            <w:r>
              <w:rPr>
                <w:color w:val="auto"/>
                <w:szCs w:val="28"/>
                <w:highlight w:val="none"/>
              </w:rPr>
              <w:t>本项目</w:t>
            </w:r>
            <w:r>
              <w:rPr>
                <w:rFonts w:hint="eastAsia"/>
                <w:color w:val="auto"/>
                <w:szCs w:val="28"/>
                <w:highlight w:val="none"/>
                <w:lang w:val="en-US" w:eastAsia="zh-CN"/>
              </w:rPr>
              <w:t>现有劳动</w:t>
            </w:r>
            <w:r>
              <w:rPr>
                <w:color w:val="auto"/>
                <w:szCs w:val="28"/>
                <w:highlight w:val="none"/>
              </w:rPr>
              <w:t>定员</w:t>
            </w:r>
            <w:r>
              <w:rPr>
                <w:rFonts w:hint="eastAsia"/>
                <w:color w:val="auto"/>
                <w:szCs w:val="28"/>
                <w:highlight w:val="none"/>
                <w:lang w:val="en-US" w:eastAsia="zh-CN"/>
              </w:rPr>
              <w:t>1</w:t>
            </w:r>
            <w:r>
              <w:rPr>
                <w:color w:val="auto"/>
                <w:szCs w:val="28"/>
                <w:highlight w:val="none"/>
              </w:rPr>
              <w:t>0人</w:t>
            </w:r>
            <w:r>
              <w:rPr>
                <w:rFonts w:hint="eastAsia"/>
                <w:color w:val="auto"/>
                <w:szCs w:val="28"/>
                <w:highlight w:val="none"/>
                <w:lang w:eastAsia="zh-CN"/>
              </w:rPr>
              <w:t>，</w:t>
            </w:r>
            <w:r>
              <w:rPr>
                <w:rFonts w:hint="eastAsia"/>
                <w:color w:val="auto"/>
                <w:szCs w:val="28"/>
                <w:highlight w:val="none"/>
                <w:lang w:val="en-US" w:eastAsia="zh-CN"/>
              </w:rPr>
              <w:t>项目改建后</w:t>
            </w:r>
            <w:r>
              <w:rPr>
                <w:rFonts w:hint="eastAsia" w:ascii="Times New Roman" w:hAnsi="Times New Roman" w:eastAsia="宋体" w:cs="Times New Roman"/>
                <w:color w:val="auto"/>
                <w:sz w:val="24"/>
                <w:highlight w:val="none"/>
                <w:lang w:val="en-US" w:eastAsia="zh-CN"/>
              </w:rPr>
              <w:t>无需增加劳动定员，现有岗位人员可满足生产需求</w:t>
            </w:r>
            <w:r>
              <w:rPr>
                <w:rFonts w:hint="default" w:ascii="Times New Roman" w:hAnsi="Times New Roman" w:cs="Times New Roman"/>
                <w:color w:val="auto"/>
                <w:highlight w:val="none"/>
                <w:lang w:val="en-US" w:eastAsia="zh-CN"/>
              </w:rPr>
              <w:t>。</w:t>
            </w:r>
          </w:p>
          <w:p>
            <w:pPr>
              <w:pageBreakBefore w:val="0"/>
              <w:kinsoku/>
              <w:wordWrap/>
              <w:overflowPunct/>
              <w:topLinePunct w:val="0"/>
              <w:autoSpaceDE/>
              <w:autoSpaceDN/>
              <w:bidi w:val="0"/>
              <w:adjustRightIn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cs="Times New Roman"/>
                <w:color w:val="auto"/>
                <w:highlight w:val="none"/>
                <w:lang w:val="en-US" w:eastAsia="zh-CN"/>
              </w:rPr>
              <w:t>2、</w:t>
            </w:r>
            <w:r>
              <w:rPr>
                <w:rFonts w:hint="default" w:ascii="Times New Roman" w:hAnsi="Times New Roman" w:cs="Times New Roman"/>
                <w:color w:val="auto"/>
                <w:highlight w:val="none"/>
                <w:lang w:val="en-US" w:eastAsia="zh-CN"/>
              </w:rPr>
              <w:t>工作制度：</w:t>
            </w:r>
            <w:r>
              <w:rPr>
                <w:rFonts w:hint="eastAsia" w:ascii="Times New Roman" w:hAnsi="Times New Roman" w:eastAsia="宋体" w:cs="Times New Roman"/>
                <w:color w:val="auto"/>
                <w:sz w:val="24"/>
                <w:highlight w:val="none"/>
                <w:lang w:val="en-US" w:eastAsia="zh-CN"/>
              </w:rPr>
              <w:t>项目建成后生产运行实行连续工作制，沿用现有工作制度：按四班三运转，每天3班，每班8小时连续作业，年工作天数330天。</w:t>
            </w:r>
          </w:p>
          <w:p>
            <w:pPr>
              <w:bidi w:val="0"/>
              <w:rPr>
                <w:rFonts w:hint="eastAsia"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（十二）水平衡分析</w:t>
            </w:r>
          </w:p>
          <w:p>
            <w:pPr>
              <w:keepNext w:val="0"/>
              <w:keepLines w:val="0"/>
              <w:widowControl/>
              <w:suppressLineNumbers w:val="0"/>
              <w:jc w:val="left"/>
              <w:rPr>
                <w:rFonts w:hint="default"/>
                <w:color w:val="auto"/>
                <w:highlight w:val="none"/>
                <w:lang w:val="en-US" w:eastAsia="zh-CN"/>
              </w:rPr>
            </w:pPr>
            <w:r>
              <w:rPr>
                <w:rFonts w:hint="eastAsia"/>
                <w:color w:val="auto"/>
                <w:highlight w:val="none"/>
                <w:lang w:val="en-US" w:eastAsia="zh-CN"/>
              </w:rPr>
              <w:t>本项目运营期用水主要包括员工生活用水</w:t>
            </w:r>
            <w:r>
              <w:rPr>
                <w:rFonts w:hint="eastAsia" w:ascii="宋体" w:hAnsi="宋体" w:eastAsia="宋体" w:cs="宋体"/>
                <w:color w:val="auto"/>
                <w:kern w:val="0"/>
                <w:sz w:val="24"/>
                <w:szCs w:val="24"/>
                <w:highlight w:val="none"/>
                <w:lang w:val="en-US" w:eastAsia="zh-CN" w:bidi="ar"/>
              </w:rPr>
              <w:t>及</w:t>
            </w:r>
            <w:r>
              <w:rPr>
                <w:rFonts w:hint="eastAsia" w:ascii="宋体" w:hAnsi="宋体" w:cs="宋体"/>
                <w:color w:val="auto"/>
                <w:kern w:val="0"/>
                <w:sz w:val="24"/>
                <w:szCs w:val="24"/>
                <w:highlight w:val="none"/>
                <w:lang w:val="en-US" w:eastAsia="zh-CN" w:bidi="ar"/>
              </w:rPr>
              <w:t>生产</w:t>
            </w:r>
            <w:r>
              <w:rPr>
                <w:rFonts w:hint="eastAsia" w:ascii="宋体" w:hAnsi="宋体" w:eastAsia="宋体" w:cs="宋体"/>
                <w:color w:val="auto"/>
                <w:kern w:val="0"/>
                <w:sz w:val="24"/>
                <w:szCs w:val="24"/>
                <w:highlight w:val="none"/>
                <w:lang w:val="en-US" w:eastAsia="zh-CN" w:bidi="ar"/>
              </w:rPr>
              <w:t>用水</w:t>
            </w:r>
            <w:r>
              <w:rPr>
                <w:rFonts w:hint="eastAsia" w:ascii="宋体" w:hAnsi="宋体" w:cs="宋体"/>
                <w:color w:val="auto"/>
                <w:kern w:val="0"/>
                <w:sz w:val="24"/>
                <w:szCs w:val="24"/>
                <w:highlight w:val="none"/>
                <w:lang w:val="en-US" w:eastAsia="zh-CN" w:bidi="ar"/>
              </w:rPr>
              <w:t>；运营期废水主要包括生活污水及循环冷却系统排污水</w:t>
            </w:r>
            <w:r>
              <w:rPr>
                <w:rFonts w:hint="eastAsia" w:ascii="宋体" w:hAnsi="宋体" w:eastAsia="宋体" w:cs="宋体"/>
                <w:color w:val="auto"/>
                <w:kern w:val="0"/>
                <w:sz w:val="24"/>
                <w:szCs w:val="24"/>
                <w:highlight w:val="none"/>
                <w:lang w:val="en-US" w:eastAsia="zh-CN" w:bidi="ar"/>
              </w:rPr>
              <w:t>。</w:t>
            </w:r>
          </w:p>
          <w:p>
            <w:pPr>
              <w:bidi w:val="0"/>
              <w:rPr>
                <w:rFonts w:hint="default"/>
                <w:color w:val="auto"/>
                <w:highlight w:val="none"/>
                <w:lang w:val="en-US" w:eastAsia="zh-CN"/>
              </w:rPr>
            </w:pPr>
            <w:r>
              <w:rPr>
                <w:rFonts w:hint="eastAsia"/>
                <w:color w:val="auto"/>
                <w:highlight w:val="none"/>
                <w:lang w:val="en-US" w:eastAsia="zh-CN"/>
              </w:rPr>
              <w:t>1、生活用水/污水</w:t>
            </w:r>
          </w:p>
          <w:p>
            <w:pPr>
              <w:bidi w:val="0"/>
              <w:rPr>
                <w:rFonts w:hint="default" w:eastAsia="宋体"/>
                <w:color w:val="auto"/>
                <w:highlight w:val="none"/>
                <w:lang w:val="en-US" w:eastAsia="zh-CN"/>
              </w:rPr>
            </w:pPr>
            <w:r>
              <w:rPr>
                <w:rFonts w:hint="eastAsia"/>
                <w:color w:val="auto"/>
                <w:highlight w:val="none"/>
                <w:lang w:val="en-US" w:eastAsia="zh-CN"/>
              </w:rPr>
              <w:t>本项目改建完成后不新增劳动定员，不新增生活用水。现有劳动定员为10人，根据建设单位提供的资料，现有人员生活用水量约为1.2m</w:t>
            </w:r>
            <w:r>
              <w:rPr>
                <w:rFonts w:hint="eastAsia"/>
                <w:color w:val="auto"/>
                <w:highlight w:val="none"/>
                <w:vertAlign w:val="superscript"/>
                <w:lang w:val="en-US" w:eastAsia="zh-CN"/>
              </w:rPr>
              <w:t>3</w:t>
            </w:r>
            <w:r>
              <w:rPr>
                <w:rFonts w:hint="eastAsia"/>
                <w:color w:val="auto"/>
                <w:highlight w:val="none"/>
                <w:lang w:val="en-US" w:eastAsia="zh-CN"/>
              </w:rPr>
              <w:t>/d，废水产生量以0.8计，则项目生活污水产生量为0.96m</w:t>
            </w:r>
            <w:r>
              <w:rPr>
                <w:rFonts w:hint="eastAsia"/>
                <w:color w:val="auto"/>
                <w:highlight w:val="none"/>
                <w:vertAlign w:val="superscript"/>
                <w:lang w:val="en-US" w:eastAsia="zh-CN"/>
              </w:rPr>
              <w:t>3</w:t>
            </w:r>
            <w:r>
              <w:rPr>
                <w:rFonts w:hint="eastAsia"/>
                <w:color w:val="auto"/>
                <w:highlight w:val="none"/>
                <w:lang w:val="en-US" w:eastAsia="zh-CN"/>
              </w:rPr>
              <w:t>/d。产生的生活污水经收集后进入厂区生活污水处理站进行处理，处理达标后回用于绿化浇洒，不外排</w:t>
            </w:r>
            <w:r>
              <w:rPr>
                <w:rFonts w:hint="eastAsia"/>
                <w:color w:val="auto"/>
                <w:sz w:val="24"/>
                <w:highlight w:val="none"/>
                <w:lang w:eastAsia="zh-CN"/>
              </w:rPr>
              <w:t>。</w:t>
            </w:r>
          </w:p>
          <w:p>
            <w:pPr>
              <w:bidi w:val="0"/>
              <w:rPr>
                <w:rFonts w:hint="eastAsia"/>
                <w:color w:val="auto"/>
                <w:highlight w:val="none"/>
                <w:lang w:val="en-US" w:eastAsia="zh-CN"/>
              </w:rPr>
            </w:pPr>
            <w:r>
              <w:rPr>
                <w:rFonts w:hint="eastAsia"/>
                <w:color w:val="auto"/>
                <w:highlight w:val="none"/>
                <w:lang w:val="en-US" w:eastAsia="zh-CN"/>
              </w:rPr>
              <w:t>2、循环冷却系统用/排水</w:t>
            </w:r>
          </w:p>
          <w:p>
            <w:pPr>
              <w:bidi w:val="0"/>
              <w:rPr>
                <w:rFonts w:hint="default" w:eastAsia="宋体"/>
                <w:color w:val="auto"/>
                <w:highlight w:val="none"/>
                <w:lang w:val="en-US" w:eastAsia="zh-CN"/>
              </w:rPr>
            </w:pPr>
            <w:r>
              <w:rPr>
                <w:rFonts w:hint="eastAsia"/>
                <w:color w:val="auto"/>
                <w:highlight w:val="none"/>
                <w:lang w:val="en-US" w:eastAsia="zh-CN"/>
              </w:rPr>
              <w:t>根据建设单位提供的相关设计资料，本项目改造完成后，循环冷却系统总用水量为12000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其中</w:t>
            </w:r>
            <w:r>
              <w:rPr>
                <w:rFonts w:hint="default" w:ascii="Times New Roman" w:hAnsi="Times New Roman" w:eastAsia="宋体" w:cs="Times New Roman"/>
                <w:color w:val="auto"/>
                <w:sz w:val="24"/>
                <w:szCs w:val="24"/>
                <w:highlight w:val="none"/>
              </w:rPr>
              <w:t>循环水量</w:t>
            </w:r>
            <w:r>
              <w:rPr>
                <w:rFonts w:hint="eastAsia" w:cs="Times New Roman"/>
                <w:color w:val="auto"/>
                <w:sz w:val="24"/>
                <w:szCs w:val="24"/>
                <w:highlight w:val="none"/>
                <w:lang w:val="en-US" w:eastAsia="zh-CN"/>
              </w:rPr>
              <w:t>为</w:t>
            </w:r>
            <w:r>
              <w:rPr>
                <w:rFonts w:hint="eastAsia" w:ascii="Times New Roman" w:hAnsi="Times New Roman" w:eastAsia="宋体" w:cs="Times New Roman"/>
                <w:color w:val="auto"/>
                <w:sz w:val="24"/>
                <w:szCs w:val="24"/>
                <w:highlight w:val="none"/>
                <w:lang w:val="en-US" w:eastAsia="zh-CN"/>
              </w:rPr>
              <w:t>11760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损耗水量为239.09</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lang w:eastAsia="zh-CN"/>
              </w:rPr>
              <w:t>，</w:t>
            </w:r>
            <w:r>
              <w:rPr>
                <w:rFonts w:hint="eastAsia"/>
                <w:color w:val="auto"/>
                <w:highlight w:val="none"/>
                <w:lang w:val="en-US" w:eastAsia="zh-CN"/>
              </w:rPr>
              <w:t>循环冷却系统</w:t>
            </w:r>
            <w:r>
              <w:rPr>
                <w:rFonts w:hint="eastAsia"/>
                <w:color w:val="auto"/>
                <w:highlight w:val="none"/>
              </w:rPr>
              <w:t>检修清理</w:t>
            </w:r>
            <w:r>
              <w:rPr>
                <w:rFonts w:hint="eastAsia"/>
                <w:color w:val="auto"/>
                <w:highlight w:val="none"/>
                <w:lang w:val="en-US" w:eastAsia="zh-CN"/>
              </w:rPr>
              <w:t>循环</w:t>
            </w:r>
            <w:r>
              <w:rPr>
                <w:rFonts w:hint="eastAsia"/>
                <w:color w:val="auto"/>
                <w:highlight w:val="none"/>
              </w:rPr>
              <w:t>水池排</w:t>
            </w:r>
            <w:r>
              <w:rPr>
                <w:rFonts w:hint="eastAsia"/>
                <w:color w:val="auto"/>
                <w:highlight w:val="none"/>
                <w:lang w:val="en-US" w:eastAsia="zh-CN"/>
              </w:rPr>
              <w:t>污</w:t>
            </w:r>
            <w:r>
              <w:rPr>
                <w:rFonts w:hint="eastAsia"/>
                <w:color w:val="auto"/>
                <w:highlight w:val="none"/>
              </w:rPr>
              <w:t>水</w:t>
            </w:r>
            <w:r>
              <w:rPr>
                <w:rFonts w:hint="eastAsia" w:ascii="Times New Roman" w:hAnsi="Times New Roman" w:cs="Times New Roman"/>
                <w:color w:val="auto"/>
                <w:sz w:val="24"/>
                <w:szCs w:val="24"/>
                <w:highlight w:val="none"/>
                <w:lang w:val="en-US" w:eastAsia="zh-CN"/>
              </w:rPr>
              <w:t>量为</w:t>
            </w:r>
            <w:r>
              <w:rPr>
                <w:rFonts w:hint="eastAsia" w:cs="Times New Roman"/>
                <w:color w:val="auto"/>
                <w:sz w:val="24"/>
                <w:szCs w:val="24"/>
                <w:highlight w:val="none"/>
                <w:lang w:val="en-US" w:eastAsia="zh-CN"/>
              </w:rPr>
              <w:t>300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a</w:t>
            </w:r>
            <w:r>
              <w:rPr>
                <w:rFonts w:hint="eastAsia"/>
                <w:color w:val="auto"/>
                <w:highlight w:val="none"/>
                <w:lang w:val="en-US" w:eastAsia="zh-CN"/>
              </w:rPr>
              <w:t>（平均0.91m</w:t>
            </w:r>
            <w:r>
              <w:rPr>
                <w:rFonts w:hint="eastAsia"/>
                <w:color w:val="auto"/>
                <w:highlight w:val="none"/>
                <w:vertAlign w:val="superscript"/>
                <w:lang w:val="en-US" w:eastAsia="zh-CN"/>
              </w:rPr>
              <w:t>3</w:t>
            </w:r>
            <w:r>
              <w:rPr>
                <w:rFonts w:hint="eastAsia"/>
                <w:color w:val="auto"/>
                <w:highlight w:val="none"/>
                <w:lang w:val="en-US" w:eastAsia="zh-CN"/>
              </w:rPr>
              <w:t>/d）</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需补充新鲜水量为240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循环冷却系统排污水</w:t>
            </w:r>
            <w:r>
              <w:rPr>
                <w:rFonts w:hint="eastAsia"/>
                <w:color w:val="auto"/>
                <w:highlight w:val="none"/>
                <w:lang w:val="en-US" w:eastAsia="zh-CN"/>
              </w:rPr>
              <w:t>经污水管道排入厂区已建生产废水深度水处理站处理达标后回用于易门铜业有限公司冶炼渣缓冷场，不外排。</w:t>
            </w:r>
          </w:p>
          <w:p>
            <w:pPr>
              <w:pStyle w:val="36"/>
              <w:bidi w:val="0"/>
              <w:rPr>
                <w:rFonts w:hint="default" w:ascii="Times New Roman" w:hAnsi="Times New Roman" w:eastAsia="黑体" w:cs="Times New Roman"/>
                <w:b w:val="0"/>
                <w:bCs/>
                <w:color w:val="auto"/>
                <w:szCs w:val="21"/>
                <w:highlight w:val="none"/>
                <w:lang w:val="en-US" w:eastAsia="zh-CN"/>
              </w:rPr>
            </w:pPr>
            <w:r>
              <w:rPr>
                <w:rFonts w:hint="eastAsia"/>
                <w:color w:val="auto"/>
                <w:highlight w:val="none"/>
                <w:lang w:val="en-US" w:eastAsia="zh-CN"/>
              </w:rPr>
              <w:t>表2-8  项目用水及废水产生情况一览表</w:t>
            </w:r>
          </w:p>
          <w:tbl>
            <w:tblPr>
              <w:tblStyle w:val="23"/>
              <w:tblW w:w="5047"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Layout w:type="fixed"/>
              <w:tblCellMar>
                <w:top w:w="0" w:type="dxa"/>
                <w:left w:w="0" w:type="dxa"/>
                <w:bottom w:w="0" w:type="dxa"/>
                <w:right w:w="0" w:type="dxa"/>
              </w:tblCellMar>
            </w:tblPr>
            <w:tblGrid>
              <w:gridCol w:w="672"/>
              <w:gridCol w:w="825"/>
              <w:gridCol w:w="988"/>
              <w:gridCol w:w="820"/>
              <w:gridCol w:w="687"/>
              <w:gridCol w:w="707"/>
              <w:gridCol w:w="686"/>
              <w:gridCol w:w="718"/>
              <w:gridCol w:w="1762"/>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301" w:hRule="atLeast"/>
                <w:jc w:val="center"/>
              </w:trPr>
              <w:tc>
                <w:tcPr>
                  <w:tcW w:w="42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用水</w:t>
                  </w:r>
                </w:p>
                <w:p>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eastAsia" w:ascii="Times New Roman" w:hAnsi="Times New Roman" w:eastAsia="宋体" w:cs="Times New Roman"/>
                      <w:color w:val="auto"/>
                      <w:sz w:val="18"/>
                      <w:szCs w:val="18"/>
                      <w:highlight w:val="none"/>
                      <w:lang w:eastAsia="zh-CN"/>
                    </w:rPr>
                  </w:pPr>
                  <w:r>
                    <w:rPr>
                      <w:rFonts w:hint="eastAsia" w:cs="Times New Roman"/>
                      <w:color w:val="auto"/>
                      <w:sz w:val="18"/>
                      <w:szCs w:val="18"/>
                      <w:highlight w:val="none"/>
                      <w:lang w:val="en-US" w:eastAsia="zh-CN"/>
                    </w:rPr>
                    <w:t>项目</w:t>
                  </w:r>
                </w:p>
              </w:tc>
              <w:tc>
                <w:tcPr>
                  <w:tcW w:w="52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规模</w:t>
                  </w:r>
                </w:p>
              </w:tc>
              <w:tc>
                <w:tcPr>
                  <w:tcW w:w="62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用水定额</w:t>
                  </w:r>
                </w:p>
              </w:tc>
              <w:tc>
                <w:tcPr>
                  <w:tcW w:w="52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用水天数（d）</w:t>
                  </w:r>
                </w:p>
              </w:tc>
              <w:tc>
                <w:tcPr>
                  <w:tcW w:w="88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eastAsia"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用水量</w:t>
                  </w:r>
                </w:p>
              </w:tc>
              <w:tc>
                <w:tcPr>
                  <w:tcW w:w="89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废</w:t>
                  </w:r>
                  <w:r>
                    <w:rPr>
                      <w:rFonts w:hint="default" w:ascii="Times New Roman" w:hAnsi="Times New Roman" w:eastAsia="宋体" w:cs="Times New Roman"/>
                      <w:color w:val="auto"/>
                      <w:sz w:val="18"/>
                      <w:szCs w:val="18"/>
                      <w:highlight w:val="none"/>
                    </w:rPr>
                    <w:t>水排放量</w:t>
                  </w:r>
                </w:p>
              </w:tc>
              <w:tc>
                <w:tcPr>
                  <w:tcW w:w="112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处置方式</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235" w:hRule="atLeast"/>
                <w:jc w:val="center"/>
              </w:trPr>
              <w:tc>
                <w:tcPr>
                  <w:tcW w:w="4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highlight w:val="none"/>
                    </w:rPr>
                  </w:pPr>
                </w:p>
              </w:tc>
              <w:tc>
                <w:tcPr>
                  <w:tcW w:w="52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highlight w:val="none"/>
                    </w:rPr>
                  </w:pPr>
                </w:p>
              </w:tc>
              <w:tc>
                <w:tcPr>
                  <w:tcW w:w="62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highlight w:val="none"/>
                    </w:rPr>
                  </w:pPr>
                </w:p>
              </w:tc>
              <w:tc>
                <w:tcPr>
                  <w:tcW w:w="5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highlight w:val="none"/>
                    </w:rPr>
                  </w:pPr>
                </w:p>
              </w:tc>
              <w:tc>
                <w:tcPr>
                  <w:tcW w:w="4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/d</w:t>
                  </w:r>
                </w:p>
              </w:tc>
              <w:tc>
                <w:tcPr>
                  <w:tcW w:w="4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/a</w:t>
                  </w:r>
                </w:p>
              </w:tc>
              <w:tc>
                <w:tcPr>
                  <w:tcW w:w="4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/d</w:t>
                  </w:r>
                </w:p>
              </w:tc>
              <w:tc>
                <w:tcPr>
                  <w:tcW w:w="4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/a</w:t>
                  </w:r>
                </w:p>
              </w:tc>
              <w:tc>
                <w:tcPr>
                  <w:tcW w:w="112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highlight w:val="none"/>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1187" w:hRule="atLeast"/>
                <w:jc w:val="center"/>
              </w:trPr>
              <w:tc>
                <w:tcPr>
                  <w:tcW w:w="4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办公生活区</w:t>
                  </w:r>
                </w:p>
              </w:tc>
              <w:tc>
                <w:tcPr>
                  <w:tcW w:w="5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10人</w:t>
                  </w:r>
                </w:p>
                <w:p>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（不新增）</w:t>
                  </w:r>
                </w:p>
              </w:tc>
              <w:tc>
                <w:tcPr>
                  <w:tcW w:w="6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1.2m</w:t>
                  </w:r>
                  <w:r>
                    <w:rPr>
                      <w:rFonts w:hint="eastAsia" w:cs="Times New Roman"/>
                      <w:color w:val="auto"/>
                      <w:sz w:val="18"/>
                      <w:szCs w:val="18"/>
                      <w:highlight w:val="none"/>
                      <w:vertAlign w:val="superscript"/>
                      <w:lang w:val="en-US" w:eastAsia="zh-CN"/>
                    </w:rPr>
                    <w:t>3</w:t>
                  </w:r>
                  <w:r>
                    <w:rPr>
                      <w:rFonts w:hint="eastAsia" w:cs="Times New Roman"/>
                      <w:color w:val="auto"/>
                      <w:sz w:val="18"/>
                      <w:szCs w:val="18"/>
                      <w:highlight w:val="none"/>
                      <w:lang w:val="en-US" w:eastAsia="zh-CN"/>
                    </w:rPr>
                    <w:t>/d</w:t>
                  </w:r>
                </w:p>
              </w:tc>
              <w:tc>
                <w:tcPr>
                  <w:tcW w:w="5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330</w:t>
                  </w:r>
                </w:p>
              </w:tc>
              <w:tc>
                <w:tcPr>
                  <w:tcW w:w="4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1.2</w:t>
                  </w:r>
                </w:p>
              </w:tc>
              <w:tc>
                <w:tcPr>
                  <w:tcW w:w="4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396</w:t>
                  </w:r>
                </w:p>
              </w:tc>
              <w:tc>
                <w:tcPr>
                  <w:tcW w:w="4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0.96</w:t>
                  </w:r>
                </w:p>
              </w:tc>
              <w:tc>
                <w:tcPr>
                  <w:tcW w:w="4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316.8</w:t>
                  </w:r>
                </w:p>
              </w:tc>
              <w:tc>
                <w:tcPr>
                  <w:tcW w:w="11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highlight w:val="none"/>
                    </w:rPr>
                  </w:pPr>
                  <w:r>
                    <w:rPr>
                      <w:rFonts w:hint="eastAsia" w:ascii="Times New Roman" w:hAnsi="Times New Roman" w:cs="Times New Roman"/>
                      <w:color w:val="auto"/>
                      <w:sz w:val="18"/>
                      <w:szCs w:val="18"/>
                      <w:highlight w:val="none"/>
                      <w:lang w:val="en-US" w:eastAsia="zh-CN"/>
                    </w:rPr>
                    <w:t>生活污水经收集后进入厂区生活污水处理站进行处理，处理达标后回用于绿化浇洒，不外排。</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377" w:hRule="atLeast"/>
                <w:jc w:val="center"/>
              </w:trPr>
              <w:tc>
                <w:tcPr>
                  <w:tcW w:w="4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highlight w:val="none"/>
                      <w:lang w:val="en-US"/>
                    </w:rPr>
                  </w:pPr>
                  <w:r>
                    <w:rPr>
                      <w:rFonts w:hint="eastAsia" w:cs="Times New Roman"/>
                      <w:color w:val="auto"/>
                      <w:sz w:val="18"/>
                      <w:szCs w:val="18"/>
                      <w:highlight w:val="none"/>
                      <w:lang w:val="en-US" w:eastAsia="zh-CN"/>
                    </w:rPr>
                    <w:t>循环冷却系统</w:t>
                  </w:r>
                </w:p>
              </w:tc>
              <w:tc>
                <w:tcPr>
                  <w:tcW w:w="5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6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5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330</w:t>
                  </w:r>
                </w:p>
              </w:tc>
              <w:tc>
                <w:tcPr>
                  <w:tcW w:w="4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补充水：240</w:t>
                  </w:r>
                </w:p>
              </w:tc>
              <w:tc>
                <w:tcPr>
                  <w:tcW w:w="4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补充水：79200</w:t>
                  </w:r>
                </w:p>
              </w:tc>
              <w:tc>
                <w:tcPr>
                  <w:tcW w:w="4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0.91</w:t>
                  </w:r>
                </w:p>
              </w:tc>
              <w:tc>
                <w:tcPr>
                  <w:tcW w:w="4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300</w:t>
                  </w:r>
                </w:p>
              </w:tc>
              <w:tc>
                <w:tcPr>
                  <w:tcW w:w="11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highlight w:val="none"/>
                      <w:lang w:val="en-US"/>
                    </w:rPr>
                  </w:pPr>
                  <w:r>
                    <w:rPr>
                      <w:rFonts w:hint="default" w:ascii="Times New Roman" w:hAnsi="Times New Roman" w:eastAsia="宋体" w:cs="Times New Roman"/>
                      <w:color w:val="auto"/>
                      <w:sz w:val="18"/>
                      <w:szCs w:val="18"/>
                      <w:highlight w:val="none"/>
                      <w:lang w:val="en-US" w:eastAsia="zh-CN"/>
                    </w:rPr>
                    <w:t>循环冷却系统排污水经污水管道排入厂区</w:t>
                  </w:r>
                  <w:r>
                    <w:rPr>
                      <w:rFonts w:hint="eastAsia" w:cs="Times New Roman"/>
                      <w:color w:val="auto"/>
                      <w:sz w:val="18"/>
                      <w:szCs w:val="18"/>
                      <w:highlight w:val="none"/>
                      <w:lang w:val="en-US" w:eastAsia="zh-CN"/>
                    </w:rPr>
                    <w:t>生产废水深度水处理站</w:t>
                  </w:r>
                  <w:r>
                    <w:rPr>
                      <w:rFonts w:hint="default" w:ascii="Times New Roman" w:hAnsi="Times New Roman" w:eastAsia="宋体" w:cs="Times New Roman"/>
                      <w:color w:val="auto"/>
                      <w:sz w:val="18"/>
                      <w:szCs w:val="18"/>
                      <w:highlight w:val="none"/>
                      <w:lang w:val="en-US" w:eastAsia="zh-CN"/>
                    </w:rPr>
                    <w:t>处理达标后回用于易门铜业有限公司冶炼渣缓冷场，不外排。</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377" w:hRule="atLeast"/>
                <w:jc w:val="center"/>
              </w:trPr>
              <w:tc>
                <w:tcPr>
                  <w:tcW w:w="4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合计</w:t>
                  </w:r>
                </w:p>
              </w:tc>
              <w:tc>
                <w:tcPr>
                  <w:tcW w:w="5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6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5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4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241.2</w:t>
                  </w:r>
                </w:p>
              </w:tc>
              <w:tc>
                <w:tcPr>
                  <w:tcW w:w="4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79596</w:t>
                  </w:r>
                </w:p>
              </w:tc>
              <w:tc>
                <w:tcPr>
                  <w:tcW w:w="4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1.87</w:t>
                  </w:r>
                </w:p>
              </w:tc>
              <w:tc>
                <w:tcPr>
                  <w:tcW w:w="4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616.8</w:t>
                  </w:r>
                </w:p>
              </w:tc>
              <w:tc>
                <w:tcPr>
                  <w:tcW w:w="11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r>
          </w:tbl>
          <w:p>
            <w:pPr>
              <w:bidi w:val="0"/>
              <w:rPr>
                <w:rFonts w:hint="eastAsia"/>
                <w:color w:val="auto"/>
                <w:highlight w:val="none"/>
                <w:lang w:val="en-US" w:eastAsia="zh-CN"/>
              </w:rPr>
            </w:pPr>
            <w:r>
              <w:rPr>
                <w:rFonts w:hint="eastAsia"/>
                <w:color w:val="auto"/>
                <w:highlight w:val="none"/>
                <w:lang w:val="en-US" w:eastAsia="zh-CN"/>
              </w:rPr>
              <w:t>项目水平衡情况详见下图：</w:t>
            </w:r>
          </w:p>
          <w:p>
            <w:pPr>
              <w:pStyle w:val="13"/>
              <w:ind w:left="0" w:leftChars="0" w:firstLine="0" w:firstLineChars="0"/>
              <w:jc w:val="center"/>
              <w:rPr>
                <w:rFonts w:hint="default"/>
                <w:color w:val="auto"/>
                <w:highlight w:val="none"/>
                <w:lang w:val="en-US" w:eastAsia="zh-CN"/>
              </w:rPr>
            </w:pPr>
            <w:r>
              <w:rPr>
                <w:rFonts w:hint="default" w:ascii="Times New Roman" w:hAnsi="Times New Roman" w:eastAsia="宋体" w:cs="Times New Roman"/>
                <w:color w:val="auto"/>
                <w:highlight w:val="none"/>
              </w:rPr>
              <w:object>
                <v:shape id="_x0000_i1025" o:spt="75" type="#_x0000_t75" style="height:122.85pt;width:390pt;" o:ole="t" filled="f" o:preferrelative="t" stroked="f" coordsize="21600,21600">
                  <v:path/>
                  <v:fill on="f" focussize="0,0"/>
                  <v:stroke on="f"/>
                  <v:imagedata r:id="rId15" o:title=""/>
                  <o:lock v:ext="edit" aspectratio="t"/>
                  <w10:wrap type="none"/>
                  <w10:anchorlock/>
                </v:shape>
                <o:OLEObject Type="Embed" ProgID="Visio.Drawing.11" ShapeID="_x0000_i1025" DrawAspect="Content" ObjectID="_1468075725" r:id="rId14">
                  <o:LockedField>false</o:LockedField>
                </o:OLEObject>
              </w:object>
            </w:r>
            <w:r>
              <w:rPr>
                <w:rStyle w:val="50"/>
                <w:rFonts w:hint="default"/>
                <w:color w:val="auto"/>
                <w:highlight w:val="none"/>
                <w:lang w:val="en-US" w:eastAsia="zh-CN"/>
              </w:rPr>
              <w:t>图2-1  项目</w:t>
            </w:r>
            <w:r>
              <w:rPr>
                <w:rStyle w:val="50"/>
                <w:rFonts w:hint="eastAsia"/>
                <w:color w:val="auto"/>
                <w:highlight w:val="none"/>
                <w:lang w:val="en-US" w:eastAsia="zh-CN"/>
              </w:rPr>
              <w:t>改建后运营期</w:t>
            </w:r>
            <w:r>
              <w:rPr>
                <w:rStyle w:val="50"/>
                <w:rFonts w:hint="default"/>
                <w:color w:val="auto"/>
                <w:highlight w:val="none"/>
                <w:lang w:val="en-US" w:eastAsia="zh-CN"/>
              </w:rPr>
              <w:t>水量平衡图</w:t>
            </w:r>
            <w:r>
              <w:rPr>
                <w:rStyle w:val="50"/>
                <w:rFonts w:hint="eastAsia"/>
                <w:color w:val="auto"/>
                <w:highlight w:val="none"/>
                <w:lang w:val="en-US" w:eastAsia="zh-CN"/>
              </w:rPr>
              <w:t xml:space="preserve">   单位：m</w:t>
            </w:r>
            <w:r>
              <w:rPr>
                <w:rStyle w:val="50"/>
                <w:rFonts w:hint="eastAsia"/>
                <w:color w:val="auto"/>
                <w:highlight w:val="none"/>
                <w:vertAlign w:val="superscript"/>
                <w:lang w:val="en-US" w:eastAsia="zh-CN"/>
              </w:rPr>
              <w:t>3</w:t>
            </w:r>
            <w:r>
              <w:rPr>
                <w:rStyle w:val="50"/>
                <w:rFonts w:hint="eastAsia"/>
                <w:color w:val="auto"/>
                <w:highlight w:val="none"/>
                <w:lang w:val="en-US" w:eastAsia="zh-CN"/>
              </w:rPr>
              <w:t>/d</w:t>
            </w:r>
          </w:p>
          <w:p>
            <w:pPr>
              <w:bidi w:val="0"/>
              <w:rPr>
                <w:rFonts w:hint="eastAsia"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（十三）项目环保投资</w:t>
            </w:r>
          </w:p>
          <w:p>
            <w:pPr>
              <w:rPr>
                <w:rFonts w:hint="default"/>
                <w:color w:val="auto"/>
                <w:highlight w:val="none"/>
                <w:lang w:val="en-US" w:eastAsia="zh-CN"/>
              </w:rPr>
            </w:pPr>
            <w:r>
              <w:rPr>
                <w:rFonts w:hint="default" w:ascii="Times New Roman" w:hAnsi="Times New Roman" w:cs="Times New Roman"/>
                <w:b w:val="0"/>
                <w:bCs/>
                <w:color w:val="auto"/>
                <w:highlight w:val="none"/>
                <w:lang w:val="en-US" w:eastAsia="zh-CN"/>
              </w:rPr>
              <w:t>本项目</w:t>
            </w:r>
            <w:r>
              <w:rPr>
                <w:rFonts w:hint="eastAsia" w:cs="Times New Roman"/>
                <w:b w:val="0"/>
                <w:bCs/>
                <w:color w:val="auto"/>
                <w:highlight w:val="none"/>
                <w:lang w:val="en-US" w:eastAsia="zh-CN"/>
              </w:rPr>
              <w:t>估算</w:t>
            </w:r>
            <w:r>
              <w:rPr>
                <w:rFonts w:hint="default" w:ascii="Times New Roman" w:hAnsi="Times New Roman" w:cs="Times New Roman"/>
                <w:b w:val="0"/>
                <w:bCs/>
                <w:color w:val="auto"/>
                <w:highlight w:val="none"/>
                <w:lang w:val="en-US" w:eastAsia="zh-CN"/>
              </w:rPr>
              <w:t>总投资</w:t>
            </w:r>
            <w:r>
              <w:rPr>
                <w:rFonts w:hint="eastAsia" w:cs="Times New Roman"/>
                <w:i w:val="0"/>
                <w:iCs w:val="0"/>
                <w:color w:val="auto"/>
                <w:sz w:val="24"/>
                <w:szCs w:val="24"/>
                <w:highlight w:val="none"/>
                <w:u w:val="none"/>
                <w:lang w:val="en-US" w:eastAsia="zh-CN"/>
              </w:rPr>
              <w:t>2865</w:t>
            </w:r>
            <w:r>
              <w:rPr>
                <w:rFonts w:hint="default" w:ascii="Times New Roman" w:hAnsi="Times New Roman" w:cs="Times New Roman"/>
                <w:b w:val="0"/>
                <w:bCs/>
                <w:color w:val="auto"/>
                <w:highlight w:val="none"/>
                <w:lang w:val="en-US" w:eastAsia="zh-CN"/>
              </w:rPr>
              <w:t>万元，其中</w:t>
            </w:r>
            <w:r>
              <w:rPr>
                <w:rFonts w:hint="eastAsia" w:cs="Times New Roman"/>
                <w:b w:val="0"/>
                <w:bCs/>
                <w:color w:val="auto"/>
                <w:highlight w:val="none"/>
                <w:lang w:val="en-US" w:eastAsia="zh-CN"/>
              </w:rPr>
              <w:t>估算</w:t>
            </w:r>
            <w:r>
              <w:rPr>
                <w:rFonts w:hint="default" w:ascii="Times New Roman" w:hAnsi="Times New Roman" w:cs="Times New Roman"/>
                <w:b w:val="0"/>
                <w:bCs/>
                <w:color w:val="auto"/>
                <w:highlight w:val="none"/>
                <w:lang w:val="en-US" w:eastAsia="zh-CN"/>
              </w:rPr>
              <w:t>环保</w:t>
            </w:r>
            <w:r>
              <w:rPr>
                <w:rFonts w:hint="eastAsia" w:cs="Times New Roman"/>
                <w:b w:val="0"/>
                <w:bCs/>
                <w:color w:val="auto"/>
                <w:highlight w:val="none"/>
                <w:lang w:val="en-US" w:eastAsia="zh-CN"/>
              </w:rPr>
              <w:t>总</w:t>
            </w:r>
            <w:r>
              <w:rPr>
                <w:rFonts w:hint="default" w:ascii="Times New Roman" w:hAnsi="Times New Roman" w:cs="Times New Roman"/>
                <w:b w:val="0"/>
                <w:bCs/>
                <w:color w:val="auto"/>
                <w:highlight w:val="none"/>
                <w:lang w:val="en-US" w:eastAsia="zh-CN"/>
              </w:rPr>
              <w:t>投资</w:t>
            </w:r>
            <w:r>
              <w:rPr>
                <w:rFonts w:hint="eastAsia" w:cs="Times New Roman"/>
                <w:b w:val="0"/>
                <w:bCs/>
                <w:color w:val="auto"/>
                <w:highlight w:val="none"/>
                <w:lang w:val="en-US" w:eastAsia="zh-CN"/>
              </w:rPr>
              <w:t>约</w:t>
            </w:r>
            <w:r>
              <w:rPr>
                <w:rFonts w:hint="eastAsia"/>
                <w:color w:val="auto"/>
                <w:highlight w:val="none"/>
                <w:lang w:val="en-US" w:eastAsia="zh-CN"/>
              </w:rPr>
              <w:t>120.9</w:t>
            </w:r>
            <w:r>
              <w:rPr>
                <w:rFonts w:hint="default" w:ascii="Times New Roman" w:hAnsi="Times New Roman" w:cs="Times New Roman"/>
                <w:b w:val="0"/>
                <w:bCs/>
                <w:color w:val="auto"/>
                <w:highlight w:val="none"/>
                <w:lang w:val="en-US" w:eastAsia="zh-CN"/>
              </w:rPr>
              <w:t>万元，</w:t>
            </w:r>
            <w:r>
              <w:rPr>
                <w:rFonts w:hint="eastAsia" w:cs="Times New Roman"/>
                <w:b w:val="0"/>
                <w:bCs/>
                <w:color w:val="auto"/>
                <w:highlight w:val="none"/>
                <w:lang w:val="en-US" w:eastAsia="zh-CN"/>
              </w:rPr>
              <w:t>约</w:t>
            </w:r>
            <w:r>
              <w:rPr>
                <w:rFonts w:hint="default" w:ascii="Times New Roman" w:hAnsi="Times New Roman" w:cs="Times New Roman"/>
                <w:b w:val="0"/>
                <w:bCs/>
                <w:color w:val="auto"/>
                <w:highlight w:val="none"/>
                <w:lang w:val="en-US" w:eastAsia="zh-CN"/>
              </w:rPr>
              <w:t>占</w:t>
            </w:r>
            <w:r>
              <w:rPr>
                <w:rFonts w:hint="eastAsia" w:cs="Times New Roman"/>
                <w:b w:val="0"/>
                <w:bCs/>
                <w:color w:val="auto"/>
                <w:highlight w:val="none"/>
                <w:lang w:val="en-US" w:eastAsia="zh-CN"/>
              </w:rPr>
              <w:t>工程总投资的4.22</w:t>
            </w:r>
            <w:r>
              <w:rPr>
                <w:rFonts w:hint="default" w:ascii="Times New Roman" w:hAnsi="Times New Roman" w:cs="Times New Roman"/>
                <w:b w:val="0"/>
                <w:bCs/>
                <w:color w:val="auto"/>
                <w:highlight w:val="none"/>
                <w:lang w:val="en-US" w:eastAsia="zh-CN"/>
              </w:rPr>
              <w:t>%</w:t>
            </w:r>
            <w:r>
              <w:rPr>
                <w:rFonts w:hint="eastAsia" w:cs="Times New Roman"/>
                <w:b w:val="0"/>
                <w:bCs/>
                <w:color w:val="auto"/>
                <w:highlight w:val="none"/>
                <w:lang w:val="en-US" w:eastAsia="zh-CN"/>
              </w:rPr>
              <w:t>；本次新增环保投资</w:t>
            </w:r>
            <w:r>
              <w:rPr>
                <w:rFonts w:hint="eastAsia"/>
                <w:color w:val="auto"/>
                <w:highlight w:val="none"/>
                <w:lang w:val="en-US" w:eastAsia="zh-CN"/>
              </w:rPr>
              <w:t>60.9万元，</w:t>
            </w:r>
            <w:r>
              <w:rPr>
                <w:rFonts w:hint="eastAsia" w:cs="Times New Roman"/>
                <w:b w:val="0"/>
                <w:bCs/>
                <w:color w:val="auto"/>
                <w:highlight w:val="none"/>
                <w:lang w:val="en-US" w:eastAsia="zh-CN"/>
              </w:rPr>
              <w:t>约</w:t>
            </w:r>
            <w:r>
              <w:rPr>
                <w:rFonts w:hint="default" w:ascii="Times New Roman" w:hAnsi="Times New Roman" w:cs="Times New Roman"/>
                <w:b w:val="0"/>
                <w:bCs/>
                <w:color w:val="auto"/>
                <w:highlight w:val="none"/>
                <w:lang w:val="en-US" w:eastAsia="zh-CN"/>
              </w:rPr>
              <w:t>占</w:t>
            </w:r>
            <w:r>
              <w:rPr>
                <w:rFonts w:hint="eastAsia" w:cs="Times New Roman"/>
                <w:b w:val="0"/>
                <w:bCs/>
                <w:color w:val="auto"/>
                <w:highlight w:val="none"/>
                <w:lang w:val="en-US" w:eastAsia="zh-CN"/>
              </w:rPr>
              <w:t>工程总投资的2.13</w:t>
            </w:r>
            <w:r>
              <w:rPr>
                <w:rFonts w:hint="default" w:ascii="Times New Roman" w:hAnsi="Times New Roman" w:cs="Times New Roman"/>
                <w:b w:val="0"/>
                <w:bCs/>
                <w:color w:val="auto"/>
                <w:highlight w:val="none"/>
                <w:lang w:val="en-US" w:eastAsia="zh-CN"/>
              </w:rPr>
              <w:t>%</w:t>
            </w:r>
            <w:r>
              <w:rPr>
                <w:rFonts w:hint="eastAsia" w:ascii="Times New Roman" w:hAnsi="Times New Roman" w:cs="Times New Roman"/>
                <w:b w:val="0"/>
                <w:bCs/>
                <w:color w:val="auto"/>
                <w:highlight w:val="none"/>
                <w:lang w:val="en-US" w:eastAsia="zh-CN"/>
              </w:rPr>
              <w:t>，</w:t>
            </w:r>
            <w:r>
              <w:rPr>
                <w:rFonts w:hint="default" w:ascii="Times New Roman" w:hAnsi="Times New Roman" w:cs="Times New Roman"/>
                <w:b w:val="0"/>
                <w:bCs/>
                <w:color w:val="auto"/>
                <w:highlight w:val="none"/>
                <w:lang w:val="en-US" w:eastAsia="zh-CN"/>
              </w:rPr>
              <w:t>项目环保投资</w:t>
            </w:r>
            <w:r>
              <w:rPr>
                <w:rFonts w:hint="eastAsia" w:cs="Times New Roman"/>
                <w:b w:val="0"/>
                <w:bCs/>
                <w:color w:val="auto"/>
                <w:highlight w:val="none"/>
                <w:lang w:val="en-US" w:eastAsia="zh-CN"/>
              </w:rPr>
              <w:t>情况</w:t>
            </w:r>
            <w:r>
              <w:rPr>
                <w:rFonts w:hint="default" w:ascii="Times New Roman" w:hAnsi="Times New Roman" w:cs="Times New Roman"/>
                <w:b w:val="0"/>
                <w:bCs/>
                <w:color w:val="auto"/>
                <w:highlight w:val="none"/>
                <w:lang w:val="en-US" w:eastAsia="zh-CN"/>
              </w:rPr>
              <w:t>见</w:t>
            </w:r>
            <w:r>
              <w:rPr>
                <w:rFonts w:hint="eastAsia" w:cs="Times New Roman"/>
                <w:b w:val="0"/>
                <w:bCs/>
                <w:color w:val="auto"/>
                <w:highlight w:val="none"/>
                <w:lang w:val="en-US" w:eastAsia="zh-CN"/>
              </w:rPr>
              <w:t>下</w:t>
            </w:r>
            <w:r>
              <w:rPr>
                <w:rFonts w:hint="default" w:ascii="Times New Roman" w:hAnsi="Times New Roman" w:cs="Times New Roman"/>
                <w:b w:val="0"/>
                <w:bCs/>
                <w:color w:val="auto"/>
                <w:highlight w:val="none"/>
                <w:lang w:val="en-US" w:eastAsia="zh-CN"/>
              </w:rPr>
              <w:t>表。</w:t>
            </w:r>
          </w:p>
          <w:p>
            <w:pPr>
              <w:pStyle w:val="35"/>
              <w:bidi w:val="0"/>
              <w:rPr>
                <w:rFonts w:hint="default"/>
                <w:color w:val="auto"/>
                <w:highlight w:val="none"/>
                <w:lang w:val="en-US" w:eastAsia="zh-CN"/>
              </w:rPr>
            </w:pPr>
            <w:r>
              <w:rPr>
                <w:rFonts w:hint="default"/>
                <w:color w:val="auto"/>
                <w:highlight w:val="none"/>
                <w:lang w:val="en-US" w:eastAsia="zh-CN"/>
              </w:rPr>
              <w:t>表2-</w:t>
            </w:r>
            <w:r>
              <w:rPr>
                <w:rFonts w:hint="eastAsia"/>
                <w:color w:val="auto"/>
                <w:highlight w:val="none"/>
                <w:lang w:val="en-US" w:eastAsia="zh-CN"/>
              </w:rPr>
              <w:t>9</w:t>
            </w:r>
            <w:r>
              <w:rPr>
                <w:rFonts w:hint="default"/>
                <w:color w:val="auto"/>
                <w:highlight w:val="none"/>
                <w:lang w:val="en-US" w:eastAsia="zh-CN"/>
              </w:rPr>
              <w:t xml:space="preserve"> </w:t>
            </w:r>
            <w:r>
              <w:rPr>
                <w:rFonts w:hint="eastAsia"/>
                <w:color w:val="auto"/>
                <w:highlight w:val="none"/>
                <w:lang w:val="en-US" w:eastAsia="zh-CN"/>
              </w:rPr>
              <w:t xml:space="preserve"> </w:t>
            </w:r>
            <w:r>
              <w:rPr>
                <w:rFonts w:hint="default"/>
                <w:color w:val="auto"/>
                <w:highlight w:val="none"/>
                <w:lang w:val="en-US" w:eastAsia="zh-CN"/>
              </w:rPr>
              <w:t>项目环保投资一览表</w:t>
            </w:r>
          </w:p>
          <w:tbl>
            <w:tblPr>
              <w:tblStyle w:val="24"/>
              <w:tblW w:w="786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7"/>
              <w:gridCol w:w="632"/>
              <w:gridCol w:w="415"/>
              <w:gridCol w:w="958"/>
              <w:gridCol w:w="4037"/>
              <w:gridCol w:w="732"/>
              <w:gridCol w:w="7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357" w:type="dxa"/>
                  <w:vMerge w:val="restart"/>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时段</w:t>
                  </w:r>
                </w:p>
              </w:tc>
              <w:tc>
                <w:tcPr>
                  <w:tcW w:w="632" w:type="dxa"/>
                  <w:vMerge w:val="restart"/>
                  <w:tcBorders>
                    <w:tl2br w:val="nil"/>
                    <w:tr2bl w:val="nil"/>
                  </w:tcBorders>
                  <w:vAlign w:val="center"/>
                </w:tcPr>
                <w:p>
                  <w:pPr>
                    <w:pStyle w:val="34"/>
                    <w:bidi w:val="0"/>
                    <w:rPr>
                      <w:rFonts w:hint="default"/>
                      <w:color w:val="auto"/>
                      <w:highlight w:val="none"/>
                      <w:lang w:val="en-US" w:eastAsia="zh-CN"/>
                    </w:rPr>
                  </w:pPr>
                  <w:r>
                    <w:rPr>
                      <w:rFonts w:hint="default"/>
                      <w:color w:val="auto"/>
                      <w:highlight w:val="none"/>
                      <w:lang w:val="en-US" w:eastAsia="zh-CN"/>
                    </w:rPr>
                    <w:t>类别</w:t>
                  </w:r>
                </w:p>
              </w:tc>
              <w:tc>
                <w:tcPr>
                  <w:tcW w:w="1373" w:type="dxa"/>
                  <w:gridSpan w:val="2"/>
                  <w:vMerge w:val="restart"/>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项目</w:t>
                  </w:r>
                </w:p>
              </w:tc>
              <w:tc>
                <w:tcPr>
                  <w:tcW w:w="4037" w:type="dxa"/>
                  <w:vMerge w:val="restart"/>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环境治理措施/</w:t>
                  </w:r>
                  <w:r>
                    <w:rPr>
                      <w:rFonts w:hint="default"/>
                      <w:color w:val="auto"/>
                      <w:highlight w:val="none"/>
                      <w:lang w:val="en-US" w:eastAsia="zh-CN"/>
                    </w:rPr>
                    <w:t>设施</w:t>
                  </w:r>
                </w:p>
              </w:tc>
              <w:tc>
                <w:tcPr>
                  <w:tcW w:w="1465" w:type="dxa"/>
                  <w:gridSpan w:val="2"/>
                  <w:tcBorders>
                    <w:tl2br w:val="nil"/>
                    <w:tr2bl w:val="nil"/>
                  </w:tcBorders>
                  <w:vAlign w:val="center"/>
                </w:tcPr>
                <w:p>
                  <w:pPr>
                    <w:pStyle w:val="34"/>
                    <w:bidi w:val="0"/>
                    <w:rPr>
                      <w:rFonts w:hint="default"/>
                      <w:color w:val="auto"/>
                      <w:highlight w:val="none"/>
                      <w:lang w:val="en-US" w:eastAsia="zh-CN"/>
                    </w:rPr>
                  </w:pPr>
                  <w:r>
                    <w:rPr>
                      <w:rFonts w:hint="default"/>
                      <w:color w:val="auto"/>
                      <w:highlight w:val="none"/>
                      <w:lang w:val="en-US" w:eastAsia="zh-CN"/>
                    </w:rPr>
                    <w:t>投资金额</w:t>
                  </w:r>
                </w:p>
                <w:p>
                  <w:pPr>
                    <w:pStyle w:val="34"/>
                    <w:bidi w:val="0"/>
                    <w:rPr>
                      <w:rFonts w:hint="default"/>
                      <w:color w:val="auto"/>
                      <w:highlight w:val="none"/>
                      <w:lang w:val="en-US" w:eastAsia="zh-CN"/>
                    </w:rPr>
                  </w:pPr>
                  <w:r>
                    <w:rPr>
                      <w:rFonts w:hint="default"/>
                      <w:color w:val="auto"/>
                      <w:highlight w:val="none"/>
                      <w:lang w:val="en-US" w:eastAsia="zh-CN"/>
                    </w:rPr>
                    <w:t>（万元）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357" w:type="dxa"/>
                  <w:vMerge w:val="continue"/>
                  <w:tcBorders>
                    <w:tl2br w:val="nil"/>
                    <w:tr2bl w:val="nil"/>
                  </w:tcBorders>
                  <w:vAlign w:val="center"/>
                </w:tcPr>
                <w:p>
                  <w:pPr>
                    <w:pStyle w:val="34"/>
                    <w:bidi w:val="0"/>
                    <w:rPr>
                      <w:color w:val="auto"/>
                      <w:highlight w:val="none"/>
                    </w:rPr>
                  </w:pPr>
                </w:p>
              </w:tc>
              <w:tc>
                <w:tcPr>
                  <w:tcW w:w="632" w:type="dxa"/>
                  <w:vMerge w:val="continue"/>
                  <w:tcBorders>
                    <w:tl2br w:val="nil"/>
                    <w:tr2bl w:val="nil"/>
                  </w:tcBorders>
                  <w:vAlign w:val="center"/>
                </w:tcPr>
                <w:p>
                  <w:pPr>
                    <w:pStyle w:val="34"/>
                    <w:bidi w:val="0"/>
                    <w:rPr>
                      <w:color w:val="auto"/>
                      <w:highlight w:val="none"/>
                    </w:rPr>
                  </w:pPr>
                </w:p>
              </w:tc>
              <w:tc>
                <w:tcPr>
                  <w:tcW w:w="1373" w:type="dxa"/>
                  <w:gridSpan w:val="2"/>
                  <w:vMerge w:val="continue"/>
                  <w:tcBorders>
                    <w:tl2br w:val="nil"/>
                    <w:tr2bl w:val="nil"/>
                  </w:tcBorders>
                  <w:vAlign w:val="center"/>
                </w:tcPr>
                <w:p>
                  <w:pPr>
                    <w:pStyle w:val="34"/>
                    <w:bidi w:val="0"/>
                    <w:rPr>
                      <w:color w:val="auto"/>
                      <w:highlight w:val="none"/>
                    </w:rPr>
                  </w:pPr>
                </w:p>
              </w:tc>
              <w:tc>
                <w:tcPr>
                  <w:tcW w:w="4037" w:type="dxa"/>
                  <w:vMerge w:val="continue"/>
                  <w:tcBorders>
                    <w:tl2br w:val="nil"/>
                    <w:tr2bl w:val="nil"/>
                  </w:tcBorders>
                  <w:vAlign w:val="center"/>
                </w:tcPr>
                <w:p>
                  <w:pPr>
                    <w:pStyle w:val="34"/>
                    <w:bidi w:val="0"/>
                    <w:rPr>
                      <w:color w:val="auto"/>
                      <w:highlight w:val="none"/>
                    </w:rPr>
                  </w:pPr>
                </w:p>
              </w:tc>
              <w:tc>
                <w:tcPr>
                  <w:tcW w:w="732" w:type="dxa"/>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已投资</w:t>
                  </w:r>
                </w:p>
              </w:tc>
              <w:tc>
                <w:tcPr>
                  <w:tcW w:w="733" w:type="dxa"/>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新增投资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57" w:type="dxa"/>
                  <w:vMerge w:val="restart"/>
                  <w:tcBorders>
                    <w:tl2br w:val="nil"/>
                    <w:tr2bl w:val="nil"/>
                  </w:tcBorders>
                  <w:vAlign w:val="center"/>
                </w:tcPr>
                <w:p>
                  <w:pPr>
                    <w:pStyle w:val="34"/>
                    <w:bidi w:val="0"/>
                    <w:jc w:val="both"/>
                    <w:rPr>
                      <w:rFonts w:hint="eastAsia"/>
                      <w:color w:val="auto"/>
                      <w:highlight w:val="none"/>
                      <w:lang w:val="en-US" w:eastAsia="zh-CN"/>
                    </w:rPr>
                  </w:pPr>
                  <w:r>
                    <w:rPr>
                      <w:rFonts w:hint="eastAsia"/>
                      <w:color w:val="auto"/>
                      <w:highlight w:val="none"/>
                      <w:lang w:val="en-US" w:eastAsia="zh-CN"/>
                    </w:rPr>
                    <w:t>施</w:t>
                  </w:r>
                </w:p>
                <w:p>
                  <w:pPr>
                    <w:pStyle w:val="34"/>
                    <w:bidi w:val="0"/>
                    <w:rPr>
                      <w:rFonts w:hint="eastAsia"/>
                      <w:color w:val="auto"/>
                      <w:highlight w:val="none"/>
                      <w:lang w:val="en-US" w:eastAsia="zh-CN"/>
                    </w:rPr>
                  </w:pPr>
                  <w:r>
                    <w:rPr>
                      <w:rFonts w:hint="eastAsia"/>
                      <w:color w:val="auto"/>
                      <w:highlight w:val="none"/>
                      <w:lang w:val="en-US" w:eastAsia="zh-CN"/>
                    </w:rPr>
                    <w:t>工</w:t>
                  </w:r>
                </w:p>
                <w:p>
                  <w:pPr>
                    <w:pStyle w:val="34"/>
                    <w:bidi w:val="0"/>
                    <w:rPr>
                      <w:rFonts w:hint="eastAsia"/>
                      <w:color w:val="auto"/>
                      <w:highlight w:val="none"/>
                      <w:lang w:val="en-US" w:eastAsia="zh-CN"/>
                    </w:rPr>
                  </w:pPr>
                  <w:r>
                    <w:rPr>
                      <w:rFonts w:hint="eastAsia"/>
                      <w:color w:val="auto"/>
                      <w:highlight w:val="none"/>
                      <w:lang w:val="en-US" w:eastAsia="zh-CN"/>
                    </w:rPr>
                    <w:t>期</w:t>
                  </w:r>
                </w:p>
              </w:tc>
              <w:tc>
                <w:tcPr>
                  <w:tcW w:w="632" w:type="dxa"/>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废气</w:t>
                  </w:r>
                </w:p>
              </w:tc>
              <w:tc>
                <w:tcPr>
                  <w:tcW w:w="1373" w:type="dxa"/>
                  <w:gridSpan w:val="2"/>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扬尘</w:t>
                  </w:r>
                </w:p>
              </w:tc>
              <w:tc>
                <w:tcPr>
                  <w:tcW w:w="4037" w:type="dxa"/>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项目施工期</w:t>
                  </w:r>
                  <w:r>
                    <w:rPr>
                      <w:rFonts w:hint="default"/>
                      <w:color w:val="auto"/>
                      <w:highlight w:val="none"/>
                      <w:lang w:val="en-US" w:eastAsia="zh-CN"/>
                    </w:rPr>
                    <w:t>加强洒水</w:t>
                  </w:r>
                  <w:r>
                    <w:rPr>
                      <w:rFonts w:hint="eastAsia"/>
                      <w:color w:val="auto"/>
                      <w:highlight w:val="none"/>
                      <w:lang w:val="en-US" w:eastAsia="zh-CN"/>
                    </w:rPr>
                    <w:t>降尘</w:t>
                  </w:r>
                </w:p>
              </w:tc>
              <w:tc>
                <w:tcPr>
                  <w:tcW w:w="732" w:type="dxa"/>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w:t>
                  </w:r>
                </w:p>
              </w:tc>
              <w:tc>
                <w:tcPr>
                  <w:tcW w:w="733" w:type="dxa"/>
                  <w:tcBorders>
                    <w:tl2br w:val="nil"/>
                    <w:tr2bl w:val="nil"/>
                  </w:tcBorders>
                  <w:vAlign w:val="center"/>
                </w:tcPr>
                <w:p>
                  <w:pPr>
                    <w:pStyle w:val="34"/>
                    <w:bidi w:val="0"/>
                    <w:rPr>
                      <w:rFonts w:hint="eastAsia"/>
                      <w:color w:val="auto"/>
                      <w:highlight w:val="none"/>
                      <w:lang w:val="en-US" w:eastAsia="zh-CN"/>
                    </w:rPr>
                  </w:pPr>
                  <w:r>
                    <w:rPr>
                      <w:rFonts w:hint="eastAsia"/>
                      <w:color w:val="auto"/>
                      <w:highlight w:val="no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57" w:type="dxa"/>
                  <w:vMerge w:val="continue"/>
                  <w:tcBorders>
                    <w:tl2br w:val="nil"/>
                    <w:tr2bl w:val="nil"/>
                  </w:tcBorders>
                  <w:vAlign w:val="center"/>
                </w:tcPr>
                <w:p>
                  <w:pPr>
                    <w:pStyle w:val="34"/>
                    <w:bidi w:val="0"/>
                    <w:rPr>
                      <w:rFonts w:hint="eastAsia"/>
                      <w:color w:val="auto"/>
                      <w:highlight w:val="none"/>
                      <w:lang w:val="en-US" w:eastAsia="zh-CN"/>
                    </w:rPr>
                  </w:pPr>
                </w:p>
              </w:tc>
              <w:tc>
                <w:tcPr>
                  <w:tcW w:w="632" w:type="dxa"/>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废水</w:t>
                  </w:r>
                </w:p>
              </w:tc>
              <w:tc>
                <w:tcPr>
                  <w:tcW w:w="1373" w:type="dxa"/>
                  <w:gridSpan w:val="2"/>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施工清洗废水</w:t>
                  </w:r>
                </w:p>
              </w:tc>
              <w:tc>
                <w:tcPr>
                  <w:tcW w:w="4037" w:type="dxa"/>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项目施工期废水主要为施工人员产生的少量清洗废水，经施工场地设置的临时沉淀池沉淀预处理后回用于场地洒水降尘，不外排。</w:t>
                  </w:r>
                </w:p>
              </w:tc>
              <w:tc>
                <w:tcPr>
                  <w:tcW w:w="732" w:type="dxa"/>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w:t>
                  </w:r>
                </w:p>
              </w:tc>
              <w:tc>
                <w:tcPr>
                  <w:tcW w:w="733" w:type="dxa"/>
                  <w:tcBorders>
                    <w:tl2br w:val="nil"/>
                    <w:tr2bl w:val="nil"/>
                  </w:tcBorders>
                  <w:vAlign w:val="center"/>
                </w:tcPr>
                <w:p>
                  <w:pPr>
                    <w:pStyle w:val="34"/>
                    <w:bidi w:val="0"/>
                    <w:rPr>
                      <w:rFonts w:hint="eastAsia"/>
                      <w:color w:val="auto"/>
                      <w:highlight w:val="none"/>
                      <w:lang w:val="en-US" w:eastAsia="zh-CN"/>
                    </w:rPr>
                  </w:pPr>
                  <w:r>
                    <w:rPr>
                      <w:rFonts w:hint="eastAsia"/>
                      <w:color w:val="auto"/>
                      <w:highlight w:val="no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57" w:type="dxa"/>
                  <w:vMerge w:val="continue"/>
                  <w:tcBorders>
                    <w:tl2br w:val="nil"/>
                    <w:tr2bl w:val="nil"/>
                  </w:tcBorders>
                  <w:vAlign w:val="center"/>
                </w:tcPr>
                <w:p>
                  <w:pPr>
                    <w:pStyle w:val="34"/>
                    <w:bidi w:val="0"/>
                    <w:rPr>
                      <w:rFonts w:hint="eastAsia"/>
                      <w:color w:val="auto"/>
                      <w:highlight w:val="none"/>
                      <w:lang w:val="en-US" w:eastAsia="zh-CN"/>
                    </w:rPr>
                  </w:pPr>
                </w:p>
              </w:tc>
              <w:tc>
                <w:tcPr>
                  <w:tcW w:w="632" w:type="dxa"/>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噪声</w:t>
                  </w:r>
                </w:p>
              </w:tc>
              <w:tc>
                <w:tcPr>
                  <w:tcW w:w="1373" w:type="dxa"/>
                  <w:gridSpan w:val="2"/>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设备噪声</w:t>
                  </w:r>
                </w:p>
              </w:tc>
              <w:tc>
                <w:tcPr>
                  <w:tcW w:w="4037" w:type="dxa"/>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签订合同时，应与施工单位达成协议，选用低噪声设备进行施工</w:t>
                  </w:r>
                </w:p>
              </w:tc>
              <w:tc>
                <w:tcPr>
                  <w:tcW w:w="732" w:type="dxa"/>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w:t>
                  </w:r>
                </w:p>
              </w:tc>
              <w:tc>
                <w:tcPr>
                  <w:tcW w:w="733" w:type="dxa"/>
                  <w:tcBorders>
                    <w:tl2br w:val="nil"/>
                    <w:tr2bl w:val="nil"/>
                  </w:tcBorders>
                  <w:vAlign w:val="center"/>
                </w:tcPr>
                <w:p>
                  <w:pPr>
                    <w:pStyle w:val="34"/>
                    <w:bidi w:val="0"/>
                    <w:rPr>
                      <w:rFonts w:hint="eastAsia"/>
                      <w:color w:val="auto"/>
                      <w:highlight w:val="none"/>
                      <w:lang w:val="en-US" w:eastAsia="zh-CN"/>
                    </w:rPr>
                  </w:pPr>
                  <w:r>
                    <w:rPr>
                      <w:rFonts w:hint="eastAsia"/>
                      <w:color w:val="auto"/>
                      <w:highlight w:val="none"/>
                      <w:lang w:val="en-US" w:eastAsia="zh-CN"/>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57" w:type="dxa"/>
                  <w:vMerge w:val="continue"/>
                  <w:tcBorders>
                    <w:tl2br w:val="nil"/>
                    <w:tr2bl w:val="nil"/>
                  </w:tcBorders>
                  <w:vAlign w:val="center"/>
                </w:tcPr>
                <w:p>
                  <w:pPr>
                    <w:pStyle w:val="34"/>
                    <w:bidi w:val="0"/>
                    <w:rPr>
                      <w:rFonts w:hint="eastAsia"/>
                      <w:color w:val="auto"/>
                      <w:highlight w:val="none"/>
                      <w:lang w:val="en-US" w:eastAsia="zh-CN"/>
                    </w:rPr>
                  </w:pPr>
                </w:p>
              </w:tc>
              <w:tc>
                <w:tcPr>
                  <w:tcW w:w="632" w:type="dxa"/>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固废</w:t>
                  </w:r>
                </w:p>
              </w:tc>
              <w:tc>
                <w:tcPr>
                  <w:tcW w:w="1373" w:type="dxa"/>
                  <w:gridSpan w:val="2"/>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生活垃圾、一般工业固废</w:t>
                  </w:r>
                </w:p>
              </w:tc>
              <w:tc>
                <w:tcPr>
                  <w:tcW w:w="4037" w:type="dxa"/>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项目施工期生活垃圾集中收集后定期外运至工业园区生活垃圾集中收集点，由环卫部门集中处理；一般工业固废则按照城建部门要求运至指定地点堆存处置</w:t>
                  </w:r>
                </w:p>
              </w:tc>
              <w:tc>
                <w:tcPr>
                  <w:tcW w:w="732" w:type="dxa"/>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w:t>
                  </w:r>
                </w:p>
              </w:tc>
              <w:tc>
                <w:tcPr>
                  <w:tcW w:w="733" w:type="dxa"/>
                  <w:tcBorders>
                    <w:tl2br w:val="nil"/>
                    <w:tr2bl w:val="nil"/>
                  </w:tcBorders>
                  <w:vAlign w:val="center"/>
                </w:tcPr>
                <w:p>
                  <w:pPr>
                    <w:pStyle w:val="34"/>
                    <w:bidi w:val="0"/>
                    <w:rPr>
                      <w:rFonts w:hint="eastAsia"/>
                      <w:color w:val="auto"/>
                      <w:highlight w:val="none"/>
                      <w:lang w:val="en-US" w:eastAsia="zh-CN"/>
                    </w:rPr>
                  </w:pPr>
                  <w:r>
                    <w:rPr>
                      <w:rFonts w:hint="eastAsia"/>
                      <w:color w:val="auto"/>
                      <w:highlight w:val="none"/>
                      <w:lang w:val="en-US" w:eastAsia="zh-CN"/>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57" w:type="dxa"/>
                  <w:vMerge w:val="restart"/>
                  <w:tcBorders>
                    <w:tl2br w:val="nil"/>
                    <w:tr2bl w:val="nil"/>
                  </w:tcBorders>
                  <w:shd w:val="clear" w:color="auto" w:fill="auto"/>
                  <w:vAlign w:val="center"/>
                </w:tcPr>
                <w:p>
                  <w:pPr>
                    <w:pStyle w:val="34"/>
                    <w:bidi w:val="0"/>
                    <w:rPr>
                      <w:rFonts w:hint="eastAsia"/>
                      <w:color w:val="auto"/>
                      <w:highlight w:val="none"/>
                      <w:lang w:val="en-US" w:eastAsia="zh-CN"/>
                    </w:rPr>
                  </w:pPr>
                  <w:r>
                    <w:rPr>
                      <w:rFonts w:hint="eastAsia"/>
                      <w:color w:val="auto"/>
                      <w:highlight w:val="none"/>
                      <w:lang w:val="en-US" w:eastAsia="zh-CN"/>
                    </w:rPr>
                    <w:t>运</w:t>
                  </w:r>
                </w:p>
                <w:p>
                  <w:pPr>
                    <w:pStyle w:val="34"/>
                    <w:bidi w:val="0"/>
                    <w:rPr>
                      <w:rFonts w:hint="eastAsia"/>
                      <w:color w:val="auto"/>
                      <w:highlight w:val="none"/>
                      <w:lang w:val="en-US" w:eastAsia="zh-CN"/>
                    </w:rPr>
                  </w:pPr>
                  <w:r>
                    <w:rPr>
                      <w:rFonts w:hint="eastAsia"/>
                      <w:color w:val="auto"/>
                      <w:highlight w:val="none"/>
                      <w:lang w:val="en-US" w:eastAsia="zh-CN"/>
                    </w:rPr>
                    <w:t>营</w:t>
                  </w:r>
                </w:p>
                <w:p>
                  <w:pPr>
                    <w:pStyle w:val="34"/>
                    <w:bidi w:val="0"/>
                    <w:ind w:left="0" w:leftChars="0" w:firstLine="0" w:firstLineChars="0"/>
                    <w:rPr>
                      <w:rFonts w:hint="default" w:ascii="Times New Roman" w:hAnsi="Times New Roman" w:eastAsia="宋体" w:cstheme="minorBidi"/>
                      <w:color w:val="auto"/>
                      <w:kern w:val="2"/>
                      <w:sz w:val="18"/>
                      <w:szCs w:val="18"/>
                      <w:highlight w:val="none"/>
                      <w:lang w:val="en-US" w:eastAsia="zh-CN" w:bidi="ar-SA"/>
                    </w:rPr>
                  </w:pPr>
                  <w:r>
                    <w:rPr>
                      <w:rFonts w:hint="eastAsia"/>
                      <w:color w:val="auto"/>
                      <w:highlight w:val="none"/>
                      <w:lang w:val="en-US" w:eastAsia="zh-CN"/>
                    </w:rPr>
                    <w:t>期</w:t>
                  </w:r>
                </w:p>
              </w:tc>
              <w:tc>
                <w:tcPr>
                  <w:tcW w:w="632" w:type="dxa"/>
                  <w:vMerge w:val="restart"/>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废水</w:t>
                  </w:r>
                </w:p>
              </w:tc>
              <w:tc>
                <w:tcPr>
                  <w:tcW w:w="1373" w:type="dxa"/>
                  <w:gridSpan w:val="2"/>
                  <w:tcBorders>
                    <w:tl2br w:val="nil"/>
                    <w:tr2bl w:val="nil"/>
                  </w:tcBorders>
                  <w:vAlign w:val="center"/>
                </w:tcPr>
                <w:p>
                  <w:pPr>
                    <w:pStyle w:val="34"/>
                    <w:bidi w:val="0"/>
                    <w:rPr>
                      <w:rFonts w:hint="default"/>
                      <w:color w:val="auto"/>
                      <w:highlight w:val="none"/>
                      <w:lang w:val="en-US" w:eastAsia="zh-CN"/>
                    </w:rPr>
                  </w:pPr>
                  <w:r>
                    <w:rPr>
                      <w:rFonts w:hint="default" w:ascii="Times New Roman" w:hAnsi="Times New Roman" w:cs="Times New Roman"/>
                      <w:color w:val="auto"/>
                      <w:sz w:val="18"/>
                      <w:szCs w:val="18"/>
                      <w:highlight w:val="none"/>
                      <w:lang w:val="en-US" w:eastAsia="zh-CN"/>
                    </w:rPr>
                    <w:t>生活</w:t>
                  </w:r>
                  <w:r>
                    <w:rPr>
                      <w:rFonts w:hint="eastAsia" w:cs="Times New Roman"/>
                      <w:color w:val="auto"/>
                      <w:sz w:val="18"/>
                      <w:szCs w:val="18"/>
                      <w:highlight w:val="none"/>
                      <w:lang w:val="en-US" w:eastAsia="zh-CN"/>
                    </w:rPr>
                    <w:t>污</w:t>
                  </w:r>
                  <w:r>
                    <w:rPr>
                      <w:rFonts w:hint="default" w:ascii="Times New Roman" w:hAnsi="Times New Roman" w:cs="Times New Roman"/>
                      <w:color w:val="auto"/>
                      <w:sz w:val="18"/>
                      <w:szCs w:val="18"/>
                      <w:highlight w:val="none"/>
                      <w:lang w:val="en-US" w:eastAsia="zh-CN"/>
                    </w:rPr>
                    <w:t>水</w:t>
                  </w:r>
                </w:p>
              </w:tc>
              <w:tc>
                <w:tcPr>
                  <w:tcW w:w="4037" w:type="dxa"/>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生活污水经收集后进入厂区生活污水处理站进行处理，处理达标后回用于绿化浇洒，不外排</w:t>
                  </w:r>
                  <w:r>
                    <w:rPr>
                      <w:rFonts w:hint="eastAsia" w:ascii="Times New Roman" w:hAnsi="Times New Roman" w:cs="Times New Roman"/>
                      <w:color w:val="auto"/>
                      <w:sz w:val="18"/>
                      <w:szCs w:val="18"/>
                      <w:highlight w:val="none"/>
                      <w:lang w:val="en-US" w:eastAsia="zh-CN"/>
                    </w:rPr>
                    <w:t>。</w:t>
                  </w:r>
                </w:p>
              </w:tc>
              <w:tc>
                <w:tcPr>
                  <w:tcW w:w="732" w:type="dxa"/>
                  <w:vMerge w:val="restart"/>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依托易门铜业</w:t>
                  </w:r>
                  <w:r>
                    <w:rPr>
                      <w:rFonts w:hint="default"/>
                      <w:color w:val="auto"/>
                      <w:highlight w:val="none"/>
                      <w:lang w:val="en-US" w:eastAsia="zh-CN"/>
                    </w:rPr>
                    <w:t>有限公司</w:t>
                  </w:r>
                  <w:r>
                    <w:rPr>
                      <w:rFonts w:hint="eastAsia"/>
                      <w:color w:val="auto"/>
                      <w:highlight w:val="none"/>
                      <w:lang w:val="en-US" w:eastAsia="zh-CN"/>
                    </w:rPr>
                    <w:t>已建设施</w:t>
                  </w:r>
                </w:p>
              </w:tc>
              <w:tc>
                <w:tcPr>
                  <w:tcW w:w="733" w:type="dxa"/>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57" w:type="dxa"/>
                  <w:vMerge w:val="continue"/>
                  <w:tcBorders>
                    <w:tl2br w:val="nil"/>
                    <w:tr2bl w:val="nil"/>
                  </w:tcBorders>
                  <w:vAlign w:val="center"/>
                </w:tcPr>
                <w:p>
                  <w:pPr>
                    <w:pStyle w:val="34"/>
                    <w:bidi w:val="0"/>
                    <w:rPr>
                      <w:rFonts w:hint="default"/>
                      <w:color w:val="auto"/>
                      <w:highlight w:val="none"/>
                      <w:lang w:val="en-US" w:eastAsia="zh-CN"/>
                    </w:rPr>
                  </w:pPr>
                </w:p>
              </w:tc>
              <w:tc>
                <w:tcPr>
                  <w:tcW w:w="632" w:type="dxa"/>
                  <w:vMerge w:val="continue"/>
                  <w:tcBorders>
                    <w:tl2br w:val="nil"/>
                    <w:tr2bl w:val="nil"/>
                  </w:tcBorders>
                  <w:vAlign w:val="center"/>
                </w:tcPr>
                <w:p>
                  <w:pPr>
                    <w:pStyle w:val="34"/>
                    <w:bidi w:val="0"/>
                    <w:rPr>
                      <w:rFonts w:hint="default"/>
                      <w:color w:val="auto"/>
                      <w:highlight w:val="none"/>
                      <w:lang w:val="en-US" w:eastAsia="zh-CN"/>
                    </w:rPr>
                  </w:pPr>
                </w:p>
              </w:tc>
              <w:tc>
                <w:tcPr>
                  <w:tcW w:w="1373" w:type="dxa"/>
                  <w:gridSpan w:val="2"/>
                  <w:tcBorders>
                    <w:tl2br w:val="nil"/>
                    <w:tr2bl w:val="nil"/>
                  </w:tcBorders>
                  <w:vAlign w:val="center"/>
                </w:tcPr>
                <w:p>
                  <w:pPr>
                    <w:pStyle w:val="34"/>
                    <w:bidi w:val="0"/>
                    <w:rPr>
                      <w:rFonts w:hint="eastAsia"/>
                      <w:color w:val="auto"/>
                      <w:highlight w:val="none"/>
                      <w:lang w:val="en-US" w:eastAsia="zh-CN"/>
                    </w:rPr>
                  </w:pPr>
                  <w:r>
                    <w:rPr>
                      <w:rFonts w:hint="eastAsia"/>
                      <w:color w:val="auto"/>
                      <w:highlight w:val="none"/>
                      <w:lang w:val="en-US" w:eastAsia="zh-CN"/>
                    </w:rPr>
                    <w:t>生产废水</w:t>
                  </w:r>
                </w:p>
              </w:tc>
              <w:tc>
                <w:tcPr>
                  <w:tcW w:w="4037" w:type="dxa"/>
                  <w:tcBorders>
                    <w:tl2br w:val="nil"/>
                    <w:tr2bl w:val="nil"/>
                  </w:tcBorders>
                  <w:vAlign w:val="center"/>
                </w:tcPr>
                <w:p>
                  <w:pPr>
                    <w:pStyle w:val="34"/>
                    <w:bidi w:val="0"/>
                    <w:rPr>
                      <w:rFonts w:hint="default"/>
                      <w:color w:val="auto"/>
                      <w:highlight w:val="none"/>
                      <w:lang w:val="en-US" w:eastAsia="zh-CN"/>
                    </w:rPr>
                  </w:pPr>
                  <w:r>
                    <w:rPr>
                      <w:rFonts w:hint="default" w:ascii="Times New Roman" w:hAnsi="Times New Roman" w:eastAsia="宋体" w:cs="Times New Roman"/>
                      <w:color w:val="auto"/>
                      <w:sz w:val="18"/>
                      <w:szCs w:val="18"/>
                      <w:highlight w:val="none"/>
                      <w:lang w:val="en-US" w:eastAsia="zh-CN"/>
                    </w:rPr>
                    <w:t>循环冷却系统排污水经污水管道排入厂区</w:t>
                  </w:r>
                  <w:r>
                    <w:rPr>
                      <w:rFonts w:hint="eastAsia" w:cs="Times New Roman"/>
                      <w:color w:val="auto"/>
                      <w:sz w:val="18"/>
                      <w:szCs w:val="18"/>
                      <w:highlight w:val="none"/>
                      <w:lang w:val="en-US" w:eastAsia="zh-CN"/>
                    </w:rPr>
                    <w:t>生产废水深度水处理站</w:t>
                  </w:r>
                  <w:r>
                    <w:rPr>
                      <w:rFonts w:hint="default" w:ascii="Times New Roman" w:hAnsi="Times New Roman" w:eastAsia="宋体" w:cs="Times New Roman"/>
                      <w:color w:val="auto"/>
                      <w:sz w:val="18"/>
                      <w:szCs w:val="18"/>
                      <w:highlight w:val="none"/>
                      <w:lang w:val="en-US" w:eastAsia="zh-CN"/>
                    </w:rPr>
                    <w:t>处理达标后回用于</w:t>
                  </w:r>
                  <w:r>
                    <w:rPr>
                      <w:rFonts w:hint="eastAsia"/>
                      <w:color w:val="auto"/>
                      <w:highlight w:val="none"/>
                      <w:lang w:val="en-US" w:eastAsia="zh-CN"/>
                    </w:rPr>
                    <w:t>易门铜业有限公司冶炼渣缓冷场</w:t>
                  </w:r>
                  <w:r>
                    <w:rPr>
                      <w:rFonts w:hint="default" w:ascii="Times New Roman" w:hAnsi="Times New Roman" w:eastAsia="宋体" w:cs="Times New Roman"/>
                      <w:color w:val="auto"/>
                      <w:sz w:val="18"/>
                      <w:szCs w:val="18"/>
                      <w:highlight w:val="none"/>
                      <w:lang w:val="en-US" w:eastAsia="zh-CN"/>
                    </w:rPr>
                    <w:t>，不外排。</w:t>
                  </w:r>
                </w:p>
              </w:tc>
              <w:tc>
                <w:tcPr>
                  <w:tcW w:w="732" w:type="dxa"/>
                  <w:vMerge w:val="continue"/>
                  <w:tcBorders>
                    <w:tl2br w:val="nil"/>
                    <w:tr2bl w:val="nil"/>
                  </w:tcBorders>
                  <w:vAlign w:val="center"/>
                </w:tcPr>
                <w:p>
                  <w:pPr>
                    <w:pStyle w:val="34"/>
                    <w:bidi w:val="0"/>
                    <w:rPr>
                      <w:rFonts w:hint="default"/>
                      <w:color w:val="auto"/>
                      <w:highlight w:val="none"/>
                      <w:lang w:val="en-US" w:eastAsia="zh-CN"/>
                    </w:rPr>
                  </w:pPr>
                </w:p>
              </w:tc>
              <w:tc>
                <w:tcPr>
                  <w:tcW w:w="733" w:type="dxa"/>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57" w:type="dxa"/>
                  <w:vMerge w:val="continue"/>
                  <w:tcBorders>
                    <w:tl2br w:val="nil"/>
                    <w:tr2bl w:val="nil"/>
                  </w:tcBorders>
                  <w:vAlign w:val="center"/>
                </w:tcPr>
                <w:p>
                  <w:pPr>
                    <w:pStyle w:val="34"/>
                    <w:bidi w:val="0"/>
                    <w:rPr>
                      <w:rFonts w:hint="default"/>
                      <w:color w:val="auto"/>
                      <w:highlight w:val="none"/>
                      <w:lang w:val="en-US" w:eastAsia="zh-CN"/>
                    </w:rPr>
                  </w:pPr>
                </w:p>
              </w:tc>
              <w:tc>
                <w:tcPr>
                  <w:tcW w:w="632" w:type="dxa"/>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噪声</w:t>
                  </w:r>
                </w:p>
              </w:tc>
              <w:tc>
                <w:tcPr>
                  <w:tcW w:w="1373" w:type="dxa"/>
                  <w:gridSpan w:val="2"/>
                  <w:tcBorders>
                    <w:tl2br w:val="nil"/>
                    <w:tr2bl w:val="nil"/>
                  </w:tcBorders>
                  <w:vAlign w:val="center"/>
                </w:tcPr>
                <w:p>
                  <w:pPr>
                    <w:pStyle w:val="34"/>
                    <w:bidi w:val="0"/>
                    <w:rPr>
                      <w:rFonts w:hint="eastAsia"/>
                      <w:color w:val="auto"/>
                      <w:highlight w:val="none"/>
                      <w:lang w:val="en-US" w:eastAsia="zh-CN"/>
                    </w:rPr>
                  </w:pPr>
                  <w:r>
                    <w:rPr>
                      <w:rFonts w:hint="eastAsia"/>
                      <w:color w:val="auto"/>
                      <w:highlight w:val="none"/>
                      <w:lang w:val="en-US" w:eastAsia="zh-CN"/>
                    </w:rPr>
                    <w:t>设备噪声</w:t>
                  </w:r>
                </w:p>
              </w:tc>
              <w:tc>
                <w:tcPr>
                  <w:tcW w:w="4037" w:type="dxa"/>
                  <w:tcBorders>
                    <w:tl2br w:val="nil"/>
                    <w:tr2bl w:val="nil"/>
                  </w:tcBorders>
                  <w:vAlign w:val="center"/>
                </w:tcPr>
                <w:p>
                  <w:pPr>
                    <w:pStyle w:val="34"/>
                    <w:bidi w:val="0"/>
                    <w:jc w:val="left"/>
                    <w:rPr>
                      <w:rFonts w:hint="eastAsia"/>
                      <w:color w:val="auto"/>
                      <w:highlight w:val="none"/>
                      <w:lang w:val="en-US" w:eastAsia="zh-CN"/>
                    </w:rPr>
                  </w:pPr>
                  <w:r>
                    <w:rPr>
                      <w:rFonts w:hint="eastAsia"/>
                      <w:color w:val="auto"/>
                      <w:highlight w:val="none"/>
                      <w:lang w:val="en-US" w:eastAsia="zh-CN"/>
                    </w:rPr>
                    <w:t>1、现有降噪措施：（1）选用低噪声设备、基础减振；（2）设置隔声门，加装隔声窗；（3）安装进风消声器及排风消声器；（4）设置隔声墙；（5）设备排放口安装排气放空消声器；</w:t>
                  </w:r>
                </w:p>
                <w:p>
                  <w:pPr>
                    <w:pStyle w:val="38"/>
                    <w:bidi w:val="0"/>
                    <w:jc w:val="both"/>
                    <w:rPr>
                      <w:rFonts w:hint="eastAsia"/>
                      <w:color w:val="auto"/>
                      <w:highlight w:val="none"/>
                      <w:lang w:val="en-US" w:eastAsia="zh-CN"/>
                    </w:rPr>
                  </w:pPr>
                  <w:r>
                    <w:rPr>
                      <w:rFonts w:hint="eastAsia"/>
                      <w:color w:val="auto"/>
                      <w:highlight w:val="none"/>
                      <w:lang w:val="en-US" w:eastAsia="zh-CN"/>
                    </w:rPr>
                    <w:t>2、本次改建拟新增降噪措施：</w:t>
                  </w:r>
                </w:p>
                <w:p>
                  <w:pPr>
                    <w:pStyle w:val="38"/>
                    <w:bidi w:val="0"/>
                    <w:jc w:val="both"/>
                    <w:rPr>
                      <w:rFonts w:hint="eastAsia"/>
                      <w:color w:val="auto"/>
                      <w:highlight w:val="none"/>
                      <w:lang w:val="en-US" w:eastAsia="zh-CN"/>
                    </w:rPr>
                  </w:pPr>
                  <w:r>
                    <w:rPr>
                      <w:rFonts w:hint="eastAsia"/>
                      <w:color w:val="auto"/>
                      <w:highlight w:val="none"/>
                      <w:lang w:val="en-US" w:eastAsia="zh-CN"/>
                    </w:rPr>
                    <w:t>（1）在声源处抑制噪声</w:t>
                  </w:r>
                </w:p>
                <w:p>
                  <w:pPr>
                    <w:pStyle w:val="38"/>
                    <w:bidi w:val="0"/>
                    <w:jc w:val="both"/>
                    <w:rPr>
                      <w:rFonts w:hint="eastAsia"/>
                      <w:color w:val="auto"/>
                      <w:highlight w:val="none"/>
                      <w:lang w:val="en-US" w:eastAsia="zh-CN"/>
                    </w:rPr>
                  </w:pPr>
                  <w:r>
                    <w:rPr>
                      <w:rFonts w:hint="eastAsia"/>
                      <w:color w:val="auto"/>
                      <w:highlight w:val="none"/>
                      <w:lang w:val="en-US" w:eastAsia="zh-CN"/>
                    </w:rPr>
                    <w:t>尽量选用高效低噪设备；对于超过单机噪声允许标准的设备安装减震基础，布置在房间之内，利用墙壁隔声，同时采用阻尼材料，对机壳、风管、机罩等金属结构涂敷一层阻尼材料，抑制振动；对于小型噪声设备在进气口或排气口上设置消声器进行治理。选用较高级数的消声塔，主管道设置隔声层。</w:t>
                  </w:r>
                </w:p>
                <w:p>
                  <w:pPr>
                    <w:pStyle w:val="38"/>
                    <w:bidi w:val="0"/>
                    <w:jc w:val="both"/>
                    <w:rPr>
                      <w:rFonts w:hint="eastAsia"/>
                      <w:color w:val="auto"/>
                      <w:highlight w:val="none"/>
                      <w:lang w:val="en-US" w:eastAsia="zh-CN"/>
                    </w:rPr>
                  </w:pPr>
                  <w:r>
                    <w:rPr>
                      <w:rFonts w:hint="eastAsia"/>
                      <w:color w:val="auto"/>
                      <w:highlight w:val="none"/>
                      <w:lang w:val="en-US" w:eastAsia="zh-CN"/>
                    </w:rPr>
                    <w:t>（2）对声传播途径进行控制</w:t>
                  </w:r>
                </w:p>
                <w:p>
                  <w:pPr>
                    <w:pStyle w:val="34"/>
                    <w:bidi w:val="0"/>
                    <w:jc w:val="left"/>
                    <w:rPr>
                      <w:rFonts w:hint="default"/>
                      <w:color w:val="auto"/>
                      <w:highlight w:val="none"/>
                      <w:lang w:val="en-US" w:eastAsia="zh-CN"/>
                    </w:rPr>
                  </w:pPr>
                  <w:r>
                    <w:rPr>
                      <w:rFonts w:hint="eastAsia"/>
                      <w:color w:val="auto"/>
                      <w:highlight w:val="none"/>
                      <w:lang w:val="en-US" w:eastAsia="zh-CN"/>
                    </w:rPr>
                    <w:t>高噪声设备建在室内，加厚砖墙，安装隔声效果好的门窗，减少门窗的开启面积。对于强烈振动的设备、管道与基础、支架、建筑物及其他设备之间采用柔性连接或支撑等措施；新增消声器2台。</w:t>
                  </w:r>
                </w:p>
              </w:tc>
              <w:tc>
                <w:tcPr>
                  <w:tcW w:w="732" w:type="dxa"/>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60</w:t>
                  </w:r>
                </w:p>
              </w:tc>
              <w:tc>
                <w:tcPr>
                  <w:tcW w:w="733" w:type="dxa"/>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57" w:type="dxa"/>
                  <w:vMerge w:val="continue"/>
                  <w:tcBorders>
                    <w:tl2br w:val="nil"/>
                    <w:tr2bl w:val="nil"/>
                  </w:tcBorders>
                  <w:vAlign w:val="center"/>
                </w:tcPr>
                <w:p>
                  <w:pPr>
                    <w:pStyle w:val="34"/>
                    <w:bidi w:val="0"/>
                    <w:rPr>
                      <w:rFonts w:hint="default"/>
                      <w:color w:val="auto"/>
                      <w:highlight w:val="none"/>
                      <w:lang w:val="en-US" w:eastAsia="zh-CN"/>
                    </w:rPr>
                  </w:pPr>
                </w:p>
              </w:tc>
              <w:tc>
                <w:tcPr>
                  <w:tcW w:w="632" w:type="dxa"/>
                  <w:vMerge w:val="restart"/>
                  <w:tcBorders>
                    <w:tl2br w:val="nil"/>
                    <w:tr2bl w:val="nil"/>
                  </w:tcBorders>
                  <w:vAlign w:val="center"/>
                </w:tcPr>
                <w:p>
                  <w:pPr>
                    <w:pStyle w:val="34"/>
                    <w:bidi w:val="0"/>
                    <w:rPr>
                      <w:rFonts w:hint="default"/>
                      <w:color w:val="auto"/>
                      <w:highlight w:val="none"/>
                      <w:lang w:val="en-US" w:eastAsia="zh-CN"/>
                    </w:rPr>
                  </w:pPr>
                  <w:r>
                    <w:rPr>
                      <w:rFonts w:hint="default"/>
                      <w:color w:val="auto"/>
                      <w:highlight w:val="none"/>
                      <w:lang w:val="en-US" w:eastAsia="zh-CN"/>
                    </w:rPr>
                    <w:t>固废</w:t>
                  </w:r>
                </w:p>
              </w:tc>
              <w:tc>
                <w:tcPr>
                  <w:tcW w:w="1373" w:type="dxa"/>
                  <w:gridSpan w:val="2"/>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生活垃圾</w:t>
                  </w:r>
                </w:p>
              </w:tc>
              <w:tc>
                <w:tcPr>
                  <w:tcW w:w="4037" w:type="dxa"/>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依托</w:t>
                  </w:r>
                  <w:r>
                    <w:rPr>
                      <w:rFonts w:hint="default" w:ascii="Times New Roman" w:hAnsi="Times New Roman" w:eastAsia="宋体" w:cs="Times New Roman"/>
                      <w:color w:val="auto"/>
                      <w:sz w:val="18"/>
                      <w:szCs w:val="18"/>
                      <w:highlight w:val="none"/>
                      <w:lang w:val="en-US" w:eastAsia="zh-CN"/>
                    </w:rPr>
                    <w:t>易门铜业有限公司</w:t>
                  </w:r>
                  <w:r>
                    <w:rPr>
                      <w:rFonts w:hint="eastAsia"/>
                      <w:color w:val="auto"/>
                      <w:highlight w:val="none"/>
                      <w:lang w:val="en-US" w:eastAsia="zh-CN"/>
                    </w:rPr>
                    <w:t>设置的生活垃圾收集设施统一收集后定期外运至工业园区生活垃圾集中收集点，由环卫部门集中处理。</w:t>
                  </w:r>
                </w:p>
              </w:tc>
              <w:tc>
                <w:tcPr>
                  <w:tcW w:w="732" w:type="dxa"/>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依托</w:t>
                  </w:r>
                </w:p>
              </w:tc>
              <w:tc>
                <w:tcPr>
                  <w:tcW w:w="733" w:type="dxa"/>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357" w:type="dxa"/>
                  <w:vMerge w:val="continue"/>
                  <w:tcBorders>
                    <w:tl2br w:val="nil"/>
                    <w:tr2bl w:val="nil"/>
                  </w:tcBorders>
                  <w:vAlign w:val="center"/>
                </w:tcPr>
                <w:p>
                  <w:pPr>
                    <w:pStyle w:val="34"/>
                    <w:bidi w:val="0"/>
                    <w:rPr>
                      <w:rFonts w:hint="default"/>
                      <w:color w:val="auto"/>
                      <w:highlight w:val="none"/>
                      <w:lang w:val="en-US" w:eastAsia="zh-CN"/>
                    </w:rPr>
                  </w:pPr>
                </w:p>
              </w:tc>
              <w:tc>
                <w:tcPr>
                  <w:tcW w:w="632" w:type="dxa"/>
                  <w:vMerge w:val="continue"/>
                  <w:tcBorders>
                    <w:tl2br w:val="nil"/>
                    <w:tr2bl w:val="nil"/>
                  </w:tcBorders>
                  <w:vAlign w:val="center"/>
                </w:tcPr>
                <w:p>
                  <w:pPr>
                    <w:pStyle w:val="34"/>
                    <w:bidi w:val="0"/>
                    <w:rPr>
                      <w:rFonts w:hint="default"/>
                      <w:color w:val="auto"/>
                      <w:highlight w:val="none"/>
                      <w:lang w:val="en-US" w:eastAsia="zh-CN"/>
                    </w:rPr>
                  </w:pPr>
                </w:p>
              </w:tc>
              <w:tc>
                <w:tcPr>
                  <w:tcW w:w="415" w:type="dxa"/>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一般固废</w:t>
                  </w:r>
                </w:p>
              </w:tc>
              <w:tc>
                <w:tcPr>
                  <w:tcW w:w="958" w:type="dxa"/>
                  <w:tcBorders>
                    <w:tl2br w:val="nil"/>
                    <w:tr2bl w:val="nil"/>
                  </w:tcBorders>
                  <w:shd w:val="clear" w:color="auto" w:fill="auto"/>
                  <w:vAlign w:val="center"/>
                </w:tcPr>
                <w:p>
                  <w:pPr>
                    <w:pStyle w:val="34"/>
                    <w:bidi w:val="0"/>
                    <w:rPr>
                      <w:rFonts w:hint="eastAsia"/>
                      <w:color w:val="auto"/>
                      <w:highlight w:val="none"/>
                      <w:lang w:val="en-US" w:eastAsia="zh-CN"/>
                    </w:rPr>
                  </w:pPr>
                  <w:r>
                    <w:rPr>
                      <w:rFonts w:hint="eastAsia"/>
                      <w:color w:val="auto"/>
                      <w:highlight w:val="none"/>
                      <w:lang w:val="en-US" w:eastAsia="zh-CN"/>
                    </w:rPr>
                    <w:t>废分子筛、废氧化铝、废滤芯</w:t>
                  </w:r>
                </w:p>
              </w:tc>
              <w:tc>
                <w:tcPr>
                  <w:tcW w:w="4037" w:type="dxa"/>
                  <w:tcBorders>
                    <w:tl2br w:val="nil"/>
                    <w:tr2bl w:val="nil"/>
                  </w:tcBorders>
                  <w:shd w:val="clear" w:color="auto" w:fill="auto"/>
                  <w:vAlign w:val="center"/>
                </w:tcPr>
                <w:p>
                  <w:pPr>
                    <w:pStyle w:val="34"/>
                    <w:bidi w:val="0"/>
                    <w:rPr>
                      <w:rFonts w:hint="default"/>
                      <w:color w:val="auto"/>
                      <w:highlight w:val="none"/>
                      <w:lang w:val="en-US" w:eastAsia="zh-CN"/>
                    </w:rPr>
                  </w:pPr>
                  <w:r>
                    <w:rPr>
                      <w:rFonts w:hint="default"/>
                      <w:color w:val="auto"/>
                      <w:highlight w:val="none"/>
                      <w:lang w:val="en-US" w:eastAsia="zh-CN"/>
                    </w:rPr>
                    <w:t>由厂家定期进场更换时带走自行处置，不在厂区内暂存。</w:t>
                  </w:r>
                </w:p>
              </w:tc>
              <w:tc>
                <w:tcPr>
                  <w:tcW w:w="732" w:type="dxa"/>
                  <w:tcBorders>
                    <w:tl2br w:val="nil"/>
                    <w:tr2bl w:val="nil"/>
                  </w:tcBorders>
                  <w:shd w:val="clear" w:color="auto" w:fill="auto"/>
                  <w:vAlign w:val="center"/>
                </w:tcPr>
                <w:p>
                  <w:pPr>
                    <w:pStyle w:val="34"/>
                    <w:bidi w:val="0"/>
                    <w:rPr>
                      <w:rFonts w:hint="default"/>
                      <w:color w:val="auto"/>
                      <w:highlight w:val="none"/>
                      <w:lang w:val="en-US" w:eastAsia="zh-CN"/>
                    </w:rPr>
                  </w:pPr>
                  <w:r>
                    <w:rPr>
                      <w:rFonts w:hint="eastAsia"/>
                      <w:color w:val="auto"/>
                      <w:highlight w:val="none"/>
                      <w:lang w:val="en-US" w:eastAsia="zh-CN"/>
                    </w:rPr>
                    <w:t>/</w:t>
                  </w:r>
                </w:p>
              </w:tc>
              <w:tc>
                <w:tcPr>
                  <w:tcW w:w="733" w:type="dxa"/>
                  <w:tcBorders>
                    <w:tl2br w:val="nil"/>
                    <w:tr2bl w:val="nil"/>
                  </w:tcBorders>
                  <w:shd w:val="clear" w:color="auto" w:fill="auto"/>
                  <w:vAlign w:val="center"/>
                </w:tcPr>
                <w:p>
                  <w:pPr>
                    <w:pStyle w:val="34"/>
                    <w:bidi w:val="0"/>
                    <w:rPr>
                      <w:rFonts w:hint="default"/>
                      <w:color w:val="auto"/>
                      <w:highlight w:val="none"/>
                      <w:lang w:val="en-US" w:eastAsia="zh-CN"/>
                    </w:rPr>
                  </w:pPr>
                  <w:r>
                    <w:rPr>
                      <w:rFonts w:hint="eastAsia"/>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57" w:type="dxa"/>
                  <w:vMerge w:val="continue"/>
                  <w:tcBorders>
                    <w:tl2br w:val="nil"/>
                    <w:tr2bl w:val="nil"/>
                  </w:tcBorders>
                  <w:vAlign w:val="center"/>
                </w:tcPr>
                <w:p>
                  <w:pPr>
                    <w:pStyle w:val="34"/>
                    <w:bidi w:val="0"/>
                    <w:rPr>
                      <w:color w:val="auto"/>
                      <w:highlight w:val="none"/>
                    </w:rPr>
                  </w:pPr>
                </w:p>
              </w:tc>
              <w:tc>
                <w:tcPr>
                  <w:tcW w:w="632" w:type="dxa"/>
                  <w:vMerge w:val="continue"/>
                  <w:tcBorders>
                    <w:tl2br w:val="nil"/>
                    <w:tr2bl w:val="nil"/>
                  </w:tcBorders>
                  <w:vAlign w:val="center"/>
                </w:tcPr>
                <w:p>
                  <w:pPr>
                    <w:pStyle w:val="34"/>
                    <w:bidi w:val="0"/>
                    <w:rPr>
                      <w:color w:val="auto"/>
                      <w:highlight w:val="none"/>
                    </w:rPr>
                  </w:pPr>
                </w:p>
              </w:tc>
              <w:tc>
                <w:tcPr>
                  <w:tcW w:w="415" w:type="dxa"/>
                  <w:tcBorders>
                    <w:tl2br w:val="nil"/>
                    <w:tr2bl w:val="nil"/>
                  </w:tcBorders>
                  <w:vAlign w:val="center"/>
                </w:tcPr>
                <w:p>
                  <w:pPr>
                    <w:pStyle w:val="34"/>
                    <w:bidi w:val="0"/>
                    <w:rPr>
                      <w:rFonts w:hint="eastAsia" w:eastAsia="宋体"/>
                      <w:color w:val="auto"/>
                      <w:highlight w:val="none"/>
                      <w:lang w:val="en-US" w:eastAsia="zh-CN"/>
                    </w:rPr>
                  </w:pPr>
                  <w:r>
                    <w:rPr>
                      <w:rFonts w:hint="eastAsia"/>
                      <w:color w:val="auto"/>
                      <w:highlight w:val="none"/>
                      <w:lang w:val="en-US" w:eastAsia="zh-CN"/>
                    </w:rPr>
                    <w:t>危险废物</w:t>
                  </w:r>
                </w:p>
              </w:tc>
              <w:tc>
                <w:tcPr>
                  <w:tcW w:w="958"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eastAsia="宋体" w:cstheme="minorBidi"/>
                      <w:color w:val="auto"/>
                      <w:kern w:val="2"/>
                      <w:sz w:val="18"/>
                      <w:szCs w:val="18"/>
                      <w:highlight w:val="none"/>
                      <w:lang w:val="en-US" w:eastAsia="zh-CN" w:bidi="ar-SA"/>
                    </w:rPr>
                  </w:pPr>
                  <w:r>
                    <w:rPr>
                      <w:rFonts w:hint="eastAsia"/>
                      <w:color w:val="auto"/>
                      <w:highlight w:val="none"/>
                      <w:lang w:val="en-US" w:eastAsia="zh-CN"/>
                    </w:rPr>
                    <w:t>废润滑油、废油桶</w:t>
                  </w:r>
                </w:p>
              </w:tc>
              <w:tc>
                <w:tcPr>
                  <w:tcW w:w="4037"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eastAsia="宋体" w:cstheme="minorBidi"/>
                      <w:color w:val="auto"/>
                      <w:kern w:val="2"/>
                      <w:sz w:val="18"/>
                      <w:szCs w:val="18"/>
                      <w:highlight w:val="none"/>
                      <w:lang w:val="en-US" w:eastAsia="zh-CN" w:bidi="ar-SA"/>
                    </w:rPr>
                  </w:pPr>
                  <w:r>
                    <w:rPr>
                      <w:rFonts w:hint="eastAsia"/>
                      <w:color w:val="auto"/>
                      <w:highlight w:val="none"/>
                      <w:lang w:val="en-US" w:eastAsia="zh-CN"/>
                    </w:rPr>
                    <w:t>依托易门铜业有限公司已建5#危险废物贮存库暂存后委托云南广莱再生资源回收有限公司定期清运处置。</w:t>
                  </w:r>
                </w:p>
              </w:tc>
              <w:tc>
                <w:tcPr>
                  <w:tcW w:w="732" w:type="dxa"/>
                  <w:tcBorders>
                    <w:tl2br w:val="nil"/>
                    <w:tr2bl w:val="nil"/>
                  </w:tcBorders>
                  <w:shd w:val="clear" w:color="auto" w:fill="auto"/>
                  <w:vAlign w:val="center"/>
                </w:tcPr>
                <w:p>
                  <w:pPr>
                    <w:pStyle w:val="34"/>
                    <w:bidi w:val="0"/>
                    <w:rPr>
                      <w:rFonts w:hint="default"/>
                      <w:color w:val="auto"/>
                      <w:highlight w:val="none"/>
                      <w:lang w:val="en-US" w:eastAsia="zh-CN"/>
                    </w:rPr>
                  </w:pPr>
                  <w:r>
                    <w:rPr>
                      <w:rFonts w:hint="eastAsia"/>
                      <w:color w:val="auto"/>
                      <w:highlight w:val="none"/>
                      <w:lang w:val="en-US" w:eastAsia="zh-CN"/>
                    </w:rPr>
                    <w:t>依托</w:t>
                  </w:r>
                </w:p>
              </w:tc>
              <w:tc>
                <w:tcPr>
                  <w:tcW w:w="733" w:type="dxa"/>
                  <w:tcBorders>
                    <w:tl2br w:val="nil"/>
                    <w:tr2bl w:val="nil"/>
                  </w:tcBorders>
                  <w:shd w:val="clear" w:color="auto" w:fill="auto"/>
                  <w:vAlign w:val="center"/>
                </w:tcPr>
                <w:p>
                  <w:pPr>
                    <w:pStyle w:val="34"/>
                    <w:bidi w:val="0"/>
                    <w:rPr>
                      <w:rFonts w:hint="default"/>
                      <w:color w:val="auto"/>
                      <w:highlight w:val="none"/>
                      <w:lang w:val="en-US" w:eastAsia="zh-CN"/>
                    </w:rPr>
                  </w:pPr>
                  <w:r>
                    <w:rPr>
                      <w:rFonts w:hint="eastAsia"/>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57" w:type="dxa"/>
                  <w:vMerge w:val="continue"/>
                  <w:tcBorders>
                    <w:tl2br w:val="nil"/>
                    <w:tr2bl w:val="nil"/>
                  </w:tcBorders>
                  <w:vAlign w:val="center"/>
                </w:tcPr>
                <w:p>
                  <w:pPr>
                    <w:pStyle w:val="34"/>
                    <w:bidi w:val="0"/>
                    <w:rPr>
                      <w:rFonts w:hint="default"/>
                      <w:color w:val="auto"/>
                      <w:highlight w:val="none"/>
                      <w:lang w:val="en-US" w:eastAsia="zh-CN"/>
                    </w:rPr>
                  </w:pPr>
                </w:p>
              </w:tc>
              <w:tc>
                <w:tcPr>
                  <w:tcW w:w="632" w:type="dxa"/>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防渗</w:t>
                  </w:r>
                </w:p>
              </w:tc>
              <w:tc>
                <w:tcPr>
                  <w:tcW w:w="5410" w:type="dxa"/>
                  <w:gridSpan w:val="3"/>
                  <w:tcBorders>
                    <w:tl2br w:val="nil"/>
                    <w:tr2bl w:val="nil"/>
                  </w:tcBorders>
                  <w:vAlign w:val="center"/>
                </w:tcPr>
                <w:p>
                  <w:pPr>
                    <w:pStyle w:val="34"/>
                    <w:bidi w:val="0"/>
                    <w:rPr>
                      <w:rFonts w:hint="default"/>
                      <w:color w:val="auto"/>
                      <w:highlight w:val="none"/>
                      <w:lang w:val="en-US" w:eastAsia="zh-CN"/>
                    </w:rPr>
                  </w:pPr>
                  <w:r>
                    <w:rPr>
                      <w:rFonts w:hint="default"/>
                      <w:color w:val="auto"/>
                      <w:highlight w:val="none"/>
                      <w:lang w:val="en-US" w:eastAsia="zh-CN"/>
                    </w:rPr>
                    <w:t>厂区道路划分为简单防渗区，</w:t>
                  </w:r>
                  <w:r>
                    <w:rPr>
                      <w:rFonts w:hint="eastAsia"/>
                      <w:color w:val="auto"/>
                      <w:highlight w:val="none"/>
                      <w:lang w:val="en-US" w:eastAsia="zh-CN"/>
                    </w:rPr>
                    <w:t>已进行一般地面硬化；制氧</w:t>
                  </w:r>
                  <w:r>
                    <w:rPr>
                      <w:rFonts w:hint="default"/>
                      <w:color w:val="auto"/>
                      <w:highlight w:val="none"/>
                      <w:lang w:val="en-US" w:eastAsia="zh-CN"/>
                    </w:rPr>
                    <w:t>车间划分为一般防渗区，</w:t>
                  </w:r>
                  <w:r>
                    <w:rPr>
                      <w:rFonts w:hint="eastAsia"/>
                      <w:color w:val="auto"/>
                      <w:highlight w:val="none"/>
                      <w:lang w:val="en-US" w:eastAsia="zh-CN"/>
                    </w:rPr>
                    <w:t>制氧车间地面已采取</w:t>
                  </w:r>
                  <w:r>
                    <w:rPr>
                      <w:rFonts w:hint="default" w:ascii="Times New Roman" w:hAnsi="Times New Roman" w:cs="Times New Roman"/>
                      <w:color w:val="auto"/>
                      <w:highlight w:val="none"/>
                      <w:lang w:val="en-US" w:eastAsia="zh-CN"/>
                    </w:rPr>
                    <w:t>夯实黏土层、在上层</w:t>
                  </w:r>
                  <w:r>
                    <w:rPr>
                      <w:rFonts w:hint="eastAsia" w:cs="Times New Roman"/>
                      <w:color w:val="auto"/>
                      <w:highlight w:val="none"/>
                      <w:lang w:val="en-US" w:eastAsia="zh-CN"/>
                    </w:rPr>
                    <w:t>浇筑</w:t>
                  </w:r>
                  <w:r>
                    <w:rPr>
                      <w:rFonts w:hint="default" w:ascii="Times New Roman" w:hAnsi="Times New Roman" w:cs="Times New Roman"/>
                      <w:color w:val="auto"/>
                      <w:highlight w:val="none"/>
                      <w:lang w:val="en-US" w:eastAsia="zh-CN"/>
                    </w:rPr>
                    <w:t>1</w:t>
                  </w:r>
                  <w:r>
                    <w:rPr>
                      <w:rFonts w:hint="eastAsia" w:cs="Times New Roman"/>
                      <w:color w:val="auto"/>
                      <w:highlight w:val="none"/>
                      <w:lang w:val="en-US" w:eastAsia="zh-CN"/>
                    </w:rPr>
                    <w:t>5</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20</w:t>
                  </w:r>
                  <w:r>
                    <w:rPr>
                      <w:rFonts w:hint="default" w:ascii="Times New Roman" w:hAnsi="Times New Roman" w:cs="Times New Roman"/>
                      <w:color w:val="auto"/>
                      <w:highlight w:val="none"/>
                      <w:lang w:val="en-US" w:eastAsia="zh-CN"/>
                    </w:rPr>
                    <w:t>cm</w:t>
                  </w:r>
                  <w:r>
                    <w:rPr>
                      <w:rFonts w:hint="eastAsia" w:cs="Times New Roman"/>
                      <w:color w:val="auto"/>
                      <w:highlight w:val="none"/>
                      <w:lang w:val="en-US" w:eastAsia="zh-CN"/>
                    </w:rPr>
                    <w:t>厚度</w:t>
                  </w:r>
                  <w:r>
                    <w:rPr>
                      <w:rFonts w:hint="default" w:ascii="Times New Roman" w:hAnsi="Times New Roman" w:cs="Times New Roman"/>
                      <w:color w:val="auto"/>
                      <w:highlight w:val="none"/>
                      <w:lang w:val="en-US" w:eastAsia="zh-CN"/>
                    </w:rPr>
                    <w:t>的</w:t>
                  </w:r>
                  <w:r>
                    <w:rPr>
                      <w:rFonts w:hint="eastAsia" w:cs="Times New Roman"/>
                      <w:color w:val="auto"/>
                      <w:highlight w:val="none"/>
                      <w:lang w:val="en-US" w:eastAsia="zh-CN"/>
                    </w:rPr>
                    <w:t>C30</w:t>
                  </w:r>
                  <w:r>
                    <w:rPr>
                      <w:rFonts w:hint="default" w:ascii="Times New Roman" w:hAnsi="Times New Roman" w:cs="Times New Roman"/>
                      <w:color w:val="auto"/>
                      <w:highlight w:val="none"/>
                      <w:lang w:val="en-US" w:eastAsia="zh-CN"/>
                    </w:rPr>
                    <w:t>抗渗混凝土进行硬化的措施</w:t>
                  </w:r>
                  <w:r>
                    <w:rPr>
                      <w:rFonts w:hint="eastAsia" w:cs="Times New Roman"/>
                      <w:color w:val="auto"/>
                      <w:highlight w:val="none"/>
                      <w:lang w:val="en-US" w:eastAsia="zh-CN"/>
                    </w:rPr>
                    <w:t>，可满足一般防渗要求；依托的</w:t>
                  </w:r>
                  <w:r>
                    <w:rPr>
                      <w:rFonts w:hint="eastAsia"/>
                      <w:color w:val="auto"/>
                      <w:highlight w:val="none"/>
                      <w:lang w:val="en-US" w:eastAsia="zh-CN"/>
                    </w:rPr>
                    <w:t>危险废物贮存库</w:t>
                  </w:r>
                  <w:r>
                    <w:rPr>
                      <w:rFonts w:hint="default"/>
                      <w:color w:val="auto"/>
                      <w:highlight w:val="none"/>
                      <w:lang w:val="en-US" w:eastAsia="zh-CN"/>
                    </w:rPr>
                    <w:t>为重点防渗区，</w:t>
                  </w:r>
                  <w:r>
                    <w:rPr>
                      <w:rFonts w:hint="eastAsia"/>
                      <w:color w:val="auto"/>
                      <w:highlight w:val="none"/>
                      <w:lang w:val="en-US" w:eastAsia="zh-CN"/>
                    </w:rPr>
                    <w:t>易门铜业有限公司</w:t>
                  </w:r>
                  <w:r>
                    <w:rPr>
                      <w:rFonts w:hint="eastAsia" w:ascii="Times New Roman" w:hAnsi="Times New Roman" w:cs="Times New Roman"/>
                      <w:color w:val="auto"/>
                      <w:highlight w:val="none"/>
                      <w:lang w:val="en-US" w:eastAsia="zh-CN"/>
                    </w:rPr>
                    <w:t>已采取了以下防渗措施：侧壁（自内向外）：环库挡墙壁+GCL（钠基膨润土毯）+2mm厚 HDPE膜+C2细石混凝土压重墙+建筑防腐层；库底（自下向上）：场地平整基础+GCL（钠基膨润土毯）+2mm厚 HDPE膜+复合土工排水网+300mm厚天然砂砾石层（内设DN160HDPE花孔管）+建筑防腐层，满足重点防渗要求</w:t>
                  </w:r>
                  <w:r>
                    <w:rPr>
                      <w:rFonts w:hint="eastAsia" w:cs="Times New Roman"/>
                      <w:color w:val="auto"/>
                      <w:spacing w:val="-1"/>
                      <w:highlight w:val="none"/>
                      <w:shd w:val="clear" w:color="auto" w:fill="auto"/>
                      <w:lang w:val="en-US" w:eastAsia="zh-CN"/>
                    </w:rPr>
                    <w:t>；</w:t>
                  </w:r>
                  <w:r>
                    <w:rPr>
                      <w:rFonts w:hint="eastAsia"/>
                      <w:color w:val="auto"/>
                      <w:highlight w:val="none"/>
                      <w:lang w:val="en-US" w:eastAsia="zh-CN"/>
                    </w:rPr>
                    <w:t>各防渗分区均已</w:t>
                  </w:r>
                  <w:r>
                    <w:rPr>
                      <w:rFonts w:hint="default"/>
                      <w:color w:val="auto"/>
                      <w:highlight w:val="none"/>
                      <w:lang w:val="en-US" w:eastAsia="zh-CN"/>
                    </w:rPr>
                    <w:t>按照相关要求采取相应的分区防渗措施，可有效防止各类污染物下渗，项目建设不会对地下水、土壤</w:t>
                  </w:r>
                  <w:r>
                    <w:rPr>
                      <w:rFonts w:hint="eastAsia"/>
                      <w:color w:val="auto"/>
                      <w:highlight w:val="none"/>
                      <w:lang w:val="en-US" w:eastAsia="zh-CN"/>
                    </w:rPr>
                    <w:t>环境</w:t>
                  </w:r>
                  <w:r>
                    <w:rPr>
                      <w:rFonts w:hint="default"/>
                      <w:color w:val="auto"/>
                      <w:highlight w:val="none"/>
                      <w:lang w:val="en-US" w:eastAsia="zh-CN"/>
                    </w:rPr>
                    <w:t>造成污染。</w:t>
                  </w:r>
                </w:p>
              </w:tc>
              <w:tc>
                <w:tcPr>
                  <w:tcW w:w="732" w:type="dxa"/>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危险废物贮存库依托易门铜业有限公司已建设施</w:t>
                  </w:r>
                </w:p>
              </w:tc>
              <w:tc>
                <w:tcPr>
                  <w:tcW w:w="733" w:type="dxa"/>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357" w:type="dxa"/>
                  <w:vMerge w:val="continue"/>
                  <w:tcBorders>
                    <w:tl2br w:val="nil"/>
                    <w:tr2bl w:val="nil"/>
                  </w:tcBorders>
                  <w:vAlign w:val="center"/>
                </w:tcPr>
                <w:p>
                  <w:pPr>
                    <w:pStyle w:val="34"/>
                    <w:bidi w:val="0"/>
                    <w:rPr>
                      <w:rFonts w:hint="default"/>
                      <w:color w:val="auto"/>
                      <w:highlight w:val="none"/>
                      <w:lang w:val="en-US" w:eastAsia="zh-CN"/>
                    </w:rPr>
                  </w:pPr>
                </w:p>
              </w:tc>
              <w:tc>
                <w:tcPr>
                  <w:tcW w:w="632" w:type="dxa"/>
                  <w:vMerge w:val="restart"/>
                  <w:tcBorders>
                    <w:tl2br w:val="nil"/>
                    <w:tr2bl w:val="nil"/>
                  </w:tcBorders>
                  <w:vAlign w:val="center"/>
                </w:tcPr>
                <w:p>
                  <w:pPr>
                    <w:pStyle w:val="34"/>
                    <w:bidi w:val="0"/>
                    <w:rPr>
                      <w:rFonts w:hint="default"/>
                      <w:color w:val="auto"/>
                      <w:highlight w:val="none"/>
                      <w:lang w:val="en-US" w:eastAsia="zh-CN"/>
                    </w:rPr>
                  </w:pPr>
                  <w:r>
                    <w:rPr>
                      <w:rFonts w:hint="default"/>
                      <w:color w:val="auto"/>
                      <w:highlight w:val="none"/>
                      <w:lang w:val="en-US" w:eastAsia="zh-CN"/>
                    </w:rPr>
                    <w:t>环保管理及监测费用</w:t>
                  </w:r>
                </w:p>
              </w:tc>
              <w:tc>
                <w:tcPr>
                  <w:tcW w:w="5410" w:type="dxa"/>
                  <w:gridSpan w:val="3"/>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环评费用</w:t>
                  </w:r>
                </w:p>
              </w:tc>
              <w:tc>
                <w:tcPr>
                  <w:tcW w:w="732" w:type="dxa"/>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w:t>
                  </w:r>
                </w:p>
              </w:tc>
              <w:tc>
                <w:tcPr>
                  <w:tcW w:w="733"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eastAsia="宋体" w:cstheme="minorBidi"/>
                      <w:color w:val="auto"/>
                      <w:kern w:val="2"/>
                      <w:sz w:val="18"/>
                      <w:szCs w:val="18"/>
                      <w:highlight w:val="none"/>
                      <w:lang w:val="en-US" w:eastAsia="zh-CN" w:bidi="ar-SA"/>
                    </w:rPr>
                  </w:pPr>
                  <w:r>
                    <w:rPr>
                      <w:rFonts w:hint="eastAsia"/>
                      <w:color w:val="auto"/>
                      <w:highlight w:val="none"/>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357" w:type="dxa"/>
                  <w:vMerge w:val="continue"/>
                  <w:tcBorders>
                    <w:tl2br w:val="nil"/>
                    <w:tr2bl w:val="nil"/>
                  </w:tcBorders>
                  <w:vAlign w:val="center"/>
                </w:tcPr>
                <w:p>
                  <w:pPr>
                    <w:pStyle w:val="34"/>
                    <w:bidi w:val="0"/>
                    <w:rPr>
                      <w:color w:val="auto"/>
                      <w:highlight w:val="none"/>
                    </w:rPr>
                  </w:pPr>
                </w:p>
              </w:tc>
              <w:tc>
                <w:tcPr>
                  <w:tcW w:w="632" w:type="dxa"/>
                  <w:vMerge w:val="continue"/>
                  <w:tcBorders>
                    <w:tl2br w:val="nil"/>
                    <w:tr2bl w:val="nil"/>
                  </w:tcBorders>
                  <w:vAlign w:val="center"/>
                </w:tcPr>
                <w:p>
                  <w:pPr>
                    <w:pStyle w:val="34"/>
                    <w:bidi w:val="0"/>
                    <w:rPr>
                      <w:color w:val="auto"/>
                      <w:highlight w:val="none"/>
                    </w:rPr>
                  </w:pPr>
                </w:p>
              </w:tc>
              <w:tc>
                <w:tcPr>
                  <w:tcW w:w="5410" w:type="dxa"/>
                  <w:gridSpan w:val="3"/>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竣工环境保护验收费用</w:t>
                  </w:r>
                </w:p>
              </w:tc>
              <w:tc>
                <w:tcPr>
                  <w:tcW w:w="732" w:type="dxa"/>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w:t>
                  </w:r>
                </w:p>
              </w:tc>
              <w:tc>
                <w:tcPr>
                  <w:tcW w:w="733" w:type="dxa"/>
                  <w:tcBorders>
                    <w:tl2br w:val="nil"/>
                    <w:tr2bl w:val="nil"/>
                  </w:tcBorders>
                  <w:shd w:val="clear" w:color="auto" w:fill="auto"/>
                  <w:vAlign w:val="center"/>
                </w:tcPr>
                <w:p>
                  <w:pPr>
                    <w:pStyle w:val="34"/>
                    <w:bidi w:val="0"/>
                    <w:ind w:left="0" w:leftChars="0" w:firstLine="0" w:firstLineChars="0"/>
                    <w:rPr>
                      <w:rFonts w:hint="eastAsia" w:ascii="Times New Roman" w:hAnsi="Times New Roman" w:eastAsia="宋体" w:cstheme="minorBidi"/>
                      <w:color w:val="auto"/>
                      <w:kern w:val="2"/>
                      <w:sz w:val="18"/>
                      <w:szCs w:val="18"/>
                      <w:highlight w:val="none"/>
                      <w:lang w:val="en-US" w:eastAsia="zh-CN" w:bidi="ar-SA"/>
                    </w:rPr>
                  </w:pPr>
                  <w:r>
                    <w:rPr>
                      <w:rFonts w:hint="eastAsia"/>
                      <w:color w:val="auto"/>
                      <w:highlight w:val="none"/>
                      <w:lang w:val="en-US" w:eastAsia="zh-CN"/>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357" w:type="dxa"/>
                  <w:vMerge w:val="continue"/>
                  <w:tcBorders>
                    <w:tl2br w:val="nil"/>
                    <w:tr2bl w:val="nil"/>
                  </w:tcBorders>
                  <w:vAlign w:val="center"/>
                </w:tcPr>
                <w:p>
                  <w:pPr>
                    <w:pStyle w:val="34"/>
                    <w:bidi w:val="0"/>
                    <w:rPr>
                      <w:rFonts w:hint="eastAsia"/>
                      <w:color w:val="auto"/>
                      <w:highlight w:val="none"/>
                      <w:lang w:val="en-US" w:eastAsia="zh-CN"/>
                    </w:rPr>
                  </w:pPr>
                </w:p>
              </w:tc>
              <w:tc>
                <w:tcPr>
                  <w:tcW w:w="632" w:type="dxa"/>
                  <w:vMerge w:val="continue"/>
                  <w:tcBorders>
                    <w:tl2br w:val="nil"/>
                    <w:tr2bl w:val="nil"/>
                  </w:tcBorders>
                  <w:vAlign w:val="center"/>
                </w:tcPr>
                <w:p>
                  <w:pPr>
                    <w:pStyle w:val="34"/>
                    <w:bidi w:val="0"/>
                    <w:rPr>
                      <w:rFonts w:hint="eastAsia"/>
                      <w:color w:val="auto"/>
                      <w:highlight w:val="none"/>
                      <w:lang w:val="en-US" w:eastAsia="zh-CN"/>
                    </w:rPr>
                  </w:pPr>
                </w:p>
              </w:tc>
              <w:tc>
                <w:tcPr>
                  <w:tcW w:w="5410" w:type="dxa"/>
                  <w:gridSpan w:val="3"/>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突发环境事件应急预案修编费用</w:t>
                  </w:r>
                </w:p>
              </w:tc>
              <w:tc>
                <w:tcPr>
                  <w:tcW w:w="732" w:type="dxa"/>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w:t>
                  </w:r>
                </w:p>
              </w:tc>
              <w:tc>
                <w:tcPr>
                  <w:tcW w:w="733" w:type="dxa"/>
                  <w:tcBorders>
                    <w:tl2br w:val="nil"/>
                    <w:tr2bl w:val="nil"/>
                  </w:tcBorders>
                  <w:shd w:val="clear" w:color="auto" w:fill="auto"/>
                  <w:vAlign w:val="center"/>
                </w:tcPr>
                <w:p>
                  <w:pPr>
                    <w:pStyle w:val="34"/>
                    <w:bidi w:val="0"/>
                    <w:ind w:left="0" w:leftChars="0" w:firstLine="0" w:firstLineChars="0"/>
                    <w:rPr>
                      <w:rFonts w:hint="eastAsia" w:ascii="Times New Roman" w:hAnsi="Times New Roman" w:eastAsia="宋体" w:cstheme="minorBidi"/>
                      <w:color w:val="auto"/>
                      <w:kern w:val="2"/>
                      <w:sz w:val="18"/>
                      <w:szCs w:val="18"/>
                      <w:highlight w:val="none"/>
                      <w:lang w:val="en-US" w:eastAsia="zh-CN" w:bidi="ar-SA"/>
                    </w:rPr>
                  </w:pPr>
                  <w:r>
                    <w:rPr>
                      <w:rFonts w:hint="eastAsia"/>
                      <w:color w:val="auto"/>
                      <w:highlight w:val="none"/>
                      <w:lang w:val="en-US" w:eastAsia="zh-CN"/>
                    </w:rPr>
                    <w:t>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99" w:type="dxa"/>
                  <w:gridSpan w:val="5"/>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分项合计</w:t>
                  </w:r>
                </w:p>
              </w:tc>
              <w:tc>
                <w:tcPr>
                  <w:tcW w:w="732" w:type="dxa"/>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60</w:t>
                  </w:r>
                </w:p>
              </w:tc>
              <w:tc>
                <w:tcPr>
                  <w:tcW w:w="733" w:type="dxa"/>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60.9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99" w:type="dxa"/>
                  <w:gridSpan w:val="5"/>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总合计</w:t>
                  </w:r>
                </w:p>
              </w:tc>
              <w:tc>
                <w:tcPr>
                  <w:tcW w:w="1465" w:type="dxa"/>
                  <w:gridSpan w:val="2"/>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120.9</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（十四）总平面布置</w:t>
            </w:r>
          </w:p>
          <w:p>
            <w:pPr>
              <w:bidi w:val="0"/>
              <w:rPr>
                <w:rFonts w:hint="default"/>
                <w:color w:val="auto"/>
                <w:highlight w:val="none"/>
                <w:lang w:val="en-US" w:eastAsia="zh-CN"/>
              </w:rPr>
            </w:pPr>
            <w:r>
              <w:rPr>
                <w:rFonts w:hint="eastAsia"/>
                <w:color w:val="auto"/>
                <w:highlight w:val="none"/>
                <w:lang w:val="en-US" w:eastAsia="zh-CN"/>
              </w:rPr>
              <w:t>本项目位于</w:t>
            </w:r>
            <w:r>
              <w:rPr>
                <w:rFonts w:hint="eastAsia" w:cs="Times New Roman"/>
                <w:i w:val="0"/>
                <w:iCs w:val="0"/>
                <w:color w:val="auto"/>
                <w:sz w:val="24"/>
                <w:szCs w:val="24"/>
                <w:highlight w:val="none"/>
                <w:u w:val="none"/>
                <w:lang w:val="en-US" w:eastAsia="zh-CN"/>
              </w:rPr>
              <w:t>云南易门产业园区大椿树片区</w:t>
            </w:r>
            <w:r>
              <w:rPr>
                <w:rFonts w:hint="eastAsia"/>
                <w:color w:val="auto"/>
                <w:highlight w:val="none"/>
                <w:lang w:val="en-US" w:eastAsia="zh-CN"/>
              </w:rPr>
              <w:t>易门铜业有限公司现有厂区内，</w:t>
            </w:r>
            <w:r>
              <w:rPr>
                <w:rFonts w:hint="eastAsia"/>
                <w:color w:val="auto"/>
                <w:highlight w:val="none"/>
              </w:rPr>
              <w:t>项目</w:t>
            </w:r>
            <w:r>
              <w:rPr>
                <w:rFonts w:hint="eastAsia"/>
                <w:color w:val="auto"/>
                <w:highlight w:val="none"/>
                <w:lang w:val="en-US" w:eastAsia="zh-CN"/>
              </w:rPr>
              <w:t>占地面积约为1350m</w:t>
            </w:r>
            <w:r>
              <w:rPr>
                <w:rFonts w:hint="eastAsia"/>
                <w:color w:val="auto"/>
                <w:highlight w:val="none"/>
                <w:vertAlign w:val="superscript"/>
                <w:lang w:val="en-US" w:eastAsia="zh-CN"/>
              </w:rPr>
              <w:t>2</w:t>
            </w:r>
            <w:r>
              <w:rPr>
                <w:rFonts w:hint="eastAsia"/>
                <w:color w:val="auto"/>
                <w:highlight w:val="none"/>
                <w:lang w:val="en-US" w:eastAsia="zh-CN"/>
              </w:rPr>
              <w:t>。</w:t>
            </w:r>
            <w:r>
              <w:rPr>
                <w:color w:val="auto"/>
                <w:highlight w:val="none"/>
              </w:rPr>
              <w:t>根据项目所处的厂区位置及周边状况，按照工艺流程的要求，结合现场已有公用工程设施，在满足生产工艺要求，工艺流程及物料管线运送便捷，符合防火、防爆、安全卫生的条件下，合理进行布置，做到布局紧凑，节约用地。</w:t>
            </w:r>
          </w:p>
          <w:p>
            <w:pPr>
              <w:bidi w:val="0"/>
              <w:rPr>
                <w:rFonts w:hint="default" w:eastAsia="宋体"/>
                <w:color w:val="auto"/>
                <w:highlight w:val="none"/>
                <w:lang w:val="en-US" w:eastAsia="zh-CN"/>
              </w:rPr>
            </w:pPr>
            <w:r>
              <w:rPr>
                <w:color w:val="auto"/>
                <w:szCs w:val="28"/>
                <w:highlight w:val="none"/>
              </w:rPr>
              <w:t>根据项目的生产工艺流程需要及其相互关系，结合场地和外部环境条件，对项目各个组成部分的位置进行整合，使整个项目形成布局紧凑、流程流畅、经济合理、使用方便的格局。</w:t>
            </w:r>
            <w:r>
              <w:rPr>
                <w:rFonts w:hint="eastAsia"/>
                <w:color w:val="auto"/>
                <w:szCs w:val="28"/>
                <w:highlight w:val="none"/>
                <w:lang w:val="en-US" w:eastAsia="zh-CN"/>
              </w:rPr>
              <w:t>现有制氧机风机厂房宽12m，长42m，本次改建后向西南侧扩建20m，吸附塔和缓冲罐室外布置；</w:t>
            </w:r>
            <w:r>
              <w:rPr>
                <w:rFonts w:hint="default"/>
                <w:color w:val="auto"/>
                <w:szCs w:val="28"/>
                <w:highlight w:val="none"/>
                <w:lang w:val="en-US" w:eastAsia="zh-CN"/>
              </w:rPr>
              <w:t>新增高压变频器室，长18m，宽8m，位于制氧机风机厂房北侧</w:t>
            </w:r>
            <w:r>
              <w:rPr>
                <w:rFonts w:hint="eastAsia"/>
                <w:color w:val="auto"/>
                <w:szCs w:val="28"/>
                <w:highlight w:val="none"/>
                <w:lang w:val="en-US" w:eastAsia="zh-CN"/>
              </w:rPr>
              <w:t>，</w:t>
            </w:r>
            <w:r>
              <w:rPr>
                <w:rFonts w:hint="default"/>
                <w:color w:val="auto"/>
                <w:szCs w:val="28"/>
                <w:highlight w:val="none"/>
                <w:lang w:val="en-US" w:eastAsia="zh-CN"/>
              </w:rPr>
              <w:t>以上新增设施均位于厂区围墙内，不涉及额外征地。</w:t>
            </w:r>
          </w:p>
          <w:p>
            <w:pPr>
              <w:bidi w:val="0"/>
              <w:rPr>
                <w:rFonts w:hint="eastAsia" w:cs="Times New Roman"/>
                <w:color w:val="auto"/>
                <w:highlight w:val="none"/>
                <w:vertAlign w:val="baseline"/>
                <w:lang w:val="en-US" w:eastAsia="zh-CN"/>
              </w:rPr>
            </w:pPr>
            <w:r>
              <w:rPr>
                <w:rFonts w:hint="eastAsia" w:cs="Times New Roman"/>
                <w:color w:val="auto"/>
                <w:highlight w:val="none"/>
                <w:vertAlign w:val="baseline"/>
                <w:lang w:val="en-US" w:eastAsia="zh-CN"/>
              </w:rPr>
              <w:t>综合来看，项目区各建筑与基地环境紧密结合，功能分区合理，能保证生产厂房、办公生活实际使用过程中的高效及便利性，项目总平面布置情况详见附图。</w:t>
            </w:r>
          </w:p>
          <w:p>
            <w:pPr>
              <w:bidi w:val="0"/>
              <w:ind w:left="0" w:leftChars="0" w:firstLine="0" w:firstLineChars="0"/>
              <w:rPr>
                <w:rFonts w:hint="default" w:cs="Times New Roman"/>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1" w:type="dxa"/>
            <w:vAlign w:val="center"/>
          </w:tcPr>
          <w:p>
            <w:pPr>
              <w:pStyle w:val="41"/>
              <w:bidi w:val="0"/>
              <w:rPr>
                <w:rFonts w:hint="default"/>
                <w:color w:val="auto"/>
                <w:highlight w:val="none"/>
                <w:lang w:val="en-US" w:eastAsia="zh-CN"/>
              </w:rPr>
            </w:pPr>
            <w:r>
              <w:rPr>
                <w:rFonts w:hint="default"/>
                <w:color w:val="auto"/>
                <w:highlight w:val="none"/>
                <w:lang w:val="en-US" w:eastAsia="zh-CN"/>
              </w:rPr>
              <w:t>工艺流程和产排污环节</w:t>
            </w:r>
          </w:p>
        </w:tc>
        <w:tc>
          <w:tcPr>
            <w:tcW w:w="8007" w:type="dxa"/>
            <w:vAlign w:val="top"/>
          </w:tcPr>
          <w:p>
            <w:pPr>
              <w:bidi w:val="0"/>
              <w:rPr>
                <w:rFonts w:hint="eastAsia"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（一）施工期工艺流程和产排污环节</w:t>
            </w:r>
          </w:p>
          <w:p>
            <w:pPr>
              <w:bidi w:val="0"/>
              <w:rPr>
                <w:rFonts w:hint="default"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1、工艺流程</w:t>
            </w:r>
          </w:p>
          <w:p>
            <w:pPr>
              <w:bidi w:val="0"/>
              <w:rPr>
                <w:rFonts w:hint="eastAsia"/>
                <w:color w:val="auto"/>
                <w:highlight w:val="none"/>
                <w:lang w:val="en-US" w:eastAsia="zh-CN"/>
              </w:rPr>
            </w:pPr>
            <w:r>
              <w:rPr>
                <w:rFonts w:hint="default"/>
                <w:color w:val="auto"/>
                <w:highlight w:val="none"/>
                <w:lang w:val="en-US" w:eastAsia="zh-CN"/>
              </w:rPr>
              <w:t>本项目为</w:t>
            </w:r>
            <w:r>
              <w:rPr>
                <w:rFonts w:hint="eastAsia"/>
                <w:color w:val="auto"/>
                <w:highlight w:val="none"/>
                <w:lang w:val="en-US" w:eastAsia="zh-CN"/>
              </w:rPr>
              <w:t>制氧系统</w:t>
            </w:r>
            <w:r>
              <w:rPr>
                <w:rFonts w:hint="default"/>
                <w:color w:val="auto"/>
                <w:highlight w:val="none"/>
                <w:lang w:val="en-US" w:eastAsia="zh-CN"/>
              </w:rPr>
              <w:t>改造项目，施工期主要建设内容包括：现有6500Nm³/h变压吸附制氧装置拆除、原厂房内设备管道及基础拆除、厂房向西扩建20m、新建高压变频器室、新建设备基础及配套设施安装等。为最大限度减少对现有生产的影响，采取“先建后拆、分步实施”的方案：先新建一套7500Nm³/h制氧装置，待投产后满足生产要求后，再拆除旧装置并建设第二套7500Nm³/h制氧装置。</w:t>
            </w:r>
            <w:r>
              <w:rPr>
                <w:rFonts w:hint="eastAsia"/>
                <w:color w:val="auto"/>
                <w:highlight w:val="none"/>
                <w:lang w:val="en-US" w:eastAsia="zh-CN"/>
              </w:rPr>
              <w:t>因此，施工期施工作业较为简单，不涉及土建工程，仅进行设备拆除、设备基础施工、设备安装以及配套治理设施施工等内容。</w:t>
            </w:r>
          </w:p>
          <w:p>
            <w:pPr>
              <w:bidi w:val="0"/>
              <w:rPr>
                <w:rFonts w:hint="eastAsia"/>
                <w:color w:val="auto"/>
                <w:highlight w:val="none"/>
                <w:lang w:val="en-US" w:eastAsia="zh-CN"/>
              </w:rPr>
            </w:pPr>
            <w:r>
              <w:rPr>
                <w:rFonts w:hint="eastAsia"/>
                <w:color w:val="auto"/>
                <w:highlight w:val="none"/>
                <w:lang w:val="en-US" w:eastAsia="zh-CN"/>
              </w:rPr>
              <w:t>项目施工期工艺流程及产污情况如下：</w:t>
            </w:r>
          </w:p>
          <w:p>
            <w:pPr>
              <w:bidi w:val="0"/>
              <w:rPr>
                <w:rFonts w:hint="default"/>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highlight w:val="none"/>
                <w:lang w:val="en-US" w:eastAsia="zh-CN"/>
              </w:rPr>
            </w:pPr>
            <w:r>
              <w:rPr>
                <w:rFonts w:hint="default" w:ascii="Times New Roman" w:hAnsi="Times New Roman" w:eastAsia="宋体" w:cs="Times New Roman"/>
                <w:color w:val="auto"/>
                <w:highlight w:val="none"/>
              </w:rPr>
              <w:object>
                <v:shape id="_x0000_i1026" o:spt="75" type="#_x0000_t75" style="height:88.85pt;width:384.55pt;" o:ole="t" filled="f" o:preferrelative="t" stroked="f" coordsize="21600,21600">
                  <v:path/>
                  <v:fill on="f" focussize="0,0"/>
                  <v:stroke on="f"/>
                  <v:imagedata r:id="rId17" o:title=""/>
                  <o:lock v:ext="edit" aspectratio="t"/>
                  <w10:wrap type="none"/>
                  <w10:anchorlock/>
                </v:shape>
                <o:OLEObject Type="Embed" ProgID="Visio.Drawing.11" ShapeID="_x0000_i1026" DrawAspect="Content" ObjectID="_1468075726" r:id="rId16">
                  <o:LockedField>false</o:LockedField>
                </o:OLEObject>
              </w:object>
            </w:r>
          </w:p>
          <w:p>
            <w:pPr>
              <w:pStyle w:val="35"/>
              <w:bidi w:val="0"/>
              <w:rPr>
                <w:rFonts w:hint="default"/>
                <w:color w:val="auto"/>
                <w:highlight w:val="none"/>
                <w:lang w:val="en-US" w:eastAsia="zh-CN"/>
              </w:rPr>
            </w:pPr>
            <w:r>
              <w:rPr>
                <w:rFonts w:hint="eastAsia"/>
                <w:color w:val="auto"/>
                <w:highlight w:val="none"/>
                <w:lang w:val="en-US" w:eastAsia="zh-CN"/>
              </w:rPr>
              <w:t>图2-2  施工期工艺流程及产污节点图</w:t>
            </w:r>
          </w:p>
          <w:p>
            <w:pPr>
              <w:bidi w:val="0"/>
              <w:rPr>
                <w:rFonts w:hint="default"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2、产污环节</w:t>
            </w:r>
          </w:p>
          <w:p>
            <w:pPr>
              <w:bidi w:val="0"/>
              <w:rPr>
                <w:color w:val="auto"/>
                <w:highlight w:val="none"/>
              </w:rPr>
            </w:pPr>
            <w:r>
              <w:rPr>
                <w:rFonts w:hint="eastAsia"/>
                <w:color w:val="auto"/>
                <w:highlight w:val="none"/>
              </w:rPr>
              <w:t>项目施工过程中废气主要为施工扬尘、施工机械废气；废水主要为施工人员生活污水</w:t>
            </w:r>
            <w:r>
              <w:rPr>
                <w:rFonts w:hint="eastAsia"/>
                <w:color w:val="auto"/>
                <w:highlight w:val="none"/>
                <w:lang w:eastAsia="zh-CN"/>
              </w:rPr>
              <w:t>，</w:t>
            </w:r>
            <w:r>
              <w:rPr>
                <w:rFonts w:hint="eastAsia"/>
                <w:color w:val="auto"/>
                <w:highlight w:val="none"/>
                <w:lang w:val="en-US" w:eastAsia="zh-CN"/>
              </w:rPr>
              <w:t>无施工废水产生；</w:t>
            </w:r>
            <w:r>
              <w:rPr>
                <w:rFonts w:hint="eastAsia"/>
                <w:color w:val="auto"/>
                <w:highlight w:val="none"/>
              </w:rPr>
              <w:t>施工噪声主要为</w:t>
            </w:r>
            <w:r>
              <w:rPr>
                <w:rFonts w:hint="eastAsia"/>
                <w:color w:val="auto"/>
                <w:highlight w:val="none"/>
                <w:lang w:val="en-US" w:eastAsia="zh-CN"/>
              </w:rPr>
              <w:t>机械设备工作时产生的设备噪声</w:t>
            </w:r>
            <w:r>
              <w:rPr>
                <w:rFonts w:hint="eastAsia"/>
                <w:color w:val="auto"/>
                <w:highlight w:val="none"/>
              </w:rPr>
              <w:t>；施工</w:t>
            </w:r>
            <w:r>
              <w:rPr>
                <w:rFonts w:hint="eastAsia"/>
                <w:color w:val="auto"/>
                <w:highlight w:val="none"/>
                <w:lang w:val="en-US" w:eastAsia="zh-CN"/>
              </w:rPr>
              <w:t>期</w:t>
            </w:r>
            <w:r>
              <w:rPr>
                <w:rFonts w:hint="eastAsia"/>
                <w:color w:val="auto"/>
                <w:highlight w:val="none"/>
              </w:rPr>
              <w:t>固体废弃物主要为</w:t>
            </w:r>
            <w:r>
              <w:rPr>
                <w:rFonts w:hint="eastAsia"/>
                <w:color w:val="auto"/>
                <w:highlight w:val="none"/>
                <w:lang w:val="en-US" w:eastAsia="zh-CN"/>
              </w:rPr>
              <w:t>拆除的部分设备/金属类固废、</w:t>
            </w:r>
            <w:r>
              <w:rPr>
                <w:rFonts w:hint="eastAsia"/>
                <w:color w:val="auto"/>
                <w:highlight w:val="none"/>
              </w:rPr>
              <w:t>建筑垃圾、</w:t>
            </w:r>
            <w:r>
              <w:rPr>
                <w:rFonts w:hint="default"/>
                <w:color w:val="auto"/>
                <w:highlight w:val="none"/>
              </w:rPr>
              <w:t>废分子筛</w:t>
            </w:r>
            <w:r>
              <w:rPr>
                <w:rFonts w:hint="eastAsia"/>
                <w:color w:val="auto"/>
                <w:highlight w:val="none"/>
                <w:lang w:eastAsia="zh-CN"/>
              </w:rPr>
              <w:t>、</w:t>
            </w:r>
            <w:r>
              <w:rPr>
                <w:rFonts w:hint="eastAsia"/>
                <w:color w:val="auto"/>
                <w:highlight w:val="none"/>
                <w:lang w:val="en-US" w:eastAsia="zh-CN"/>
              </w:rPr>
              <w:t>废</w:t>
            </w:r>
            <w:r>
              <w:rPr>
                <w:rFonts w:hint="default"/>
                <w:color w:val="auto"/>
                <w:highlight w:val="none"/>
              </w:rPr>
              <w:t>氧化铝</w:t>
            </w:r>
            <w:r>
              <w:rPr>
                <w:rFonts w:hint="eastAsia"/>
                <w:color w:val="auto"/>
                <w:highlight w:val="none"/>
                <w:lang w:eastAsia="zh-CN"/>
              </w:rPr>
              <w:t>、</w:t>
            </w:r>
            <w:r>
              <w:rPr>
                <w:rFonts w:hint="default"/>
                <w:color w:val="auto"/>
                <w:highlight w:val="none"/>
              </w:rPr>
              <w:t>废滤芯</w:t>
            </w:r>
            <w:r>
              <w:rPr>
                <w:rFonts w:hint="eastAsia"/>
                <w:color w:val="auto"/>
                <w:highlight w:val="none"/>
                <w:lang w:eastAsia="zh-CN"/>
              </w:rPr>
              <w:t>、</w:t>
            </w:r>
            <w:r>
              <w:rPr>
                <w:rFonts w:hint="eastAsia"/>
                <w:color w:val="auto"/>
                <w:highlight w:val="none"/>
              </w:rPr>
              <w:t>施工人员生活垃圾</w:t>
            </w:r>
            <w:r>
              <w:rPr>
                <w:rFonts w:hint="eastAsia"/>
                <w:color w:val="auto"/>
                <w:highlight w:val="none"/>
                <w:lang w:val="en-US" w:eastAsia="zh-CN"/>
              </w:rPr>
              <w:t>等</w:t>
            </w:r>
            <w:r>
              <w:rPr>
                <w:rFonts w:hint="eastAsia"/>
                <w:color w:val="auto"/>
                <w:highlight w:val="none"/>
              </w:rPr>
              <w:t>。</w:t>
            </w:r>
          </w:p>
          <w:p>
            <w:pPr>
              <w:bidi w:val="0"/>
              <w:rPr>
                <w:rFonts w:hint="default"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3、施工进度</w:t>
            </w:r>
          </w:p>
          <w:p>
            <w:pPr>
              <w:bidi w:val="0"/>
              <w:rPr>
                <w:rFonts w:hint="default"/>
                <w:color w:val="auto"/>
                <w:highlight w:val="none"/>
                <w:lang w:val="en-US" w:eastAsia="zh-CN"/>
              </w:rPr>
            </w:pPr>
            <w:r>
              <w:rPr>
                <w:rFonts w:hint="eastAsia"/>
                <w:color w:val="auto"/>
                <w:highlight w:val="none"/>
                <w:lang w:val="en-US" w:eastAsia="zh-CN"/>
              </w:rPr>
              <w:t>本</w:t>
            </w:r>
            <w:r>
              <w:rPr>
                <w:rFonts w:hint="eastAsia"/>
                <w:color w:val="auto"/>
                <w:highlight w:val="none"/>
              </w:rPr>
              <w:t>项目计划于202</w:t>
            </w:r>
            <w:r>
              <w:rPr>
                <w:rFonts w:hint="eastAsia"/>
                <w:color w:val="auto"/>
                <w:highlight w:val="none"/>
                <w:lang w:val="en-US" w:eastAsia="zh-CN"/>
              </w:rPr>
              <w:t>6</w:t>
            </w:r>
            <w:r>
              <w:rPr>
                <w:rFonts w:hint="eastAsia"/>
                <w:color w:val="auto"/>
                <w:highlight w:val="none"/>
              </w:rPr>
              <w:t>年</w:t>
            </w:r>
            <w:r>
              <w:rPr>
                <w:rFonts w:hint="eastAsia"/>
                <w:color w:val="auto"/>
                <w:highlight w:val="none"/>
                <w:lang w:val="en-US" w:eastAsia="zh-CN"/>
              </w:rPr>
              <w:t>7</w:t>
            </w:r>
            <w:r>
              <w:rPr>
                <w:rFonts w:hint="eastAsia"/>
                <w:color w:val="auto"/>
                <w:highlight w:val="none"/>
              </w:rPr>
              <w:t>月</w:t>
            </w:r>
            <w:r>
              <w:rPr>
                <w:rFonts w:hint="eastAsia"/>
                <w:color w:val="auto"/>
                <w:highlight w:val="none"/>
                <w:lang w:val="en-US" w:eastAsia="zh-CN"/>
              </w:rPr>
              <w:t>进行施工作业</w:t>
            </w:r>
            <w:r>
              <w:rPr>
                <w:rFonts w:hint="eastAsia"/>
                <w:color w:val="auto"/>
                <w:highlight w:val="none"/>
              </w:rPr>
              <w:t>，202</w:t>
            </w:r>
            <w:r>
              <w:rPr>
                <w:rFonts w:hint="eastAsia"/>
                <w:color w:val="auto"/>
                <w:highlight w:val="none"/>
                <w:lang w:val="en-US" w:eastAsia="zh-CN"/>
              </w:rPr>
              <w:t>7</w:t>
            </w:r>
            <w:r>
              <w:rPr>
                <w:rFonts w:hint="eastAsia"/>
                <w:color w:val="auto"/>
                <w:highlight w:val="none"/>
              </w:rPr>
              <w:t>年</w:t>
            </w:r>
            <w:r>
              <w:rPr>
                <w:rFonts w:hint="eastAsia"/>
                <w:color w:val="auto"/>
                <w:highlight w:val="none"/>
                <w:lang w:val="en-US" w:eastAsia="zh-CN"/>
              </w:rPr>
              <w:t>1</w:t>
            </w:r>
            <w:r>
              <w:rPr>
                <w:rFonts w:hint="eastAsia"/>
                <w:color w:val="auto"/>
                <w:highlight w:val="none"/>
              </w:rPr>
              <w:t>月</w:t>
            </w:r>
            <w:r>
              <w:rPr>
                <w:rFonts w:hint="eastAsia"/>
                <w:color w:val="auto"/>
                <w:highlight w:val="none"/>
                <w:lang w:val="en-US" w:eastAsia="zh-CN"/>
              </w:rPr>
              <w:t>前</w:t>
            </w:r>
            <w:r>
              <w:rPr>
                <w:rFonts w:hint="eastAsia"/>
                <w:color w:val="auto"/>
                <w:highlight w:val="none"/>
              </w:rPr>
              <w:t>竣工，施工</w:t>
            </w:r>
            <w:r>
              <w:rPr>
                <w:rFonts w:hint="eastAsia"/>
                <w:color w:val="auto"/>
                <w:highlight w:val="none"/>
                <w:lang w:val="en-US" w:eastAsia="zh-CN"/>
              </w:rPr>
              <w:t>工期为6</w:t>
            </w:r>
            <w:r>
              <w:rPr>
                <w:rFonts w:hint="eastAsia"/>
                <w:color w:val="auto"/>
                <w:highlight w:val="none"/>
              </w:rPr>
              <w:t>个月。</w:t>
            </w:r>
          </w:p>
          <w:p>
            <w:pPr>
              <w:bidi w:val="0"/>
              <w:rPr>
                <w:rFonts w:hint="default"/>
                <w:color w:val="auto"/>
                <w:highlight w:val="none"/>
                <w:lang w:val="en-US" w:eastAsia="zh-CN"/>
              </w:rPr>
            </w:pPr>
            <w:r>
              <w:rPr>
                <w:rFonts w:hint="eastAsia" w:ascii="黑体" w:hAnsi="黑体" w:eastAsia="黑体" w:cs="黑体"/>
                <w:color w:val="auto"/>
                <w:highlight w:val="none"/>
                <w:lang w:val="en-US" w:eastAsia="zh-CN"/>
              </w:rPr>
              <w:t>（二）</w:t>
            </w:r>
            <w:r>
              <w:rPr>
                <w:rFonts w:hint="default" w:ascii="黑体" w:hAnsi="黑体" w:eastAsia="黑体" w:cs="黑体"/>
                <w:color w:val="auto"/>
                <w:highlight w:val="none"/>
                <w:lang w:val="en-US" w:eastAsia="zh-CN"/>
              </w:rPr>
              <w:t>运营期工艺流程和产排污环节</w:t>
            </w:r>
          </w:p>
          <w:p>
            <w:pPr>
              <w:bidi w:val="0"/>
              <w:rPr>
                <w:rFonts w:hint="default"/>
                <w:color w:val="auto"/>
                <w:highlight w:val="none"/>
                <w:lang w:val="en-US" w:eastAsia="zh-CN"/>
              </w:rPr>
            </w:pPr>
            <w:r>
              <w:rPr>
                <w:rFonts w:hint="eastAsia" w:ascii="黑体" w:hAnsi="黑体" w:eastAsia="黑体" w:cs="黑体"/>
                <w:color w:val="auto"/>
                <w:highlight w:val="none"/>
                <w:lang w:val="en-US" w:eastAsia="zh-CN"/>
              </w:rPr>
              <w:t>1、运营期工艺流程</w:t>
            </w:r>
          </w:p>
          <w:p>
            <w:pPr>
              <w:bidi w:val="0"/>
              <w:rPr>
                <w:rFonts w:hint="eastAsia"/>
                <w:color w:val="auto"/>
                <w:highlight w:val="none"/>
                <w:lang w:val="en-US" w:eastAsia="zh-CN"/>
              </w:rPr>
            </w:pPr>
            <w:r>
              <w:rPr>
                <w:rFonts w:hint="eastAsia"/>
                <w:color w:val="auto"/>
                <w:highlight w:val="none"/>
                <w:lang w:val="en-US" w:eastAsia="zh-CN"/>
              </w:rPr>
              <w:t xml:space="preserve">项目运营期生产工艺流程详见下图: </w:t>
            </w:r>
          </w:p>
          <w:p>
            <w:pPr>
              <w:ind w:left="0" w:leftChars="0" w:firstLine="0" w:firstLineChars="0"/>
              <w:rPr>
                <w:rFonts w:hint="eastAsia"/>
                <w:color w:val="auto"/>
                <w:highlight w:val="none"/>
                <w:lang w:val="en-US" w:eastAsia="zh-CN"/>
              </w:rPr>
            </w:pPr>
          </w:p>
          <w:p>
            <w:pPr>
              <w:ind w:left="0" w:leftChars="0" w:firstLine="0" w:firstLineChars="0"/>
              <w:rPr>
                <w:rFonts w:hint="eastAsia"/>
                <w:color w:val="auto"/>
                <w:highlight w:val="none"/>
                <w:lang w:val="en-US" w:eastAsia="zh-CN"/>
              </w:rPr>
            </w:pPr>
          </w:p>
          <w:p>
            <w:pPr>
              <w:ind w:left="0" w:leftChars="0" w:firstLine="0" w:firstLineChars="0"/>
              <w:rPr>
                <w:rFonts w:hint="eastAsia"/>
                <w:color w:val="auto"/>
                <w:highlight w:val="none"/>
                <w:lang w:val="en-US" w:eastAsia="zh-CN"/>
              </w:rPr>
            </w:pPr>
          </w:p>
          <w:p>
            <w:pPr>
              <w:ind w:left="0" w:leftChars="0" w:firstLine="0" w:firstLineChars="0"/>
              <w:rPr>
                <w:rFonts w:hint="eastAsia"/>
                <w:color w:val="auto"/>
                <w:highlight w:val="none"/>
                <w:lang w:val="en-US" w:eastAsia="zh-CN"/>
              </w:rPr>
            </w:pPr>
          </w:p>
          <w:p>
            <w:pPr>
              <w:ind w:left="0" w:leftChars="0" w:firstLine="0" w:firstLineChars="0"/>
              <w:rPr>
                <w:rFonts w:hint="eastAsia"/>
                <w:color w:val="auto"/>
                <w:highlight w:val="none"/>
                <w:lang w:val="en-US" w:eastAsia="zh-CN"/>
              </w:rPr>
            </w:pPr>
          </w:p>
          <w:p>
            <w:pPr>
              <w:ind w:left="0" w:leftChars="0" w:firstLine="0" w:firstLineChars="0"/>
              <w:rPr>
                <w:rFonts w:hint="eastAsia"/>
                <w:color w:val="auto"/>
                <w:highlight w:val="none"/>
                <w:lang w:val="en-US" w:eastAsia="zh-CN"/>
              </w:rPr>
            </w:pPr>
          </w:p>
          <w:p>
            <w:pPr>
              <w:ind w:left="0" w:leftChars="0" w:firstLine="0" w:firstLineChars="0"/>
              <w:rPr>
                <w:rFonts w:hint="eastAsia"/>
                <w:color w:val="auto"/>
                <w:highlight w:val="none"/>
                <w:lang w:val="en-US" w:eastAsia="zh-CN"/>
              </w:rPr>
            </w:pPr>
          </w:p>
          <w:p>
            <w:pPr>
              <w:ind w:left="0" w:leftChars="0" w:firstLine="0" w:firstLineChars="0"/>
              <w:rPr>
                <w:rFonts w:hint="eastAsia"/>
                <w:color w:val="auto"/>
                <w:highlight w:val="none"/>
                <w:lang w:val="en-US" w:eastAsia="zh-CN"/>
              </w:rPr>
            </w:pPr>
          </w:p>
          <w:p>
            <w:pPr>
              <w:ind w:left="0" w:leftChars="0" w:firstLine="0" w:firstLineChars="0"/>
              <w:rPr>
                <w:rFonts w:hint="eastAsia"/>
                <w:color w:val="auto"/>
                <w:highlight w:val="none"/>
                <w:lang w:val="en-US" w:eastAsia="zh-CN"/>
              </w:rPr>
            </w:pPr>
          </w:p>
          <w:p>
            <w:pPr>
              <w:ind w:left="0" w:leftChars="0" w:firstLine="0" w:firstLineChars="0"/>
              <w:rPr>
                <w:rFonts w:hint="eastAsia"/>
                <w:color w:val="auto"/>
                <w:highlight w:val="none"/>
                <w:lang w:val="en-US" w:eastAsia="zh-CN"/>
              </w:rPr>
            </w:pPr>
          </w:p>
          <w:p>
            <w:pPr>
              <w:ind w:left="0" w:leftChars="0" w:firstLine="0" w:firstLineChars="0"/>
              <w:rPr>
                <w:rFonts w:hint="eastAsia"/>
                <w:color w:val="auto"/>
                <w:highlight w:val="none"/>
                <w:lang w:val="en-US" w:eastAsia="zh-CN"/>
              </w:rPr>
            </w:pPr>
          </w:p>
          <w:p>
            <w:pPr>
              <w:ind w:left="0" w:leftChars="0" w:firstLine="0" w:firstLineChars="0"/>
              <w:rPr>
                <w:rFonts w:hint="eastAsia"/>
                <w:color w:val="auto"/>
                <w:highlight w:val="none"/>
                <w:lang w:val="en-US" w:eastAsia="zh-CN"/>
              </w:rPr>
            </w:pPr>
          </w:p>
          <w:p>
            <w:pPr>
              <w:ind w:left="0" w:leftChars="0" w:firstLine="0" w:firstLineChars="0"/>
              <w:rPr>
                <w:rFonts w:hint="eastAsia"/>
                <w:color w:val="auto"/>
                <w:highlight w:val="none"/>
                <w:lang w:val="en-US" w:eastAsia="zh-CN"/>
              </w:rPr>
            </w:pPr>
          </w:p>
          <w:p>
            <w:pPr>
              <w:bidi w:val="0"/>
              <w:ind w:left="0" w:leftChars="0" w:firstLine="0" w:firstLineChars="0"/>
              <w:jc w:val="center"/>
              <w:rPr>
                <w:rFonts w:hint="default"/>
                <w:color w:val="auto"/>
                <w:highlight w:val="none"/>
                <w:lang w:val="en-US" w:eastAsia="zh-CN"/>
              </w:rPr>
            </w:pPr>
            <w:r>
              <w:rPr>
                <w:rFonts w:hint="default"/>
                <w:color w:val="auto"/>
                <w:highlight w:val="none"/>
                <w:lang w:val="en-US" w:eastAsia="zh-CN"/>
              </w:rPr>
              <w:object>
                <v:shape id="_x0000_i1027" o:spt="75" type="#_x0000_t75" style="height:507.15pt;width:375.55pt;" o:ole="t" filled="f" o:preferrelative="t" stroked="f" coordsize="21600,21600">
                  <v:path/>
                  <v:fill on="f" focussize="0,0"/>
                  <v:stroke on="f"/>
                  <v:imagedata r:id="rId19" o:title=""/>
                  <o:lock v:ext="edit" aspectratio="t"/>
                  <w10:wrap type="none"/>
                  <w10:anchorlock/>
                </v:shape>
                <o:OLEObject Type="Embed" ProgID="Visio.Drawing.11" ShapeID="_x0000_i1027" DrawAspect="Content" ObjectID="_1468075727" r:id="rId18">
                  <o:LockedField>false</o:LockedField>
                </o:OLEObject>
              </w:object>
            </w:r>
          </w:p>
          <w:p>
            <w:pPr>
              <w:pStyle w:val="13"/>
              <w:ind w:left="0" w:leftChars="0" w:firstLine="0" w:firstLineChars="0"/>
              <w:jc w:val="center"/>
              <w:rPr>
                <w:rFonts w:hint="default"/>
                <w:color w:val="auto"/>
                <w:highlight w:val="none"/>
                <w:lang w:val="en-US" w:eastAsia="zh-CN"/>
              </w:rPr>
            </w:pPr>
            <w:r>
              <w:rPr>
                <w:rStyle w:val="50"/>
                <w:rFonts w:hint="eastAsia"/>
                <w:color w:val="auto"/>
                <w:highlight w:val="none"/>
                <w:lang w:val="en-US" w:eastAsia="zh-CN"/>
              </w:rPr>
              <w:t>图2-3  项目运营期生产工艺流程及产污节点图</w:t>
            </w:r>
          </w:p>
          <w:p>
            <w:pPr>
              <w:bidi w:val="0"/>
              <w:rPr>
                <w:rFonts w:hint="eastAsia"/>
                <w:color w:val="auto"/>
                <w:highlight w:val="none"/>
                <w:lang w:val="en-US" w:eastAsia="zh-CN"/>
              </w:rPr>
            </w:pPr>
            <w:r>
              <w:rPr>
                <w:rFonts w:hint="default"/>
                <w:color w:val="auto"/>
                <w:highlight w:val="none"/>
              </w:rPr>
              <w:t>本项目采用 VPSA（真空变压吸附）制氧工艺，单套装置采用 1组2-1-1流程，由两个吸附塔组成。两个吸附塔交替执行“吸附”与“解吸”步骤，实现连续产氧。产品氧气纯度≥90%，规模为2×7500Nm³/h，总产氧量 15000Nm³/h。工艺过程分为 吸附（A）、均压降压（ED）、抽真空（V）、均压升压（ER）、产品气反吹冲洗（P） 五个步骤。每个吸附塔完成一个完整的“吸附-再生”循环后，为下一次吸附做好准备。</w:t>
            </w:r>
            <w:r>
              <w:rPr>
                <w:rFonts w:hint="eastAsia"/>
                <w:color w:val="auto"/>
                <w:highlight w:val="none"/>
                <w:lang w:val="en-US" w:eastAsia="zh-CN"/>
              </w:rPr>
              <w:t>工艺流程简述如下：</w:t>
            </w:r>
          </w:p>
          <w:p>
            <w:pPr>
              <w:bidi w:val="0"/>
              <w:rPr>
                <w:rFonts w:hint="default"/>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default"/>
                <w:color w:val="auto"/>
                <w:highlight w:val="none"/>
              </w:rPr>
              <w:t>吸附过程（A）</w:t>
            </w:r>
          </w:p>
          <w:p>
            <w:pPr>
              <w:bidi w:val="0"/>
              <w:rPr>
                <w:rFonts w:hint="default"/>
                <w:color w:val="auto"/>
                <w:highlight w:val="none"/>
              </w:rPr>
            </w:pPr>
            <w:r>
              <w:rPr>
                <w:rFonts w:hint="default"/>
                <w:color w:val="auto"/>
                <w:highlight w:val="none"/>
              </w:rPr>
              <w:t>原料空气经带消音结构的空气过滤器预处理后，由 离心鼓风机 加压至 15~49kPa（G），进入吸附塔。随着塔内压力升高，空气中的 H₂O、N₂、CO₂ 等组分被吸附剂（分子筛、活性氧化铝等）依次吸附，未被吸附的氧气从塔顶流出，经程控蝶阀进入 氧气缓冲罐。此阶段产氧纯度从 95.5% O₂ 逐渐降至 80% O₂ 左右。不同纯度的氧气在缓冲罐中混合后，输出纯度 ≥90% O₂ 的产品气，送厂区氧气管网。</w:t>
            </w:r>
          </w:p>
          <w:p>
            <w:pPr>
              <w:bidi w:val="0"/>
              <w:rPr>
                <w:rFonts w:hint="default"/>
                <w:color w:val="auto"/>
                <w:highlight w:val="none"/>
              </w:rPr>
            </w:pPr>
            <w:r>
              <w:rPr>
                <w:rFonts w:hint="default"/>
                <w:color w:val="auto"/>
                <w:highlight w:val="none"/>
              </w:rPr>
              <w:t>当吸附前沿到达床层预定位置时，关闭进料阀和产品出口阀，吸附塔转入均压回收和再生阶段。</w:t>
            </w:r>
          </w:p>
          <w:p>
            <w:pPr>
              <w:bidi w:val="0"/>
              <w:rPr>
                <w:rFonts w:hint="default"/>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default"/>
                <w:color w:val="auto"/>
                <w:highlight w:val="none"/>
              </w:rPr>
              <w:t>均压降压过程（ED）</w:t>
            </w:r>
          </w:p>
          <w:p>
            <w:pPr>
              <w:bidi w:val="0"/>
              <w:rPr>
                <w:rFonts w:hint="default"/>
                <w:color w:val="auto"/>
                <w:highlight w:val="none"/>
              </w:rPr>
            </w:pPr>
            <w:r>
              <w:rPr>
                <w:rFonts w:hint="default"/>
                <w:color w:val="auto"/>
                <w:highlight w:val="none"/>
              </w:rPr>
              <w:t>吸附结束后，塔内仍存有 30~75% O₂ 的富氧气体。为回收氧气、提高收率，开启两塔之间的均压阀，将高压塔内的富氧气体放入另一台已完成再生、处于真空状态的吸附塔。塔压从+49kPa 降至-10kPa。该过程不仅回收了氧气，还降低了吸附剂对氮气的吸附容量。</w:t>
            </w:r>
          </w:p>
          <w:p>
            <w:pPr>
              <w:bidi w:val="0"/>
              <w:rPr>
                <w:rFonts w:hint="default"/>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default"/>
                <w:color w:val="auto"/>
                <w:highlight w:val="none"/>
              </w:rPr>
              <w:t>抽真空过程（V）</w:t>
            </w:r>
          </w:p>
          <w:p>
            <w:pPr>
              <w:bidi w:val="0"/>
              <w:rPr>
                <w:rFonts w:hint="default"/>
                <w:color w:val="auto"/>
                <w:highlight w:val="none"/>
              </w:rPr>
            </w:pPr>
            <w:r>
              <w:rPr>
                <w:rFonts w:hint="default"/>
                <w:color w:val="auto"/>
                <w:highlight w:val="none"/>
              </w:rPr>
              <w:t>均压降压后，吸附剂中仍吸附有大量杂质（N₂、CO₂等）。启动 离心真空泵，逆着吸附方向对塔内抽真空，压力从-10kPa 降至-50kPa，使吸附剂彻底再生。解吸出的气体（主要成分为 N₂，含少量O₂、CO₂、Ar）即污氮，经</w:t>
            </w:r>
            <w:r>
              <w:rPr>
                <w:rFonts w:hint="eastAsia"/>
                <w:color w:val="auto"/>
                <w:highlight w:val="none"/>
                <w:lang w:eastAsia="zh-CN"/>
              </w:rPr>
              <w:t>消声器</w:t>
            </w:r>
            <w:r>
              <w:rPr>
                <w:rFonts w:hint="default"/>
                <w:color w:val="auto"/>
                <w:highlight w:val="none"/>
              </w:rPr>
              <w:t>后高于屋面排放。</w:t>
            </w:r>
          </w:p>
          <w:p>
            <w:pPr>
              <w:bidi w:val="0"/>
              <w:rPr>
                <w:rFonts w:hint="default"/>
                <w:color w:val="auto"/>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default"/>
                <w:color w:val="auto"/>
                <w:highlight w:val="none"/>
              </w:rPr>
              <w:t>均压升压过程（ER）</w:t>
            </w:r>
          </w:p>
          <w:p>
            <w:pPr>
              <w:bidi w:val="0"/>
              <w:rPr>
                <w:rFonts w:hint="default"/>
                <w:color w:val="auto"/>
                <w:highlight w:val="none"/>
              </w:rPr>
            </w:pPr>
            <w:r>
              <w:rPr>
                <w:rFonts w:hint="default"/>
                <w:color w:val="auto"/>
                <w:highlight w:val="none"/>
              </w:rPr>
              <w:t>抽真空结束后，吸附塔处于-50kPa 负压状态。开启均压阀，接收另一吸附塔在均压降压阶段排出的富氧气体，使塔压升至-10kPa。该过程回收富氧气体，并提升塔压。</w:t>
            </w:r>
          </w:p>
          <w:p>
            <w:pPr>
              <w:bidi w:val="0"/>
              <w:rPr>
                <w:rFonts w:hint="default"/>
                <w:color w:val="auto"/>
                <w:highlight w:val="none"/>
              </w:rPr>
            </w:pPr>
            <w:r>
              <w:rPr>
                <w:rFonts w:hint="eastAsia"/>
                <w:color w:val="auto"/>
                <w:highlight w:val="none"/>
                <w:lang w:val="en-US" w:eastAsia="zh-CN"/>
              </w:rPr>
              <w:t>（5）</w:t>
            </w:r>
            <w:r>
              <w:rPr>
                <w:rFonts w:hint="default"/>
                <w:color w:val="auto"/>
                <w:highlight w:val="none"/>
              </w:rPr>
              <w:t>产品气反吹冲洗过程（P）</w:t>
            </w:r>
          </w:p>
          <w:p>
            <w:pPr>
              <w:bidi w:val="0"/>
              <w:rPr>
                <w:rFonts w:hint="default"/>
                <w:color w:val="auto"/>
                <w:highlight w:val="none"/>
              </w:rPr>
            </w:pPr>
            <w:r>
              <w:rPr>
                <w:rFonts w:hint="default"/>
                <w:color w:val="auto"/>
                <w:highlight w:val="none"/>
              </w:rPr>
              <w:t>均压升压后，塔内压力尚未达到吸附初始压力，且塔顶管道中残留低氧气体。此时，用产品氧气对吸附塔顶部进行反向吹扫，压力从-10kPa 升至+15kPa。该过程将低氧气体推向吸附剂层进行二次吸附，保证下一周期产氧初期纯度，并使塔压升至吸附起始压力。</w:t>
            </w:r>
          </w:p>
          <w:p>
            <w:pPr>
              <w:bidi w:val="0"/>
              <w:rPr>
                <w:rFonts w:hint="default"/>
                <w:b/>
                <w:bCs/>
                <w:color w:val="auto"/>
                <w:highlight w:val="none"/>
                <w:lang w:val="en-US" w:eastAsia="zh-CN"/>
              </w:rPr>
            </w:pPr>
            <w:r>
              <w:rPr>
                <w:rFonts w:hint="eastAsia" w:ascii="黑体" w:hAnsi="黑体" w:eastAsia="黑体" w:cs="黑体"/>
                <w:color w:val="auto"/>
                <w:highlight w:val="none"/>
                <w:lang w:val="en-US" w:eastAsia="zh-CN"/>
              </w:rPr>
              <w:t>2、运营期产排污环节分析</w:t>
            </w:r>
          </w:p>
          <w:p>
            <w:pPr>
              <w:bidi w:val="0"/>
              <w:rPr>
                <w:rFonts w:hint="default"/>
                <w:color w:val="auto"/>
                <w:highlight w:val="none"/>
                <w:lang w:val="en-US" w:eastAsia="zh-CN"/>
              </w:rPr>
            </w:pPr>
            <w:r>
              <w:rPr>
                <w:rFonts w:hint="eastAsia"/>
                <w:color w:val="auto"/>
                <w:highlight w:val="none"/>
                <w:lang w:val="en-US" w:eastAsia="zh-CN"/>
              </w:rPr>
              <w:t>本项目运营期</w:t>
            </w:r>
            <w:r>
              <w:rPr>
                <w:rFonts w:hint="default"/>
                <w:color w:val="auto"/>
                <w:highlight w:val="none"/>
                <w:lang w:val="en-US" w:eastAsia="zh-CN"/>
              </w:rPr>
              <w:t>主要污染源</w:t>
            </w:r>
            <w:r>
              <w:rPr>
                <w:rFonts w:hint="eastAsia"/>
                <w:color w:val="auto"/>
                <w:highlight w:val="none"/>
                <w:lang w:val="en-US" w:eastAsia="zh-CN"/>
              </w:rPr>
              <w:t>、</w:t>
            </w:r>
            <w:r>
              <w:rPr>
                <w:rFonts w:hint="default"/>
                <w:color w:val="auto"/>
                <w:highlight w:val="none"/>
                <w:lang w:val="en-US" w:eastAsia="zh-CN"/>
              </w:rPr>
              <w:t>污染</w:t>
            </w:r>
            <w:r>
              <w:rPr>
                <w:rFonts w:hint="eastAsia"/>
                <w:color w:val="auto"/>
                <w:highlight w:val="none"/>
                <w:lang w:val="en-US" w:eastAsia="zh-CN"/>
              </w:rPr>
              <w:t>物及处置措施详见下表。</w:t>
            </w:r>
          </w:p>
          <w:p>
            <w:pPr>
              <w:pStyle w:val="35"/>
              <w:bidi w:val="0"/>
              <w:rPr>
                <w:rFonts w:hint="default"/>
                <w:color w:val="auto"/>
                <w:highlight w:val="none"/>
                <w:lang w:val="en-US" w:eastAsia="zh-CN"/>
              </w:rPr>
            </w:pPr>
            <w:r>
              <w:rPr>
                <w:rFonts w:hint="default"/>
                <w:color w:val="auto"/>
                <w:highlight w:val="none"/>
                <w:lang w:val="en-US" w:eastAsia="zh-CN"/>
              </w:rPr>
              <w:t>表2-</w:t>
            </w:r>
            <w:r>
              <w:rPr>
                <w:rFonts w:hint="eastAsia"/>
                <w:color w:val="auto"/>
                <w:highlight w:val="none"/>
                <w:lang w:val="en-US" w:eastAsia="zh-CN"/>
              </w:rPr>
              <w:t>10</w:t>
            </w:r>
            <w:r>
              <w:rPr>
                <w:rFonts w:hint="default"/>
                <w:color w:val="auto"/>
                <w:highlight w:val="none"/>
                <w:lang w:val="en-US" w:eastAsia="zh-CN"/>
              </w:rPr>
              <w:t xml:space="preserve"> </w:t>
            </w:r>
            <w:r>
              <w:rPr>
                <w:rFonts w:hint="eastAsia"/>
                <w:color w:val="auto"/>
                <w:highlight w:val="none"/>
                <w:lang w:val="en-US" w:eastAsia="zh-CN"/>
              </w:rPr>
              <w:t xml:space="preserve"> 项目运营期</w:t>
            </w:r>
            <w:r>
              <w:rPr>
                <w:rFonts w:hint="default"/>
                <w:color w:val="auto"/>
                <w:highlight w:val="none"/>
                <w:lang w:val="en-US" w:eastAsia="zh-CN"/>
              </w:rPr>
              <w:t>污染</w:t>
            </w:r>
            <w:r>
              <w:rPr>
                <w:rFonts w:hint="eastAsia"/>
                <w:color w:val="auto"/>
                <w:highlight w:val="none"/>
                <w:lang w:val="en-US" w:eastAsia="zh-CN"/>
              </w:rPr>
              <w:t>物产生及处置措施</w:t>
            </w:r>
            <w:r>
              <w:rPr>
                <w:rFonts w:hint="default"/>
                <w:color w:val="auto"/>
                <w:highlight w:val="none"/>
                <w:lang w:val="en-US" w:eastAsia="zh-CN"/>
              </w:rPr>
              <w:t>一览表</w:t>
            </w:r>
          </w:p>
          <w:tbl>
            <w:tblPr>
              <w:tblStyle w:val="24"/>
              <w:tblW w:w="78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3"/>
              <w:gridCol w:w="1767"/>
              <w:gridCol w:w="1938"/>
              <w:gridCol w:w="36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463"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类别</w:t>
                  </w:r>
                </w:p>
              </w:tc>
              <w:tc>
                <w:tcPr>
                  <w:tcW w:w="176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污染源</w:t>
                  </w:r>
                </w:p>
              </w:tc>
              <w:tc>
                <w:tcPr>
                  <w:tcW w:w="193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污染</w:t>
                  </w:r>
                  <w:r>
                    <w:rPr>
                      <w:rFonts w:hint="eastAsia" w:cs="Times New Roman"/>
                      <w:color w:val="auto"/>
                      <w:sz w:val="18"/>
                      <w:szCs w:val="18"/>
                      <w:highlight w:val="none"/>
                      <w:lang w:val="en-US" w:eastAsia="zh-CN"/>
                    </w:rPr>
                    <w:t>物</w:t>
                  </w:r>
                </w:p>
              </w:tc>
              <w:tc>
                <w:tcPr>
                  <w:tcW w:w="365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处置措施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463"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废气</w:t>
                  </w:r>
                </w:p>
              </w:tc>
              <w:tc>
                <w:tcPr>
                  <w:tcW w:w="7355" w:type="dxa"/>
                  <w:gridSpan w:val="3"/>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本项目产生的废气主要为氮气，收集后高空排放，氮气不属于废气污染物，对大气环境影响较小。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463"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废水</w:t>
                  </w:r>
                </w:p>
              </w:tc>
              <w:tc>
                <w:tcPr>
                  <w:tcW w:w="176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生活</w:t>
                  </w:r>
                  <w:r>
                    <w:rPr>
                      <w:rFonts w:hint="eastAsia" w:cs="Times New Roman"/>
                      <w:color w:val="auto"/>
                      <w:sz w:val="18"/>
                      <w:szCs w:val="18"/>
                      <w:highlight w:val="none"/>
                      <w:lang w:val="en-US" w:eastAsia="zh-CN"/>
                    </w:rPr>
                    <w:t>污</w:t>
                  </w:r>
                  <w:r>
                    <w:rPr>
                      <w:rFonts w:hint="default" w:ascii="Times New Roman" w:hAnsi="Times New Roman" w:cs="Times New Roman"/>
                      <w:color w:val="auto"/>
                      <w:sz w:val="18"/>
                      <w:szCs w:val="18"/>
                      <w:highlight w:val="none"/>
                      <w:lang w:val="en-US" w:eastAsia="zh-CN"/>
                    </w:rPr>
                    <w:t>水</w:t>
                  </w:r>
                </w:p>
              </w:tc>
              <w:tc>
                <w:tcPr>
                  <w:tcW w:w="193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COD、BOD</w:t>
                  </w:r>
                  <w:r>
                    <w:rPr>
                      <w:rFonts w:hint="default" w:ascii="Times New Roman" w:hAnsi="Times New Roman" w:cs="Times New Roman"/>
                      <w:color w:val="auto"/>
                      <w:sz w:val="18"/>
                      <w:szCs w:val="18"/>
                      <w:highlight w:val="none"/>
                      <w:vertAlign w:val="subscript"/>
                      <w:lang w:val="en-US" w:eastAsia="zh-CN"/>
                    </w:rPr>
                    <w:t>5</w:t>
                  </w:r>
                  <w:r>
                    <w:rPr>
                      <w:rFonts w:hint="default" w:ascii="Times New Roman" w:hAnsi="Times New Roman" w:cs="Times New Roman"/>
                      <w:color w:val="auto"/>
                      <w:sz w:val="18"/>
                      <w:szCs w:val="18"/>
                      <w:highlight w:val="none"/>
                      <w:lang w:val="en-US" w:eastAsia="zh-CN"/>
                    </w:rPr>
                    <w:t>、SS、NH</w:t>
                  </w:r>
                  <w:r>
                    <w:rPr>
                      <w:rFonts w:hint="default" w:ascii="Times New Roman" w:hAnsi="Times New Roman" w:cs="Times New Roman"/>
                      <w:color w:val="auto"/>
                      <w:sz w:val="18"/>
                      <w:szCs w:val="18"/>
                      <w:highlight w:val="none"/>
                      <w:vertAlign w:val="subscript"/>
                      <w:lang w:val="en-US" w:eastAsia="zh-CN"/>
                    </w:rPr>
                    <w:t>3</w:t>
                  </w:r>
                  <w:r>
                    <w:rPr>
                      <w:rFonts w:hint="default" w:ascii="Times New Roman" w:hAnsi="Times New Roman" w:cs="Times New Roman"/>
                      <w:color w:val="auto"/>
                      <w:sz w:val="18"/>
                      <w:szCs w:val="18"/>
                      <w:highlight w:val="none"/>
                      <w:lang w:val="en-US" w:eastAsia="zh-CN"/>
                    </w:rPr>
                    <w:t>-N、</w:t>
                  </w:r>
                  <w:r>
                    <w:rPr>
                      <w:rFonts w:hint="eastAsia" w:cs="Times New Roman"/>
                      <w:color w:val="auto"/>
                      <w:sz w:val="18"/>
                      <w:szCs w:val="18"/>
                      <w:highlight w:val="none"/>
                      <w:lang w:val="en-US" w:eastAsia="zh-CN"/>
                    </w:rPr>
                    <w:t>动植物油</w:t>
                  </w:r>
                  <w:r>
                    <w:rPr>
                      <w:rFonts w:hint="default" w:ascii="Times New Roman" w:hAnsi="Times New Roman" w:cs="Times New Roman"/>
                      <w:color w:val="auto"/>
                      <w:sz w:val="18"/>
                      <w:szCs w:val="18"/>
                      <w:highlight w:val="none"/>
                      <w:lang w:val="en-US" w:eastAsia="zh-CN"/>
                    </w:rPr>
                    <w:t>等</w:t>
                  </w:r>
                </w:p>
              </w:tc>
              <w:tc>
                <w:tcPr>
                  <w:tcW w:w="3650"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eastAsia="宋体" w:cstheme="minorBidi"/>
                      <w:color w:val="auto"/>
                      <w:kern w:val="2"/>
                      <w:sz w:val="18"/>
                      <w:szCs w:val="18"/>
                      <w:highlight w:val="none"/>
                      <w:lang w:val="en-US" w:eastAsia="zh-CN" w:bidi="ar-SA"/>
                    </w:rPr>
                  </w:pPr>
                  <w:r>
                    <w:rPr>
                      <w:rFonts w:hint="eastAsia"/>
                      <w:color w:val="auto"/>
                      <w:highlight w:val="none"/>
                      <w:lang w:val="en-US" w:eastAsia="zh-CN"/>
                    </w:rPr>
                    <w:t>生活污水经收集后进入厂区生活污水处理站进行处理，处理达标后回用于绿化浇洒，不外排</w:t>
                  </w:r>
                  <w:r>
                    <w:rPr>
                      <w:rFonts w:hint="eastAsia" w:ascii="Times New Roman" w:hAnsi="Times New Roman" w:cs="Times New Roman"/>
                      <w:color w:val="auto"/>
                      <w:sz w:val="18"/>
                      <w:szCs w:val="18"/>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46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lang w:val="en-US" w:eastAsia="zh-CN"/>
                    </w:rPr>
                  </w:pPr>
                </w:p>
              </w:tc>
              <w:tc>
                <w:tcPr>
                  <w:tcW w:w="176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循环</w:t>
                  </w:r>
                  <w:r>
                    <w:rPr>
                      <w:rFonts w:hint="eastAsia" w:cs="Times New Roman"/>
                      <w:color w:val="auto"/>
                      <w:sz w:val="18"/>
                      <w:szCs w:val="18"/>
                      <w:highlight w:val="none"/>
                      <w:lang w:val="en-US" w:eastAsia="zh-CN"/>
                    </w:rPr>
                    <w:t>冷却系统排污水</w:t>
                  </w:r>
                </w:p>
              </w:tc>
              <w:tc>
                <w:tcPr>
                  <w:tcW w:w="193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cs="Times New Roman"/>
                      <w:color w:val="auto"/>
                      <w:sz w:val="18"/>
                      <w:szCs w:val="18"/>
                      <w:highlight w:val="none"/>
                      <w:lang w:val="en-US" w:eastAsia="zh-CN"/>
                    </w:rPr>
                    <w:t>SS、盐类</w:t>
                  </w:r>
                  <w:r>
                    <w:rPr>
                      <w:rFonts w:hint="eastAsia" w:cs="Times New Roman"/>
                      <w:color w:val="auto"/>
                      <w:sz w:val="18"/>
                      <w:szCs w:val="18"/>
                      <w:highlight w:val="none"/>
                      <w:vertAlign w:val="baseline"/>
                      <w:lang w:val="en-US" w:eastAsia="zh-CN"/>
                    </w:rPr>
                    <w:t>等</w:t>
                  </w:r>
                </w:p>
              </w:tc>
              <w:tc>
                <w:tcPr>
                  <w:tcW w:w="3650"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eastAsia="宋体" w:cstheme="minorBidi"/>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循环冷却系统排污水经污水管道排入厂区</w:t>
                  </w:r>
                  <w:r>
                    <w:rPr>
                      <w:rFonts w:hint="eastAsia" w:cs="Times New Roman"/>
                      <w:color w:val="auto"/>
                      <w:sz w:val="18"/>
                      <w:szCs w:val="18"/>
                      <w:highlight w:val="none"/>
                      <w:lang w:val="en-US" w:eastAsia="zh-CN"/>
                    </w:rPr>
                    <w:t>生产废水深度水处理站</w:t>
                  </w:r>
                  <w:r>
                    <w:rPr>
                      <w:rFonts w:hint="default" w:ascii="Times New Roman" w:hAnsi="Times New Roman" w:eastAsia="宋体" w:cs="Times New Roman"/>
                      <w:color w:val="auto"/>
                      <w:sz w:val="18"/>
                      <w:szCs w:val="18"/>
                      <w:highlight w:val="none"/>
                      <w:lang w:val="en-US" w:eastAsia="zh-CN"/>
                    </w:rPr>
                    <w:t>处理达标后回用于</w:t>
                  </w:r>
                  <w:r>
                    <w:rPr>
                      <w:rFonts w:hint="eastAsia"/>
                      <w:color w:val="auto"/>
                      <w:highlight w:val="none"/>
                      <w:lang w:val="en-US" w:eastAsia="zh-CN"/>
                    </w:rPr>
                    <w:t>易门铜业有限公司冶炼渣缓冷场</w:t>
                  </w:r>
                  <w:r>
                    <w:rPr>
                      <w:rFonts w:hint="default" w:ascii="Times New Roman" w:hAnsi="Times New Roman" w:eastAsia="宋体" w:cs="Times New Roman"/>
                      <w:color w:val="auto"/>
                      <w:sz w:val="18"/>
                      <w:szCs w:val="18"/>
                      <w:highlight w:val="none"/>
                      <w:lang w:val="en-US" w:eastAsia="zh-CN"/>
                    </w:rPr>
                    <w:t>，不外排。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9" w:hRule="atLeast"/>
                <w:jc w:val="center"/>
              </w:trPr>
              <w:tc>
                <w:tcPr>
                  <w:tcW w:w="463"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噪声</w:t>
                  </w:r>
                </w:p>
              </w:tc>
              <w:tc>
                <w:tcPr>
                  <w:tcW w:w="176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设备运行</w:t>
                  </w:r>
                </w:p>
              </w:tc>
              <w:tc>
                <w:tcPr>
                  <w:tcW w:w="193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离心鼓风机、离心真空泵、排气噪声</w:t>
                  </w:r>
                  <w:r>
                    <w:rPr>
                      <w:rFonts w:hint="default" w:ascii="Times New Roman" w:hAnsi="Times New Roman" w:cs="Times New Roman"/>
                      <w:color w:val="auto"/>
                      <w:sz w:val="18"/>
                      <w:szCs w:val="18"/>
                      <w:highlight w:val="none"/>
                      <w:lang w:val="en-US" w:eastAsia="zh-CN"/>
                    </w:rPr>
                    <w:t>，</w:t>
                  </w:r>
                  <w:r>
                    <w:rPr>
                      <w:rFonts w:hint="eastAsia" w:cs="Times New Roman"/>
                      <w:color w:val="auto"/>
                      <w:sz w:val="18"/>
                      <w:szCs w:val="18"/>
                      <w:highlight w:val="none"/>
                      <w:lang w:val="en-US" w:eastAsia="zh-CN"/>
                    </w:rPr>
                    <w:t>约95</w:t>
                  </w:r>
                  <w:r>
                    <w:rPr>
                      <w:rFonts w:hint="default" w:ascii="Times New Roman" w:hAnsi="Times New Roman" w:cs="Times New Roman"/>
                      <w:color w:val="auto"/>
                      <w:sz w:val="18"/>
                      <w:szCs w:val="18"/>
                      <w:highlight w:val="none"/>
                      <w:lang w:val="en-US" w:eastAsia="zh-CN"/>
                    </w:rPr>
                    <w:t>~8</w:t>
                  </w:r>
                  <w:r>
                    <w:rPr>
                      <w:rFonts w:hint="eastAsia" w:cs="Times New Roman"/>
                      <w:color w:val="auto"/>
                      <w:sz w:val="18"/>
                      <w:szCs w:val="18"/>
                      <w:highlight w:val="none"/>
                      <w:lang w:val="en-US" w:eastAsia="zh-CN"/>
                    </w:rPr>
                    <w:t>0</w:t>
                  </w:r>
                  <w:r>
                    <w:rPr>
                      <w:rFonts w:hint="default" w:ascii="Times New Roman" w:hAnsi="Times New Roman" w:cs="Times New Roman"/>
                      <w:color w:val="auto"/>
                      <w:sz w:val="18"/>
                      <w:szCs w:val="18"/>
                      <w:highlight w:val="none"/>
                      <w:lang w:val="en-US" w:eastAsia="zh-CN"/>
                    </w:rPr>
                    <w:t>dB（A）</w:t>
                  </w:r>
                </w:p>
              </w:tc>
              <w:tc>
                <w:tcPr>
                  <w:tcW w:w="3650" w:type="dxa"/>
                  <w:tcBorders>
                    <w:tl2br w:val="nil"/>
                    <w:tr2bl w:val="nil"/>
                  </w:tcBorders>
                  <w:vAlign w:val="center"/>
                </w:tcPr>
                <w:p>
                  <w:pPr>
                    <w:pStyle w:val="34"/>
                    <w:bidi w:val="0"/>
                    <w:jc w:val="left"/>
                    <w:rPr>
                      <w:rFonts w:hint="eastAsia"/>
                      <w:color w:val="auto"/>
                      <w:highlight w:val="none"/>
                      <w:lang w:val="en-US" w:eastAsia="zh-CN"/>
                    </w:rPr>
                  </w:pPr>
                  <w:r>
                    <w:rPr>
                      <w:rFonts w:hint="eastAsia"/>
                      <w:color w:val="auto"/>
                      <w:highlight w:val="none"/>
                      <w:lang w:val="en-US" w:eastAsia="zh-CN"/>
                    </w:rPr>
                    <w:t>1、现有降噪措施：（1）选用低噪声设备、基础减振；（2）设置隔声门，加装隔声窗；（3）安装进风消声器及排风消声器；（4）设置隔声墙；（5）设备排放口安装排气放空消声器；</w:t>
                  </w:r>
                </w:p>
                <w:p>
                  <w:pPr>
                    <w:pStyle w:val="34"/>
                    <w:bidi w:val="0"/>
                    <w:ind w:left="0" w:leftChars="0" w:firstLine="0" w:firstLineChars="0"/>
                    <w:jc w:val="left"/>
                    <w:rPr>
                      <w:rFonts w:hint="default" w:ascii="Times New Roman" w:hAnsi="Times New Roman" w:cs="Times New Roman"/>
                      <w:color w:val="auto"/>
                      <w:sz w:val="18"/>
                      <w:szCs w:val="18"/>
                      <w:highlight w:val="none"/>
                      <w:lang w:val="en-US" w:eastAsia="zh-CN"/>
                    </w:rPr>
                  </w:pPr>
                  <w:r>
                    <w:rPr>
                      <w:rFonts w:hint="eastAsia"/>
                      <w:color w:val="auto"/>
                      <w:highlight w:val="none"/>
                      <w:lang w:val="en-US" w:eastAsia="zh-CN"/>
                    </w:rPr>
                    <w:t>2、本次改建拟新增降噪措施：（1）选用低噪声设备、基础减振；（2）对于新增的产噪声设备加装消声器；（3）高噪声设备安装在独立设备间的地面底层。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463"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固体废物</w:t>
                  </w:r>
                </w:p>
              </w:tc>
              <w:tc>
                <w:tcPr>
                  <w:tcW w:w="176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办公生活</w:t>
                  </w:r>
                </w:p>
              </w:tc>
              <w:tc>
                <w:tcPr>
                  <w:tcW w:w="193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生活垃圾</w:t>
                  </w:r>
                </w:p>
              </w:tc>
              <w:tc>
                <w:tcPr>
                  <w:tcW w:w="365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依托易门铜业有限公司设置的生活垃圾收集设施统一收集后定期外运至工业园区生活垃圾集中收集点，由环卫部门集中处理。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463"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lang w:val="en-US" w:eastAsia="zh-CN"/>
                    </w:rPr>
                  </w:pPr>
                </w:p>
              </w:tc>
              <w:tc>
                <w:tcPr>
                  <w:tcW w:w="176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一般固废</w:t>
                  </w:r>
                </w:p>
              </w:tc>
              <w:tc>
                <w:tcPr>
                  <w:tcW w:w="1938" w:type="dxa"/>
                  <w:tcBorders>
                    <w:tl2br w:val="nil"/>
                    <w:tr2bl w:val="nil"/>
                  </w:tcBorders>
                  <w:shd w:val="clear" w:color="auto" w:fill="auto"/>
                  <w:vAlign w:val="center"/>
                </w:tcPr>
                <w:p>
                  <w:pPr>
                    <w:pStyle w:val="34"/>
                    <w:bidi w:val="0"/>
                    <w:ind w:left="0" w:leftChars="0" w:firstLine="0" w:firstLineChars="0"/>
                    <w:rPr>
                      <w:rFonts w:hint="eastAsia" w:ascii="Times New Roman" w:hAnsi="Times New Roman" w:eastAsia="宋体" w:cstheme="minorBidi"/>
                      <w:color w:val="auto"/>
                      <w:kern w:val="2"/>
                      <w:sz w:val="18"/>
                      <w:szCs w:val="18"/>
                      <w:highlight w:val="none"/>
                      <w:lang w:val="en-US" w:eastAsia="zh-CN" w:bidi="ar-SA"/>
                    </w:rPr>
                  </w:pPr>
                  <w:r>
                    <w:rPr>
                      <w:rFonts w:hint="eastAsia"/>
                      <w:color w:val="auto"/>
                      <w:highlight w:val="none"/>
                      <w:lang w:val="en-US" w:eastAsia="zh-CN"/>
                    </w:rPr>
                    <w:t>废分子筛、废氧化铝、废滤芯</w:t>
                  </w:r>
                </w:p>
              </w:tc>
              <w:tc>
                <w:tcPr>
                  <w:tcW w:w="3650"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eastAsia="宋体" w:cstheme="minorBidi"/>
                      <w:color w:val="auto"/>
                      <w:kern w:val="2"/>
                      <w:sz w:val="18"/>
                      <w:szCs w:val="18"/>
                      <w:highlight w:val="none"/>
                      <w:lang w:val="en-US" w:eastAsia="zh-CN" w:bidi="ar-SA"/>
                    </w:rPr>
                  </w:pPr>
                  <w:r>
                    <w:rPr>
                      <w:rFonts w:hint="default"/>
                      <w:color w:val="auto"/>
                      <w:highlight w:val="none"/>
                      <w:lang w:val="en-US" w:eastAsia="zh-CN"/>
                    </w:rPr>
                    <w:t>由厂家定期进场更换时带走自行处置，不在厂区内暂存。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463"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lang w:val="en-US" w:eastAsia="zh-CN"/>
                    </w:rPr>
                  </w:pPr>
                </w:p>
              </w:tc>
              <w:tc>
                <w:tcPr>
                  <w:tcW w:w="176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危险废物</w:t>
                  </w:r>
                </w:p>
              </w:tc>
              <w:tc>
                <w:tcPr>
                  <w:tcW w:w="1938" w:type="dxa"/>
                  <w:tcBorders>
                    <w:tl2br w:val="nil"/>
                    <w:tr2bl w:val="nil"/>
                  </w:tcBorders>
                  <w:shd w:val="clear" w:color="auto" w:fill="auto"/>
                  <w:vAlign w:val="center"/>
                </w:tcPr>
                <w:p>
                  <w:pPr>
                    <w:pStyle w:val="34"/>
                    <w:bidi w:val="0"/>
                    <w:ind w:left="0" w:leftChars="0" w:firstLine="0" w:firstLineChars="0"/>
                    <w:rPr>
                      <w:rFonts w:hint="eastAsia" w:ascii="Times New Roman" w:hAnsi="Times New Roman" w:eastAsia="宋体" w:cstheme="minorBidi"/>
                      <w:color w:val="auto"/>
                      <w:kern w:val="2"/>
                      <w:sz w:val="18"/>
                      <w:szCs w:val="18"/>
                      <w:highlight w:val="none"/>
                      <w:lang w:val="en-US" w:eastAsia="zh-CN" w:bidi="ar-SA"/>
                    </w:rPr>
                  </w:pPr>
                  <w:r>
                    <w:rPr>
                      <w:rFonts w:hint="eastAsia"/>
                      <w:color w:val="auto"/>
                      <w:highlight w:val="none"/>
                      <w:lang w:val="en-US" w:eastAsia="zh-CN"/>
                    </w:rPr>
                    <w:t>废润滑油、废油桶</w:t>
                  </w:r>
                </w:p>
              </w:tc>
              <w:tc>
                <w:tcPr>
                  <w:tcW w:w="3650"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eastAsia="宋体" w:cstheme="minorBidi"/>
                      <w:color w:val="auto"/>
                      <w:kern w:val="2"/>
                      <w:sz w:val="18"/>
                      <w:szCs w:val="18"/>
                      <w:highlight w:val="none"/>
                      <w:lang w:val="en-US" w:eastAsia="zh-CN" w:bidi="ar-SA"/>
                    </w:rPr>
                  </w:pPr>
                  <w:r>
                    <w:rPr>
                      <w:rFonts w:hint="eastAsia"/>
                      <w:color w:val="auto"/>
                      <w:highlight w:val="none"/>
                      <w:lang w:val="en-US" w:eastAsia="zh-CN"/>
                    </w:rPr>
                    <w:t>依托易门铜业有限公司已建危险废物贮存库暂存后委托云南广莱再生资源回收有限公司定期清运处置。</w:t>
                  </w:r>
                </w:p>
              </w:tc>
            </w:tr>
          </w:tbl>
          <w:p>
            <w:pPr>
              <w:ind w:left="0" w:leftChars="0" w:firstLine="0" w:firstLineChars="0"/>
              <w:jc w:val="center"/>
              <w:rPr>
                <w:rFonts w:hint="default"/>
                <w:color w:val="auto"/>
                <w:highlight w:val="none"/>
                <w:lang w:val="en-US" w:eastAsia="zh-CN"/>
              </w:rPr>
            </w:pPr>
          </w:p>
          <w:p>
            <w:pPr>
              <w:ind w:left="0" w:leftChars="0" w:firstLine="0" w:firstLineChars="0"/>
              <w:jc w:val="center"/>
              <w:rPr>
                <w:rFonts w:hint="default"/>
                <w:color w:val="auto"/>
                <w:highlight w:val="none"/>
                <w:lang w:val="en-US" w:eastAsia="zh-CN"/>
              </w:rPr>
            </w:pPr>
          </w:p>
          <w:p>
            <w:pPr>
              <w:ind w:left="0" w:leftChars="0" w:firstLine="0" w:firstLineChars="0"/>
              <w:jc w:val="center"/>
              <w:rPr>
                <w:rFonts w:hint="default"/>
                <w:color w:val="auto"/>
                <w:highlight w:val="none"/>
                <w:lang w:val="en-US" w:eastAsia="zh-CN"/>
              </w:rPr>
            </w:pPr>
          </w:p>
          <w:p>
            <w:pPr>
              <w:ind w:left="0" w:leftChars="0" w:firstLine="0" w:firstLineChars="0"/>
              <w:jc w:val="center"/>
              <w:rPr>
                <w:rFonts w:hint="default"/>
                <w:color w:val="auto"/>
                <w:highlight w:val="none"/>
                <w:lang w:val="en-US" w:eastAsia="zh-CN"/>
              </w:rPr>
            </w:pPr>
          </w:p>
          <w:p>
            <w:pPr>
              <w:ind w:left="0" w:leftChars="0" w:firstLine="0" w:firstLineChars="0"/>
              <w:jc w:val="both"/>
              <w:rPr>
                <w:rFonts w:hint="default"/>
                <w:color w:val="auto"/>
                <w:highlight w:val="none"/>
                <w:lang w:val="en-US" w:eastAsia="zh-CN"/>
              </w:rPr>
            </w:pPr>
          </w:p>
          <w:p>
            <w:pPr>
              <w:ind w:left="0" w:leftChars="0" w:firstLine="0" w:firstLineChars="0"/>
              <w:jc w:val="center"/>
              <w:rPr>
                <w:rFonts w:hint="default"/>
                <w:color w:val="auto"/>
                <w:highlight w:val="none"/>
                <w:lang w:val="en-US" w:eastAsia="zh-CN"/>
              </w:rPr>
            </w:pPr>
          </w:p>
          <w:p>
            <w:pPr>
              <w:ind w:left="0" w:leftChars="0" w:firstLine="0" w:firstLineChars="0"/>
              <w:jc w:val="center"/>
              <w:rPr>
                <w:rFonts w:hint="default"/>
                <w:color w:val="auto"/>
                <w:highlight w:val="none"/>
                <w:lang w:val="en-US" w:eastAsia="zh-CN"/>
              </w:rPr>
            </w:pPr>
          </w:p>
          <w:p>
            <w:pPr>
              <w:ind w:left="0" w:leftChars="0" w:firstLine="0" w:firstLineChars="0"/>
              <w:jc w:val="center"/>
              <w:rPr>
                <w:rFonts w:hint="default"/>
                <w:color w:val="auto"/>
                <w:highlight w:val="none"/>
                <w:lang w:val="en-US" w:eastAsia="zh-CN"/>
              </w:rPr>
            </w:pPr>
          </w:p>
          <w:p>
            <w:pPr>
              <w:ind w:left="0" w:leftChars="0" w:firstLine="0" w:firstLineChars="0"/>
              <w:jc w:val="both"/>
              <w:rPr>
                <w:rFonts w:hint="default"/>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3" w:hRule="atLeast"/>
        </w:trPr>
        <w:tc>
          <w:tcPr>
            <w:tcW w:w="521" w:type="dxa"/>
            <w:vAlign w:val="center"/>
          </w:tcPr>
          <w:p>
            <w:pPr>
              <w:pStyle w:val="41"/>
              <w:bidi w:val="0"/>
              <w:rPr>
                <w:rFonts w:hint="default"/>
                <w:color w:val="auto"/>
                <w:highlight w:val="none"/>
                <w:lang w:val="en-US" w:eastAsia="zh-CN"/>
              </w:rPr>
            </w:pPr>
            <w:bookmarkStart w:id="241" w:name="_Toc21968"/>
            <w:bookmarkStart w:id="242" w:name="_Toc4155"/>
            <w:r>
              <w:rPr>
                <w:rFonts w:hint="eastAsia"/>
                <w:color w:val="auto"/>
                <w:highlight w:val="none"/>
                <w:lang w:val="en-US" w:eastAsia="zh-CN"/>
              </w:rPr>
              <w:t>与项目有关的原有环境污染问题</w:t>
            </w:r>
            <w:bookmarkEnd w:id="241"/>
          </w:p>
        </w:tc>
        <w:tc>
          <w:tcPr>
            <w:tcW w:w="8007" w:type="dxa"/>
            <w:vAlign w:val="top"/>
          </w:tcPr>
          <w:p>
            <w:pPr>
              <w:bidi w:val="0"/>
              <w:rPr>
                <w:rFonts w:hint="eastAsia" w:ascii="黑体" w:hAnsi="黑体" w:eastAsia="黑体" w:cs="黑体"/>
                <w:color w:val="auto"/>
                <w:highlight w:val="none"/>
              </w:rPr>
            </w:pPr>
            <w:r>
              <w:rPr>
                <w:rFonts w:hint="eastAsia" w:ascii="黑体" w:hAnsi="黑体" w:eastAsia="黑体" w:cs="黑体"/>
                <w:color w:val="auto"/>
                <w:highlight w:val="none"/>
                <w:lang w:val="en-US" w:eastAsia="zh-CN"/>
              </w:rPr>
              <w:t>一、</w:t>
            </w:r>
            <w:r>
              <w:rPr>
                <w:rFonts w:hint="eastAsia" w:ascii="黑体" w:hAnsi="黑体" w:eastAsia="黑体" w:cs="黑体"/>
                <w:color w:val="auto"/>
                <w:highlight w:val="none"/>
              </w:rPr>
              <w:t>现有项目概况</w:t>
            </w:r>
          </w:p>
          <w:p>
            <w:pPr>
              <w:bidi w:val="0"/>
              <w:rPr>
                <w:rFonts w:hint="eastAsia" w:ascii="黑体" w:hAnsi="黑体" w:eastAsia="黑体" w:cs="黑体"/>
                <w:color w:val="auto"/>
                <w:highlight w:val="none"/>
              </w:rPr>
            </w:pPr>
            <w:r>
              <w:rPr>
                <w:rFonts w:hint="eastAsia" w:ascii="黑体" w:hAnsi="黑体" w:eastAsia="黑体" w:cs="黑体"/>
                <w:color w:val="auto"/>
                <w:highlight w:val="none"/>
                <w:lang w:val="en-US" w:eastAsia="zh-CN"/>
              </w:rPr>
              <w:t>1、</w:t>
            </w:r>
            <w:r>
              <w:rPr>
                <w:rFonts w:hint="eastAsia" w:ascii="黑体" w:hAnsi="黑体" w:eastAsia="黑体" w:cs="黑体"/>
                <w:color w:val="auto"/>
                <w:highlight w:val="none"/>
              </w:rPr>
              <w:t>企业基本情况</w:t>
            </w:r>
          </w:p>
          <w:p>
            <w:pPr>
              <w:bidi w:val="0"/>
              <w:rPr>
                <w:rFonts w:hint="default"/>
                <w:color w:val="auto"/>
                <w:highlight w:val="none"/>
              </w:rPr>
            </w:pPr>
            <w:r>
              <w:rPr>
                <w:rFonts w:hint="default"/>
                <w:color w:val="auto"/>
                <w:highlight w:val="none"/>
              </w:rPr>
              <w:t>易门铜业有限公司坐落于云南省玉溪市易门县</w:t>
            </w:r>
            <w:r>
              <w:rPr>
                <w:rFonts w:hint="eastAsia"/>
                <w:color w:val="auto"/>
                <w:highlight w:val="none"/>
                <w:lang w:val="en-US" w:eastAsia="zh-CN"/>
              </w:rPr>
              <w:t>云南易门产业园区</w:t>
            </w:r>
            <w:r>
              <w:rPr>
                <w:rFonts w:hint="default"/>
                <w:color w:val="auto"/>
                <w:highlight w:val="none"/>
              </w:rPr>
              <w:t>大椿树</w:t>
            </w:r>
            <w:r>
              <w:rPr>
                <w:rFonts w:hint="eastAsia"/>
                <w:color w:val="auto"/>
                <w:highlight w:val="none"/>
                <w:lang w:val="en-US" w:eastAsia="zh-CN"/>
              </w:rPr>
              <w:t>片区</w:t>
            </w:r>
            <w:r>
              <w:rPr>
                <w:rFonts w:hint="default"/>
                <w:color w:val="auto"/>
                <w:highlight w:val="none"/>
              </w:rPr>
              <w:t>，始建于1993年，投产于1995年，现为云南铜业股份有限公司控股。公司已形成阳极铜年产15万吨、硫酸年产42万吨的生产规模。</w:t>
            </w:r>
          </w:p>
          <w:p>
            <w:pPr>
              <w:bidi w:val="0"/>
              <w:rPr>
                <w:rFonts w:hint="eastAsia" w:ascii="黑体" w:hAnsi="黑体" w:eastAsia="黑体" w:cs="黑体"/>
                <w:color w:val="auto"/>
                <w:highlight w:val="none"/>
              </w:rPr>
            </w:pPr>
            <w:r>
              <w:rPr>
                <w:rFonts w:hint="eastAsia" w:ascii="黑体" w:hAnsi="黑体" w:eastAsia="黑体" w:cs="黑体"/>
                <w:color w:val="auto"/>
                <w:highlight w:val="none"/>
                <w:lang w:val="en-US" w:eastAsia="zh-CN"/>
              </w:rPr>
              <w:t>2、现有项目</w:t>
            </w:r>
            <w:r>
              <w:rPr>
                <w:rFonts w:hint="eastAsia" w:ascii="黑体" w:hAnsi="黑体" w:eastAsia="黑体" w:cs="黑体"/>
                <w:color w:val="auto"/>
                <w:highlight w:val="none"/>
              </w:rPr>
              <w:t>环保手续履行情况</w:t>
            </w:r>
          </w:p>
          <w:p>
            <w:pPr>
              <w:pStyle w:val="5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color w:val="auto"/>
                <w:highlight w:val="none"/>
              </w:rPr>
            </w:pPr>
            <w:r>
              <w:rPr>
                <w:rFonts w:hint="default"/>
                <w:color w:val="auto"/>
                <w:highlight w:val="none"/>
              </w:rPr>
              <w:t>易门铜业</w:t>
            </w:r>
            <w:r>
              <w:rPr>
                <w:rFonts w:hint="eastAsia"/>
                <w:color w:val="auto"/>
                <w:highlight w:val="none"/>
                <w:lang w:val="en-US" w:eastAsia="zh-CN"/>
              </w:rPr>
              <w:t>有限公司</w:t>
            </w:r>
            <w:r>
              <w:rPr>
                <w:rFonts w:hint="default"/>
                <w:color w:val="auto"/>
                <w:highlight w:val="none"/>
              </w:rPr>
              <w:t>现</w:t>
            </w:r>
            <w:r>
              <w:rPr>
                <w:rFonts w:hint="eastAsia"/>
                <w:color w:val="auto"/>
                <w:highlight w:val="none"/>
                <w:lang w:val="en-US" w:eastAsia="zh-CN"/>
              </w:rPr>
              <w:t>正常运行的各项</w:t>
            </w:r>
            <w:r>
              <w:rPr>
                <w:rFonts w:hint="default"/>
                <w:color w:val="auto"/>
                <w:highlight w:val="none"/>
              </w:rPr>
              <w:t>工程</w:t>
            </w:r>
            <w:r>
              <w:rPr>
                <w:rFonts w:hint="eastAsia"/>
                <w:color w:val="auto"/>
                <w:highlight w:val="none"/>
                <w:lang w:val="en-US" w:eastAsia="zh-CN"/>
              </w:rPr>
              <w:t>均</w:t>
            </w:r>
            <w:r>
              <w:rPr>
                <w:rFonts w:hint="default"/>
                <w:color w:val="auto"/>
                <w:highlight w:val="none"/>
              </w:rPr>
              <w:t>已按照《中华人民共和国环境影响评价法》及《建设项目环境保护管理条例》的相关要求，履行了环境影响评价及竣工环保验收手续。企业已申领排污许可证，并按证排污。现有制氧站作为全厂配套公用工程，已纳入全厂环评及验收范围。企业已编制突发环境事件应急预案并完成备案。</w:t>
            </w:r>
          </w:p>
          <w:p>
            <w:pPr>
              <w:pStyle w:val="5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aps w:val="0"/>
                <w:smallCaps w:val="0"/>
                <w:color w:val="auto"/>
                <w:highlight w:val="none"/>
                <w:lang w:val="en-US" w:eastAsia="zh-CN"/>
              </w:rPr>
            </w:pPr>
            <w:r>
              <w:rPr>
                <w:rFonts w:hint="eastAsia"/>
                <w:color w:val="auto"/>
                <w:highlight w:val="none"/>
                <w:lang w:val="en-US" w:eastAsia="zh-CN"/>
              </w:rPr>
              <w:t>易门铜业有限公司</w:t>
            </w:r>
            <w:r>
              <w:rPr>
                <w:rFonts w:hint="eastAsia" w:ascii="Times New Roman" w:hAnsi="Times New Roman"/>
                <w:caps w:val="0"/>
                <w:smallCaps w:val="0"/>
                <w:color w:val="auto"/>
                <w:highlight w:val="none"/>
                <w:lang w:val="en-US" w:eastAsia="zh-CN"/>
              </w:rPr>
              <w:t>现有工程</w:t>
            </w:r>
            <w:r>
              <w:rPr>
                <w:rFonts w:hint="eastAsia" w:ascii="Times New Roman" w:hAnsi="Times New Roman" w:eastAsia="宋体"/>
                <w:caps w:val="0"/>
                <w:smallCaps w:val="0"/>
                <w:color w:val="auto"/>
                <w:highlight w:val="none"/>
                <w:lang w:val="en-US" w:eastAsia="zh-CN"/>
              </w:rPr>
              <w:t>环保手续办理情况见下表：</w:t>
            </w:r>
          </w:p>
          <w:p>
            <w:pPr>
              <w:pStyle w:val="35"/>
              <w:bidi w:val="0"/>
              <w:rPr>
                <w:rFonts w:hint="default" w:ascii="Times New Roman" w:hAnsi="Times New Roman" w:eastAsia="宋体" w:cs="Times New Roman"/>
                <w:caps w:val="0"/>
                <w:smallCaps w:val="0"/>
                <w:color w:val="auto"/>
                <w:szCs w:val="21"/>
                <w:highlight w:val="none"/>
              </w:rPr>
            </w:pPr>
            <w:r>
              <w:rPr>
                <w:rFonts w:hint="default"/>
                <w:color w:val="auto"/>
                <w:highlight w:val="none"/>
              </w:rPr>
              <w:t>表</w:t>
            </w:r>
            <w:r>
              <w:rPr>
                <w:rFonts w:hint="eastAsia"/>
                <w:color w:val="auto"/>
                <w:highlight w:val="none"/>
                <w:lang w:val="en-US" w:eastAsia="zh-CN"/>
              </w:rPr>
              <w:t>2-11  易门铜业有限公司现有</w:t>
            </w:r>
            <w:r>
              <w:rPr>
                <w:rFonts w:hint="default"/>
                <w:color w:val="auto"/>
                <w:highlight w:val="none"/>
              </w:rPr>
              <w:t>工程环保手续办理情况</w:t>
            </w:r>
          </w:p>
          <w:tbl>
            <w:tblPr>
              <w:tblStyle w:val="24"/>
              <w:tblW w:w="779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4"/>
              <w:gridCol w:w="2734"/>
              <w:gridCol w:w="2159"/>
              <w:gridCol w:w="22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Borders>
                    <w:tl2br w:val="nil"/>
                    <w:tr2bl w:val="nil"/>
                  </w:tcBorders>
                  <w:noWrap w:val="0"/>
                  <w:vAlign w:val="top"/>
                </w:tcPr>
                <w:p>
                  <w:pPr>
                    <w:pStyle w:val="34"/>
                    <w:bidi w:val="0"/>
                    <w:rPr>
                      <w:rFonts w:hint="default"/>
                      <w:color w:val="auto"/>
                      <w:highlight w:val="none"/>
                      <w:lang w:val="en-US" w:eastAsia="zh-CN"/>
                    </w:rPr>
                  </w:pPr>
                  <w:r>
                    <w:rPr>
                      <w:rFonts w:hint="eastAsia"/>
                      <w:color w:val="auto"/>
                      <w:highlight w:val="none"/>
                      <w:lang w:val="en-US" w:eastAsia="zh-CN"/>
                    </w:rPr>
                    <w:t>序号</w:t>
                  </w:r>
                </w:p>
              </w:tc>
              <w:tc>
                <w:tcPr>
                  <w:tcW w:w="2734" w:type="dxa"/>
                  <w:tcBorders>
                    <w:tl2br w:val="nil"/>
                    <w:tr2bl w:val="nil"/>
                  </w:tcBorders>
                  <w:noWrap w:val="0"/>
                  <w:vAlign w:val="top"/>
                </w:tcPr>
                <w:p>
                  <w:pPr>
                    <w:pStyle w:val="34"/>
                    <w:bidi w:val="0"/>
                    <w:rPr>
                      <w:rFonts w:hint="default"/>
                      <w:color w:val="auto"/>
                      <w:highlight w:val="none"/>
                      <w:lang w:val="en-US" w:eastAsia="zh-CN"/>
                    </w:rPr>
                  </w:pPr>
                  <w:r>
                    <w:rPr>
                      <w:rFonts w:hint="eastAsia"/>
                      <w:color w:val="auto"/>
                      <w:highlight w:val="none"/>
                      <w:lang w:val="en-US" w:eastAsia="zh-CN"/>
                    </w:rPr>
                    <w:t>名称</w:t>
                  </w:r>
                </w:p>
              </w:tc>
              <w:tc>
                <w:tcPr>
                  <w:tcW w:w="2159" w:type="dxa"/>
                  <w:tcBorders>
                    <w:tl2br w:val="nil"/>
                    <w:tr2bl w:val="nil"/>
                  </w:tcBorders>
                  <w:noWrap w:val="0"/>
                  <w:vAlign w:val="top"/>
                </w:tcPr>
                <w:p>
                  <w:pPr>
                    <w:pStyle w:val="34"/>
                    <w:bidi w:val="0"/>
                    <w:rPr>
                      <w:rFonts w:hint="default"/>
                      <w:color w:val="auto"/>
                      <w:highlight w:val="none"/>
                      <w:lang w:val="en-US" w:eastAsia="zh-CN"/>
                    </w:rPr>
                  </w:pPr>
                  <w:r>
                    <w:rPr>
                      <w:rFonts w:hint="eastAsia"/>
                      <w:color w:val="auto"/>
                      <w:highlight w:val="none"/>
                      <w:lang w:val="en-US" w:eastAsia="zh-CN"/>
                    </w:rPr>
                    <w:t>环评批复</w:t>
                  </w:r>
                </w:p>
              </w:tc>
              <w:tc>
                <w:tcPr>
                  <w:tcW w:w="2247" w:type="dxa"/>
                  <w:tcBorders>
                    <w:tl2br w:val="nil"/>
                    <w:tr2bl w:val="nil"/>
                  </w:tcBorders>
                  <w:noWrap w:val="0"/>
                  <w:vAlign w:val="top"/>
                </w:tcPr>
                <w:p>
                  <w:pPr>
                    <w:pStyle w:val="34"/>
                    <w:bidi w:val="0"/>
                    <w:rPr>
                      <w:rFonts w:hint="default"/>
                      <w:color w:val="auto"/>
                      <w:highlight w:val="none"/>
                      <w:lang w:val="en-US" w:eastAsia="zh-CN"/>
                    </w:rPr>
                  </w:pPr>
                  <w:r>
                    <w:rPr>
                      <w:rFonts w:hint="eastAsia"/>
                      <w:color w:val="auto"/>
                      <w:highlight w:val="none"/>
                      <w:lang w:val="en-US" w:eastAsia="zh-CN"/>
                    </w:rPr>
                    <w:t>验收意见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54" w:type="dxa"/>
                  <w:tcBorders>
                    <w:tl2br w:val="nil"/>
                    <w:tr2bl w:val="nil"/>
                  </w:tcBorders>
                  <w:shd w:val="clear" w:color="auto" w:fill="auto"/>
                  <w:noWrap w:val="0"/>
                  <w:vAlign w:val="center"/>
                </w:tcPr>
                <w:p>
                  <w:pPr>
                    <w:pStyle w:val="34"/>
                    <w:bidi w:val="0"/>
                    <w:ind w:left="0" w:leftChars="0" w:firstLine="0" w:firstLineChars="0"/>
                    <w:rPr>
                      <w:rFonts w:hint="default" w:ascii="Times New Roman" w:hAnsi="Times New Roman" w:eastAsia="宋体" w:cstheme="minorBidi"/>
                      <w:color w:val="auto"/>
                      <w:kern w:val="2"/>
                      <w:sz w:val="18"/>
                      <w:szCs w:val="18"/>
                      <w:highlight w:val="none"/>
                      <w:lang w:val="en-US" w:eastAsia="zh-CN" w:bidi="ar-SA"/>
                    </w:rPr>
                  </w:pPr>
                  <w:r>
                    <w:rPr>
                      <w:rFonts w:hint="default"/>
                      <w:color w:val="auto"/>
                      <w:highlight w:val="none"/>
                    </w:rPr>
                    <w:t>1</w:t>
                  </w:r>
                </w:p>
              </w:tc>
              <w:tc>
                <w:tcPr>
                  <w:tcW w:w="2734" w:type="dxa"/>
                  <w:tcBorders>
                    <w:tl2br w:val="nil"/>
                    <w:tr2bl w:val="nil"/>
                  </w:tcBorders>
                  <w:noWrap w:val="0"/>
                  <w:vAlign w:val="center"/>
                </w:tcPr>
                <w:p>
                  <w:pPr>
                    <w:pStyle w:val="34"/>
                    <w:bidi w:val="0"/>
                    <w:rPr>
                      <w:rFonts w:hint="eastAsia" w:eastAsia="宋体"/>
                      <w:color w:val="auto"/>
                      <w:highlight w:val="none"/>
                      <w:lang w:eastAsia="zh-CN"/>
                    </w:rPr>
                  </w:pPr>
                  <w:r>
                    <w:rPr>
                      <w:rFonts w:hint="default"/>
                      <w:b/>
                      <w:bCs/>
                      <w:color w:val="auto"/>
                      <w:highlight w:val="none"/>
                    </w:rPr>
                    <w:t>易门铜业有限公司3万吨</w:t>
                  </w:r>
                  <w:r>
                    <w:rPr>
                      <w:rFonts w:hint="eastAsia"/>
                      <w:b/>
                      <w:bCs/>
                      <w:color w:val="auto"/>
                      <w:highlight w:val="none"/>
                      <w:lang w:val="en-US" w:eastAsia="zh-CN"/>
                    </w:rPr>
                    <w:t>/</w:t>
                  </w:r>
                  <w:r>
                    <w:rPr>
                      <w:rFonts w:hint="default"/>
                      <w:b/>
                      <w:bCs/>
                      <w:color w:val="auto"/>
                      <w:highlight w:val="none"/>
                    </w:rPr>
                    <w:t>年阳极铜扩建工程</w:t>
                  </w:r>
                  <w:r>
                    <w:rPr>
                      <w:rFonts w:hint="eastAsia"/>
                      <w:b/>
                      <w:bCs/>
                      <w:color w:val="auto"/>
                      <w:highlight w:val="none"/>
                      <w:lang w:eastAsia="zh-CN"/>
                    </w:rPr>
                    <w:t>（</w:t>
                  </w:r>
                  <w:r>
                    <w:rPr>
                      <w:rFonts w:hint="eastAsia"/>
                      <w:b/>
                      <w:bCs/>
                      <w:color w:val="auto"/>
                      <w:highlight w:val="none"/>
                      <w:lang w:val="en-US" w:eastAsia="zh-CN"/>
                    </w:rPr>
                    <w:t>包括现有6500Nm³/h制氧系统</w:t>
                  </w:r>
                  <w:r>
                    <w:rPr>
                      <w:rFonts w:hint="eastAsia"/>
                      <w:b/>
                      <w:bCs/>
                      <w:color w:val="auto"/>
                      <w:highlight w:val="none"/>
                      <w:lang w:eastAsia="zh-CN"/>
                    </w:rPr>
                    <w:t>）</w:t>
                  </w:r>
                </w:p>
              </w:tc>
              <w:tc>
                <w:tcPr>
                  <w:tcW w:w="2159" w:type="dxa"/>
                  <w:tcBorders>
                    <w:tl2br w:val="nil"/>
                    <w:tr2bl w:val="nil"/>
                  </w:tcBorders>
                  <w:noWrap w:val="0"/>
                  <w:vAlign w:val="center"/>
                </w:tcPr>
                <w:p>
                  <w:pPr>
                    <w:pStyle w:val="34"/>
                    <w:bidi w:val="0"/>
                    <w:rPr>
                      <w:rFonts w:hint="eastAsia" w:eastAsia="宋体"/>
                      <w:b/>
                      <w:bCs/>
                      <w:color w:val="auto"/>
                      <w:highlight w:val="none"/>
                      <w:lang w:val="en-US" w:eastAsia="zh-CN"/>
                    </w:rPr>
                  </w:pPr>
                  <w:r>
                    <w:rPr>
                      <w:rFonts w:hint="eastAsia"/>
                      <w:b/>
                      <w:bCs/>
                      <w:color w:val="auto"/>
                      <w:highlight w:val="none"/>
                      <w:lang w:val="en-US" w:eastAsia="zh-CN"/>
                    </w:rPr>
                    <w:t>云环监发</w:t>
                  </w:r>
                  <w:r>
                    <w:rPr>
                      <w:rFonts w:hint="default"/>
                      <w:b/>
                      <w:bCs/>
                      <w:color w:val="auto"/>
                      <w:highlight w:val="none"/>
                    </w:rPr>
                    <w:t>〔</w:t>
                  </w:r>
                  <w:r>
                    <w:rPr>
                      <w:rFonts w:hint="eastAsia"/>
                      <w:b/>
                      <w:bCs/>
                      <w:color w:val="auto"/>
                      <w:highlight w:val="none"/>
                      <w:lang w:val="en-US" w:eastAsia="zh-CN"/>
                    </w:rPr>
                    <w:t>2001</w:t>
                  </w:r>
                  <w:r>
                    <w:rPr>
                      <w:rFonts w:hint="default"/>
                      <w:b/>
                      <w:bCs/>
                      <w:color w:val="auto"/>
                      <w:highlight w:val="none"/>
                    </w:rPr>
                    <w:t>〕</w:t>
                  </w:r>
                  <w:r>
                    <w:rPr>
                      <w:rFonts w:hint="eastAsia"/>
                      <w:b/>
                      <w:bCs/>
                      <w:color w:val="auto"/>
                      <w:highlight w:val="none"/>
                      <w:lang w:val="en-US" w:eastAsia="zh-CN"/>
                    </w:rPr>
                    <w:t>658</w:t>
                  </w:r>
                  <w:r>
                    <w:rPr>
                      <w:rFonts w:hint="default"/>
                      <w:b/>
                      <w:bCs/>
                      <w:color w:val="auto"/>
                      <w:highlight w:val="none"/>
                    </w:rPr>
                    <w:t>号</w:t>
                  </w:r>
                </w:p>
              </w:tc>
              <w:tc>
                <w:tcPr>
                  <w:tcW w:w="2247" w:type="dxa"/>
                  <w:tcBorders>
                    <w:tl2br w:val="nil"/>
                    <w:tr2bl w:val="nil"/>
                  </w:tcBorders>
                  <w:noWrap w:val="0"/>
                  <w:vAlign w:val="center"/>
                </w:tcPr>
                <w:p>
                  <w:pPr>
                    <w:pStyle w:val="34"/>
                    <w:bidi w:val="0"/>
                    <w:rPr>
                      <w:rFonts w:hint="eastAsia" w:eastAsia="宋体"/>
                      <w:b/>
                      <w:bCs/>
                      <w:color w:val="auto"/>
                      <w:highlight w:val="none"/>
                      <w:lang w:val="en-US" w:eastAsia="zh-CN"/>
                    </w:rPr>
                  </w:pPr>
                  <w:r>
                    <w:rPr>
                      <w:rFonts w:hint="eastAsia"/>
                      <w:b/>
                      <w:bCs/>
                      <w:color w:val="auto"/>
                      <w:highlight w:val="none"/>
                      <w:lang w:val="en-US" w:eastAsia="zh-CN"/>
                    </w:rPr>
                    <w:t>云环许准</w:t>
                  </w:r>
                  <w:r>
                    <w:rPr>
                      <w:rFonts w:hint="default"/>
                      <w:b/>
                      <w:bCs/>
                      <w:color w:val="auto"/>
                      <w:highlight w:val="none"/>
                    </w:rPr>
                    <w:t>〔</w:t>
                  </w:r>
                  <w:r>
                    <w:rPr>
                      <w:rFonts w:hint="eastAsia"/>
                      <w:b/>
                      <w:bCs/>
                      <w:color w:val="auto"/>
                      <w:highlight w:val="none"/>
                      <w:lang w:val="en-US" w:eastAsia="zh-CN"/>
                    </w:rPr>
                    <w:t>2007</w:t>
                  </w:r>
                  <w:r>
                    <w:rPr>
                      <w:rFonts w:hint="default"/>
                      <w:b/>
                      <w:bCs/>
                      <w:color w:val="auto"/>
                      <w:highlight w:val="none"/>
                    </w:rPr>
                    <w:t>〕</w:t>
                  </w:r>
                  <w:r>
                    <w:rPr>
                      <w:rFonts w:hint="eastAsia"/>
                      <w:b/>
                      <w:bCs/>
                      <w:color w:val="auto"/>
                      <w:highlight w:val="none"/>
                      <w:lang w:val="en-US" w:eastAsia="zh-CN"/>
                    </w:rPr>
                    <w:t>236</w:t>
                  </w:r>
                  <w:r>
                    <w:rPr>
                      <w:rFonts w:hint="default"/>
                      <w:b/>
                      <w:bCs/>
                      <w:color w:val="auto"/>
                      <w:highlight w:val="none"/>
                    </w:rPr>
                    <w:t>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54" w:type="dxa"/>
                  <w:tcBorders>
                    <w:tl2br w:val="nil"/>
                    <w:tr2bl w:val="nil"/>
                  </w:tcBorders>
                  <w:shd w:val="clear" w:color="auto" w:fill="auto"/>
                  <w:noWrap w:val="0"/>
                  <w:vAlign w:val="center"/>
                </w:tcPr>
                <w:p>
                  <w:pPr>
                    <w:pStyle w:val="34"/>
                    <w:bidi w:val="0"/>
                    <w:ind w:left="0" w:leftChars="0" w:firstLine="0" w:firstLineChars="0"/>
                    <w:rPr>
                      <w:rFonts w:hint="default" w:ascii="Times New Roman" w:hAnsi="Times New Roman" w:eastAsia="宋体" w:cstheme="minorBidi"/>
                      <w:color w:val="auto"/>
                      <w:kern w:val="2"/>
                      <w:sz w:val="18"/>
                      <w:szCs w:val="18"/>
                      <w:highlight w:val="none"/>
                      <w:lang w:val="en-US" w:eastAsia="zh-CN" w:bidi="ar-SA"/>
                    </w:rPr>
                  </w:pPr>
                  <w:r>
                    <w:rPr>
                      <w:rFonts w:hint="default"/>
                      <w:color w:val="auto"/>
                      <w:highlight w:val="none"/>
                    </w:rPr>
                    <w:t>2</w:t>
                  </w:r>
                </w:p>
              </w:tc>
              <w:tc>
                <w:tcPr>
                  <w:tcW w:w="2734" w:type="dxa"/>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rPr>
                    <w:t>云南铜业冶炼中试基地技改项目</w:t>
                  </w:r>
                </w:p>
              </w:tc>
              <w:tc>
                <w:tcPr>
                  <w:tcW w:w="2159" w:type="dxa"/>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rPr>
                    <w:t>云环审〔2012〕137号</w:t>
                  </w:r>
                </w:p>
              </w:tc>
              <w:tc>
                <w:tcPr>
                  <w:tcW w:w="2247" w:type="dxa"/>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rPr>
                    <w:t>云环验〔2015〕69号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54" w:type="dxa"/>
                  <w:tcBorders>
                    <w:tl2br w:val="nil"/>
                    <w:tr2bl w:val="nil"/>
                  </w:tcBorders>
                  <w:shd w:val="clear" w:color="auto" w:fill="auto"/>
                  <w:noWrap w:val="0"/>
                  <w:vAlign w:val="center"/>
                </w:tcPr>
                <w:p>
                  <w:pPr>
                    <w:pStyle w:val="34"/>
                    <w:bidi w:val="0"/>
                    <w:ind w:left="0" w:leftChars="0" w:firstLine="0" w:firstLineChars="0"/>
                    <w:rPr>
                      <w:rFonts w:hint="default" w:ascii="Times New Roman" w:hAnsi="Times New Roman" w:eastAsia="宋体" w:cstheme="minorBidi"/>
                      <w:color w:val="auto"/>
                      <w:kern w:val="2"/>
                      <w:sz w:val="18"/>
                      <w:szCs w:val="18"/>
                      <w:highlight w:val="none"/>
                      <w:lang w:val="en-US" w:eastAsia="zh-CN" w:bidi="ar-SA"/>
                    </w:rPr>
                  </w:pPr>
                  <w:r>
                    <w:rPr>
                      <w:rFonts w:hint="default"/>
                      <w:color w:val="auto"/>
                      <w:highlight w:val="none"/>
                    </w:rPr>
                    <w:t>3</w:t>
                  </w:r>
                </w:p>
              </w:tc>
              <w:tc>
                <w:tcPr>
                  <w:tcW w:w="2734" w:type="dxa"/>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rPr>
                    <w:t>易门铜业余热发电建设项目</w:t>
                  </w:r>
                </w:p>
              </w:tc>
              <w:tc>
                <w:tcPr>
                  <w:tcW w:w="2159" w:type="dxa"/>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rPr>
                    <w:t>易环函〔2015〕35号</w:t>
                  </w:r>
                </w:p>
              </w:tc>
              <w:tc>
                <w:tcPr>
                  <w:tcW w:w="2247" w:type="dxa"/>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rPr>
                    <w:t>易环验〔2017〕4号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54" w:type="dxa"/>
                  <w:tcBorders>
                    <w:tl2br w:val="nil"/>
                    <w:tr2bl w:val="nil"/>
                  </w:tcBorders>
                  <w:shd w:val="clear" w:color="auto" w:fill="auto"/>
                  <w:noWrap w:val="0"/>
                  <w:vAlign w:val="center"/>
                </w:tcPr>
                <w:p>
                  <w:pPr>
                    <w:pStyle w:val="34"/>
                    <w:bidi w:val="0"/>
                    <w:ind w:left="0" w:leftChars="0" w:firstLine="0" w:firstLineChars="0"/>
                    <w:rPr>
                      <w:rFonts w:hint="default" w:ascii="Times New Roman" w:hAnsi="Times New Roman" w:eastAsia="宋体" w:cstheme="minorBidi"/>
                      <w:color w:val="auto"/>
                      <w:kern w:val="2"/>
                      <w:sz w:val="18"/>
                      <w:szCs w:val="18"/>
                      <w:highlight w:val="none"/>
                      <w:lang w:val="en-US" w:eastAsia="zh-CN" w:bidi="ar-SA"/>
                    </w:rPr>
                  </w:pPr>
                  <w:r>
                    <w:rPr>
                      <w:rFonts w:hint="default"/>
                      <w:color w:val="auto"/>
                      <w:highlight w:val="none"/>
                    </w:rPr>
                    <w:t>4</w:t>
                  </w:r>
                </w:p>
              </w:tc>
              <w:tc>
                <w:tcPr>
                  <w:tcW w:w="2734" w:type="dxa"/>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rPr>
                    <w:t>易门铜业铜冶炼渣资源利用工程</w:t>
                  </w:r>
                </w:p>
              </w:tc>
              <w:tc>
                <w:tcPr>
                  <w:tcW w:w="2159" w:type="dxa"/>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rPr>
                    <w:t>云环审〔2016〕32号</w:t>
                  </w:r>
                </w:p>
              </w:tc>
              <w:tc>
                <w:tcPr>
                  <w:tcW w:w="2247" w:type="dxa"/>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rPr>
                    <w:t>云环验〔2017〕31号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54" w:type="dxa"/>
                  <w:tcBorders>
                    <w:tl2br w:val="nil"/>
                    <w:tr2bl w:val="nil"/>
                  </w:tcBorders>
                  <w:shd w:val="clear" w:color="auto" w:fill="auto"/>
                  <w:noWrap w:val="0"/>
                  <w:vAlign w:val="center"/>
                </w:tcPr>
                <w:p>
                  <w:pPr>
                    <w:pStyle w:val="34"/>
                    <w:bidi w:val="0"/>
                    <w:ind w:left="0" w:leftChars="0" w:firstLine="0" w:firstLineChars="0"/>
                    <w:rPr>
                      <w:rFonts w:hint="default" w:ascii="Times New Roman" w:hAnsi="Times New Roman" w:eastAsia="宋体" w:cstheme="minorBidi"/>
                      <w:color w:val="auto"/>
                      <w:kern w:val="2"/>
                      <w:sz w:val="18"/>
                      <w:szCs w:val="18"/>
                      <w:highlight w:val="none"/>
                      <w:lang w:val="en-US" w:eastAsia="zh-CN" w:bidi="ar-SA"/>
                    </w:rPr>
                  </w:pPr>
                  <w:r>
                    <w:rPr>
                      <w:rFonts w:hint="default"/>
                      <w:color w:val="auto"/>
                      <w:highlight w:val="none"/>
                    </w:rPr>
                    <w:t>5</w:t>
                  </w:r>
                </w:p>
              </w:tc>
              <w:tc>
                <w:tcPr>
                  <w:tcW w:w="2734" w:type="dxa"/>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rPr>
                    <w:t>易门铜业环保高效清洁化生产改造工程</w:t>
                  </w:r>
                </w:p>
              </w:tc>
              <w:tc>
                <w:tcPr>
                  <w:tcW w:w="2159" w:type="dxa"/>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rPr>
                    <w:t>云环审〔2016〕144号</w:t>
                  </w:r>
                </w:p>
              </w:tc>
              <w:tc>
                <w:tcPr>
                  <w:tcW w:w="2247" w:type="dxa"/>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rPr>
                    <w:t>2018年06月08日通过自主验收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54" w:type="dxa"/>
                  <w:tcBorders>
                    <w:tl2br w:val="nil"/>
                    <w:tr2bl w:val="nil"/>
                  </w:tcBorders>
                  <w:shd w:val="clear" w:color="auto" w:fill="auto"/>
                  <w:noWrap w:val="0"/>
                  <w:vAlign w:val="center"/>
                </w:tcPr>
                <w:p>
                  <w:pPr>
                    <w:pStyle w:val="34"/>
                    <w:bidi w:val="0"/>
                    <w:ind w:left="0" w:leftChars="0" w:firstLine="0" w:firstLineChars="0"/>
                    <w:rPr>
                      <w:rFonts w:hint="default" w:ascii="Times New Roman" w:hAnsi="Times New Roman" w:eastAsia="宋体" w:cstheme="minorBidi"/>
                      <w:color w:val="auto"/>
                      <w:kern w:val="2"/>
                      <w:sz w:val="18"/>
                      <w:szCs w:val="18"/>
                      <w:highlight w:val="none"/>
                      <w:lang w:val="en-US" w:eastAsia="zh-CN" w:bidi="ar-SA"/>
                    </w:rPr>
                  </w:pPr>
                  <w:r>
                    <w:rPr>
                      <w:rFonts w:hint="default"/>
                      <w:color w:val="auto"/>
                      <w:highlight w:val="none"/>
                    </w:rPr>
                    <w:t>6</w:t>
                  </w:r>
                </w:p>
              </w:tc>
              <w:tc>
                <w:tcPr>
                  <w:tcW w:w="2734" w:type="dxa"/>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rPr>
                    <w:t>易门铜业生产及生活废水处理项目</w:t>
                  </w:r>
                </w:p>
              </w:tc>
              <w:tc>
                <w:tcPr>
                  <w:tcW w:w="2159" w:type="dxa"/>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rPr>
                    <w:t>易环审〔2017〕42号</w:t>
                  </w:r>
                </w:p>
              </w:tc>
              <w:tc>
                <w:tcPr>
                  <w:tcW w:w="2247" w:type="dxa"/>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rPr>
                    <w:t>易环验〔2017〕22号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54" w:type="dxa"/>
                  <w:tcBorders>
                    <w:tl2br w:val="nil"/>
                    <w:tr2bl w:val="nil"/>
                  </w:tcBorders>
                  <w:shd w:val="clear" w:color="auto" w:fill="auto"/>
                  <w:noWrap w:val="0"/>
                  <w:vAlign w:val="center"/>
                </w:tcPr>
                <w:p>
                  <w:pPr>
                    <w:pStyle w:val="34"/>
                    <w:bidi w:val="0"/>
                    <w:ind w:left="0" w:leftChars="0" w:firstLine="0" w:firstLineChars="0"/>
                    <w:rPr>
                      <w:rFonts w:hint="default" w:ascii="Times New Roman" w:hAnsi="Times New Roman" w:eastAsia="宋体" w:cstheme="minorBidi"/>
                      <w:color w:val="auto"/>
                      <w:kern w:val="2"/>
                      <w:sz w:val="18"/>
                      <w:szCs w:val="18"/>
                      <w:highlight w:val="none"/>
                      <w:lang w:val="en-US" w:eastAsia="zh-CN" w:bidi="ar-SA"/>
                    </w:rPr>
                  </w:pPr>
                  <w:r>
                    <w:rPr>
                      <w:rFonts w:hint="default"/>
                      <w:color w:val="auto"/>
                      <w:highlight w:val="none"/>
                    </w:rPr>
                    <w:t>7</w:t>
                  </w:r>
                </w:p>
              </w:tc>
              <w:tc>
                <w:tcPr>
                  <w:tcW w:w="2734" w:type="dxa"/>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rPr>
                    <w:t>易门铜业铜冶炼渣资源综合利用工程项目（二期）</w:t>
                  </w:r>
                </w:p>
              </w:tc>
              <w:tc>
                <w:tcPr>
                  <w:tcW w:w="2159" w:type="dxa"/>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rPr>
                    <w:t>云环审〔2018〕41号</w:t>
                  </w:r>
                </w:p>
              </w:tc>
              <w:tc>
                <w:tcPr>
                  <w:tcW w:w="2247" w:type="dxa"/>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rPr>
                    <w:t>2018年12月29日通过自主验收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54" w:type="dxa"/>
                  <w:tcBorders>
                    <w:tl2br w:val="nil"/>
                    <w:tr2bl w:val="nil"/>
                  </w:tcBorders>
                  <w:shd w:val="clear" w:color="auto" w:fill="auto"/>
                  <w:noWrap w:val="0"/>
                  <w:vAlign w:val="center"/>
                </w:tcPr>
                <w:p>
                  <w:pPr>
                    <w:pStyle w:val="34"/>
                    <w:bidi w:val="0"/>
                    <w:ind w:left="0" w:leftChars="0" w:firstLine="0" w:firstLineChars="0"/>
                    <w:rPr>
                      <w:rFonts w:hint="default" w:ascii="Times New Roman" w:hAnsi="Times New Roman" w:eastAsia="宋体" w:cstheme="minorBidi"/>
                      <w:color w:val="auto"/>
                      <w:kern w:val="2"/>
                      <w:sz w:val="18"/>
                      <w:szCs w:val="18"/>
                      <w:highlight w:val="none"/>
                      <w:lang w:val="en-US" w:eastAsia="zh-CN" w:bidi="ar-SA"/>
                    </w:rPr>
                  </w:pPr>
                  <w:r>
                    <w:rPr>
                      <w:rFonts w:hint="default"/>
                      <w:color w:val="auto"/>
                      <w:highlight w:val="none"/>
                    </w:rPr>
                    <w:t>8</w:t>
                  </w:r>
                </w:p>
              </w:tc>
              <w:tc>
                <w:tcPr>
                  <w:tcW w:w="2734" w:type="dxa"/>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rPr>
                    <w:t>易门铜业100m</w:t>
                  </w:r>
                  <w:r>
                    <w:rPr>
                      <w:rFonts w:hint="eastAsia"/>
                      <w:color w:val="auto"/>
                      <w:highlight w:val="none"/>
                      <w:vertAlign w:val="superscript"/>
                      <w:lang w:val="en-US" w:eastAsia="zh-CN"/>
                    </w:rPr>
                    <w:t>3</w:t>
                  </w:r>
                  <w:r>
                    <w:rPr>
                      <w:rFonts w:hint="default"/>
                      <w:color w:val="auto"/>
                      <w:highlight w:val="none"/>
                    </w:rPr>
                    <w:t>双氧水储槽增容项目</w:t>
                  </w:r>
                </w:p>
              </w:tc>
              <w:tc>
                <w:tcPr>
                  <w:tcW w:w="2159" w:type="dxa"/>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rPr>
                    <w:t>易环审〔2018〕20号</w:t>
                  </w:r>
                </w:p>
              </w:tc>
              <w:tc>
                <w:tcPr>
                  <w:tcW w:w="2247" w:type="dxa"/>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rPr>
                    <w:t>2019年04月06日通过自主验收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54" w:type="dxa"/>
                  <w:tcBorders>
                    <w:tl2br w:val="nil"/>
                    <w:tr2bl w:val="nil"/>
                  </w:tcBorders>
                  <w:shd w:val="clear" w:color="auto" w:fill="auto"/>
                  <w:noWrap w:val="0"/>
                  <w:vAlign w:val="center"/>
                </w:tcPr>
                <w:p>
                  <w:pPr>
                    <w:pStyle w:val="34"/>
                    <w:bidi w:val="0"/>
                    <w:ind w:left="0" w:leftChars="0" w:firstLine="0" w:firstLineChars="0"/>
                    <w:rPr>
                      <w:rFonts w:hint="default" w:ascii="Times New Roman" w:hAnsi="Times New Roman" w:eastAsia="宋体" w:cstheme="minorBidi"/>
                      <w:color w:val="auto"/>
                      <w:kern w:val="2"/>
                      <w:sz w:val="18"/>
                      <w:szCs w:val="18"/>
                      <w:highlight w:val="none"/>
                      <w:lang w:val="en-US" w:eastAsia="zh-CN" w:bidi="ar-SA"/>
                    </w:rPr>
                  </w:pPr>
                  <w:r>
                    <w:rPr>
                      <w:rFonts w:hint="default"/>
                      <w:color w:val="auto"/>
                      <w:highlight w:val="none"/>
                    </w:rPr>
                    <w:t>9</w:t>
                  </w:r>
                </w:p>
              </w:tc>
              <w:tc>
                <w:tcPr>
                  <w:tcW w:w="2734" w:type="dxa"/>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rPr>
                    <w:t>易门铜业水渣场、原料堆场、化验室、粉煤堆场环保治理项目</w:t>
                  </w:r>
                </w:p>
              </w:tc>
              <w:tc>
                <w:tcPr>
                  <w:tcW w:w="2159" w:type="dxa"/>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rPr>
                    <w:t>易环审〔2019〕6号</w:t>
                  </w:r>
                </w:p>
              </w:tc>
              <w:tc>
                <w:tcPr>
                  <w:tcW w:w="2247" w:type="dxa"/>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rPr>
                    <w:t>2020年08月25日通过自主验收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54" w:type="dxa"/>
                  <w:tcBorders>
                    <w:tl2br w:val="nil"/>
                    <w:tr2bl w:val="nil"/>
                  </w:tcBorders>
                  <w:shd w:val="clear" w:color="auto" w:fill="auto"/>
                  <w:noWrap w:val="0"/>
                  <w:vAlign w:val="center"/>
                </w:tcPr>
                <w:p>
                  <w:pPr>
                    <w:pStyle w:val="34"/>
                    <w:bidi w:val="0"/>
                    <w:ind w:left="0" w:leftChars="0" w:firstLine="0" w:firstLineChars="0"/>
                    <w:rPr>
                      <w:rFonts w:hint="default" w:ascii="Times New Roman" w:hAnsi="Times New Roman" w:eastAsia="宋体" w:cstheme="minorBidi"/>
                      <w:color w:val="auto"/>
                      <w:kern w:val="2"/>
                      <w:sz w:val="18"/>
                      <w:szCs w:val="18"/>
                      <w:highlight w:val="none"/>
                      <w:lang w:val="en-US" w:eastAsia="zh-CN" w:bidi="ar-SA"/>
                    </w:rPr>
                  </w:pPr>
                  <w:r>
                    <w:rPr>
                      <w:rFonts w:hint="default"/>
                      <w:color w:val="auto"/>
                      <w:highlight w:val="none"/>
                    </w:rPr>
                    <w:t>10</w:t>
                  </w:r>
                </w:p>
              </w:tc>
              <w:tc>
                <w:tcPr>
                  <w:tcW w:w="2734" w:type="dxa"/>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rPr>
                    <w:t>易门铜业新建初期雨水收集池项目</w:t>
                  </w:r>
                </w:p>
              </w:tc>
              <w:tc>
                <w:tcPr>
                  <w:tcW w:w="2159" w:type="dxa"/>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rPr>
                    <w:t>易环审〔2020〕10号</w:t>
                  </w:r>
                </w:p>
              </w:tc>
              <w:tc>
                <w:tcPr>
                  <w:tcW w:w="2247" w:type="dxa"/>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rPr>
                    <w:t>2020年08月25日通过自主验收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54" w:type="dxa"/>
                  <w:tcBorders>
                    <w:tl2br w:val="nil"/>
                    <w:tr2bl w:val="nil"/>
                  </w:tcBorders>
                  <w:shd w:val="clear" w:color="auto" w:fill="auto"/>
                  <w:noWrap w:val="0"/>
                  <w:vAlign w:val="center"/>
                </w:tcPr>
                <w:p>
                  <w:pPr>
                    <w:pStyle w:val="34"/>
                    <w:bidi w:val="0"/>
                    <w:ind w:left="0" w:leftChars="0" w:firstLine="0" w:firstLineChars="0"/>
                    <w:rPr>
                      <w:rFonts w:hint="default" w:ascii="Times New Roman" w:hAnsi="Times New Roman" w:eastAsia="宋体" w:cstheme="minorBidi"/>
                      <w:color w:val="auto"/>
                      <w:kern w:val="2"/>
                      <w:sz w:val="18"/>
                      <w:szCs w:val="18"/>
                      <w:highlight w:val="none"/>
                      <w:lang w:val="en-US" w:eastAsia="zh-CN" w:bidi="ar-SA"/>
                    </w:rPr>
                  </w:pPr>
                  <w:r>
                    <w:rPr>
                      <w:rFonts w:hint="default"/>
                      <w:color w:val="auto"/>
                      <w:highlight w:val="none"/>
                    </w:rPr>
                    <w:t>11</w:t>
                  </w:r>
                </w:p>
              </w:tc>
              <w:tc>
                <w:tcPr>
                  <w:tcW w:w="2734" w:type="dxa"/>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rPr>
                    <w:t>易门铜业环集烟气脱硫完善项目</w:t>
                  </w:r>
                </w:p>
              </w:tc>
              <w:tc>
                <w:tcPr>
                  <w:tcW w:w="2159" w:type="dxa"/>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rPr>
                    <w:t>易环审〔2020〕34号</w:t>
                  </w:r>
                </w:p>
              </w:tc>
              <w:tc>
                <w:tcPr>
                  <w:tcW w:w="2247" w:type="dxa"/>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rPr>
                    <w:t>2021年06月23日通过自主验收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54" w:type="dxa"/>
                  <w:tcBorders>
                    <w:tl2br w:val="nil"/>
                    <w:tr2bl w:val="nil"/>
                  </w:tcBorders>
                  <w:shd w:val="clear" w:color="auto" w:fill="auto"/>
                  <w:noWrap w:val="0"/>
                  <w:vAlign w:val="center"/>
                </w:tcPr>
                <w:p>
                  <w:pPr>
                    <w:pStyle w:val="34"/>
                    <w:bidi w:val="0"/>
                    <w:ind w:left="0" w:leftChars="0" w:firstLine="0" w:firstLineChars="0"/>
                    <w:rPr>
                      <w:rFonts w:hint="default" w:ascii="Times New Roman" w:hAnsi="Times New Roman" w:eastAsia="宋体" w:cstheme="minorBidi"/>
                      <w:color w:val="auto"/>
                      <w:kern w:val="2"/>
                      <w:sz w:val="18"/>
                      <w:szCs w:val="18"/>
                      <w:highlight w:val="none"/>
                      <w:lang w:val="en-US" w:eastAsia="zh-CN" w:bidi="ar-SA"/>
                    </w:rPr>
                  </w:pPr>
                  <w:r>
                    <w:rPr>
                      <w:rFonts w:hint="default"/>
                      <w:color w:val="auto"/>
                      <w:highlight w:val="none"/>
                    </w:rPr>
                    <w:t>12</w:t>
                  </w:r>
                </w:p>
              </w:tc>
              <w:tc>
                <w:tcPr>
                  <w:tcW w:w="2734" w:type="dxa"/>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rPr>
                    <w:t>易门铜业底吹炉、转炉柴油临时储存点隐患治理建设项目</w:t>
                  </w:r>
                </w:p>
              </w:tc>
              <w:tc>
                <w:tcPr>
                  <w:tcW w:w="2159" w:type="dxa"/>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rPr>
                    <w:t>易环审〔2020〕53号</w:t>
                  </w:r>
                </w:p>
              </w:tc>
              <w:tc>
                <w:tcPr>
                  <w:tcW w:w="2247" w:type="dxa"/>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rPr>
                    <w:t>2021年06月09日通过自主验收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54" w:type="dxa"/>
                  <w:tcBorders>
                    <w:tl2br w:val="nil"/>
                    <w:tr2bl w:val="nil"/>
                  </w:tcBorders>
                  <w:shd w:val="clear" w:color="auto" w:fill="auto"/>
                  <w:noWrap w:val="0"/>
                  <w:vAlign w:val="center"/>
                </w:tcPr>
                <w:p>
                  <w:pPr>
                    <w:pStyle w:val="34"/>
                    <w:bidi w:val="0"/>
                    <w:ind w:left="0" w:leftChars="0" w:firstLine="0" w:firstLineChars="0"/>
                    <w:rPr>
                      <w:rFonts w:hint="default" w:ascii="Times New Roman" w:hAnsi="Times New Roman" w:eastAsia="宋体" w:cstheme="minorBidi"/>
                      <w:color w:val="auto"/>
                      <w:kern w:val="2"/>
                      <w:sz w:val="18"/>
                      <w:szCs w:val="18"/>
                      <w:highlight w:val="none"/>
                      <w:lang w:val="en-US" w:eastAsia="zh-CN" w:bidi="ar-SA"/>
                    </w:rPr>
                  </w:pPr>
                  <w:r>
                    <w:rPr>
                      <w:rFonts w:hint="default"/>
                      <w:color w:val="auto"/>
                      <w:highlight w:val="none"/>
                    </w:rPr>
                    <w:t>13</w:t>
                  </w:r>
                </w:p>
              </w:tc>
              <w:tc>
                <w:tcPr>
                  <w:tcW w:w="2734" w:type="dxa"/>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rPr>
                    <w:t>铜火法冶炼渣资源化增值化利用关键技术研究扩大试验项目</w:t>
                  </w:r>
                </w:p>
              </w:tc>
              <w:tc>
                <w:tcPr>
                  <w:tcW w:w="2159" w:type="dxa"/>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rPr>
                    <w:t>易环审〔2022〕27号</w:t>
                  </w:r>
                </w:p>
              </w:tc>
              <w:tc>
                <w:tcPr>
                  <w:tcW w:w="2247" w:type="dxa"/>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rPr>
                    <w:t>2023年02月28日通过自主验收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54" w:type="dxa"/>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14</w:t>
                  </w:r>
                </w:p>
              </w:tc>
              <w:tc>
                <w:tcPr>
                  <w:tcW w:w="2734" w:type="dxa"/>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rPr>
                    <w:t>易门铜业铜冶炼烟气净化酸性废水处理提升改造项目</w:t>
                  </w:r>
                </w:p>
              </w:tc>
              <w:tc>
                <w:tcPr>
                  <w:tcW w:w="2159" w:type="dxa"/>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rPr>
                    <w:t>易环审〔2023〕9号</w:t>
                  </w:r>
                </w:p>
              </w:tc>
              <w:tc>
                <w:tcPr>
                  <w:tcW w:w="2247" w:type="dxa"/>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rPr>
                    <w:t>2023年11月14日通过自主验收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54" w:type="dxa"/>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15</w:t>
                  </w:r>
                </w:p>
              </w:tc>
              <w:tc>
                <w:tcPr>
                  <w:tcW w:w="2734"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易门铜业阳极精炼节能减排项目</w:t>
                  </w:r>
                </w:p>
              </w:tc>
              <w:tc>
                <w:tcPr>
                  <w:tcW w:w="2159"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云环审〔202</w:t>
                  </w:r>
                  <w:r>
                    <w:rPr>
                      <w:rFonts w:hint="eastAsia"/>
                      <w:color w:val="auto"/>
                      <w:highlight w:val="none"/>
                      <w:lang w:val="en-US" w:eastAsia="zh-CN"/>
                    </w:rPr>
                    <w:t>4</w:t>
                  </w:r>
                  <w:r>
                    <w:rPr>
                      <w:rFonts w:hint="default"/>
                      <w:color w:val="auto"/>
                      <w:highlight w:val="none"/>
                    </w:rPr>
                    <w:t>〕1-13号</w:t>
                  </w:r>
                </w:p>
              </w:tc>
              <w:tc>
                <w:tcPr>
                  <w:tcW w:w="2247"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2025年11月5日通过自主验收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54" w:type="dxa"/>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16</w:t>
                  </w:r>
                </w:p>
              </w:tc>
              <w:tc>
                <w:tcPr>
                  <w:tcW w:w="2734" w:type="dxa"/>
                  <w:tcBorders>
                    <w:tl2br w:val="nil"/>
                    <w:tr2bl w:val="nil"/>
                  </w:tcBorders>
                  <w:noWrap w:val="0"/>
                  <w:vAlign w:val="center"/>
                </w:tcPr>
                <w:p>
                  <w:pPr>
                    <w:pStyle w:val="34"/>
                    <w:bidi w:val="0"/>
                    <w:rPr>
                      <w:rFonts w:hint="default"/>
                      <w:color w:val="auto"/>
                      <w:highlight w:val="none"/>
                    </w:rPr>
                  </w:pPr>
                  <w:r>
                    <w:rPr>
                      <w:rFonts w:hint="default"/>
                      <w:color w:val="auto"/>
                      <w:highlight w:val="none"/>
                    </w:rPr>
                    <w:t>易门铜业酸性废水无钠硫化改造提升项目</w:t>
                  </w:r>
                </w:p>
              </w:tc>
              <w:tc>
                <w:tcPr>
                  <w:tcW w:w="2159" w:type="dxa"/>
                  <w:tcBorders>
                    <w:tl2br w:val="nil"/>
                    <w:tr2bl w:val="nil"/>
                  </w:tcBorders>
                  <w:noWrap w:val="0"/>
                  <w:vAlign w:val="center"/>
                </w:tcPr>
                <w:p>
                  <w:pPr>
                    <w:pStyle w:val="34"/>
                    <w:bidi w:val="0"/>
                    <w:rPr>
                      <w:rFonts w:hint="default"/>
                      <w:color w:val="auto"/>
                      <w:highlight w:val="none"/>
                    </w:rPr>
                  </w:pPr>
                  <w:r>
                    <w:rPr>
                      <w:rFonts w:hint="eastAsia"/>
                      <w:color w:val="auto"/>
                      <w:highlight w:val="none"/>
                      <w:lang w:val="en-US" w:eastAsia="zh-CN"/>
                    </w:rPr>
                    <w:t>玉</w:t>
                  </w:r>
                  <w:r>
                    <w:rPr>
                      <w:rFonts w:hint="default"/>
                      <w:color w:val="auto"/>
                      <w:highlight w:val="none"/>
                    </w:rPr>
                    <w:t>环审〔202</w:t>
                  </w:r>
                  <w:r>
                    <w:rPr>
                      <w:rFonts w:hint="eastAsia"/>
                      <w:color w:val="auto"/>
                      <w:highlight w:val="none"/>
                      <w:lang w:val="en-US" w:eastAsia="zh-CN"/>
                    </w:rPr>
                    <w:t>5</w:t>
                  </w:r>
                  <w:r>
                    <w:rPr>
                      <w:rFonts w:hint="default"/>
                      <w:color w:val="auto"/>
                      <w:highlight w:val="none"/>
                    </w:rPr>
                    <w:t>〕1-1</w:t>
                  </w:r>
                  <w:r>
                    <w:rPr>
                      <w:rFonts w:hint="eastAsia"/>
                      <w:color w:val="auto"/>
                      <w:highlight w:val="none"/>
                      <w:lang w:val="en-US" w:eastAsia="zh-CN"/>
                    </w:rPr>
                    <w:t>1</w:t>
                  </w:r>
                  <w:r>
                    <w:rPr>
                      <w:rFonts w:hint="default"/>
                      <w:color w:val="auto"/>
                      <w:highlight w:val="none"/>
                    </w:rPr>
                    <w:t>号</w:t>
                  </w:r>
                </w:p>
              </w:tc>
              <w:tc>
                <w:tcPr>
                  <w:tcW w:w="2247" w:type="dxa"/>
                  <w:tcBorders>
                    <w:tl2br w:val="nil"/>
                    <w:tr2bl w:val="nil"/>
                  </w:tcBorders>
                  <w:noWrap w:val="0"/>
                  <w:vAlign w:val="center"/>
                </w:tcPr>
                <w:p>
                  <w:pPr>
                    <w:pStyle w:val="34"/>
                    <w:bidi w:val="0"/>
                    <w:rPr>
                      <w:rFonts w:hint="eastAsia" w:eastAsia="宋体"/>
                      <w:color w:val="auto"/>
                      <w:highlight w:val="none"/>
                      <w:lang w:val="en-US" w:eastAsia="zh-CN"/>
                    </w:rPr>
                  </w:pPr>
                  <w:r>
                    <w:rPr>
                      <w:rFonts w:hint="eastAsia"/>
                      <w:color w:val="auto"/>
                      <w:highlight w:val="none"/>
                      <w:lang w:val="en-US" w:eastAsia="zh-CN"/>
                    </w:rPr>
                    <w:t>暂未验收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794" w:type="dxa"/>
                  <w:gridSpan w:val="4"/>
                  <w:tcBorders>
                    <w:tl2br w:val="nil"/>
                    <w:tr2bl w:val="nil"/>
                  </w:tcBorders>
                  <w:noWrap w:val="0"/>
                  <w:vAlign w:val="center"/>
                </w:tcPr>
                <w:p>
                  <w:pPr>
                    <w:pStyle w:val="34"/>
                    <w:bidi w:val="0"/>
                    <w:jc w:val="left"/>
                    <w:rPr>
                      <w:rFonts w:hint="default" w:eastAsia="宋体"/>
                      <w:color w:val="auto"/>
                      <w:highlight w:val="none"/>
                      <w:lang w:val="en-US" w:eastAsia="zh-CN"/>
                    </w:rPr>
                  </w:pPr>
                  <w:r>
                    <w:rPr>
                      <w:rFonts w:hint="eastAsia"/>
                      <w:color w:val="auto"/>
                      <w:highlight w:val="none"/>
                      <w:lang w:val="en-US" w:eastAsia="zh-CN"/>
                    </w:rPr>
                    <w:t>备注：现有6500Nm³/h制氧系统包含在“易门铜业有限公司3万吨年阳极铜扩建工程”内，属于该工程的配套公用工程，未单独进行环评。</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color w:val="auto"/>
                <w:highlight w:val="none"/>
                <w:lang w:val="en-US" w:eastAsia="zh-CN"/>
              </w:rPr>
            </w:pPr>
            <w:r>
              <w:rPr>
                <w:rFonts w:hint="eastAsia" w:ascii="黑体" w:hAnsi="黑体" w:eastAsia="黑体" w:cs="黑体"/>
                <w:color w:val="auto"/>
                <w:highlight w:val="none"/>
                <w:lang w:val="en-US" w:eastAsia="zh-CN"/>
              </w:rPr>
              <w:t>3、易门铜业有限公司现有制氧站概况</w:t>
            </w:r>
          </w:p>
          <w:p>
            <w:pPr>
              <w:bidi w:val="0"/>
              <w:rPr>
                <w:color w:val="auto"/>
                <w:highlight w:val="none"/>
              </w:rPr>
            </w:pPr>
            <w:r>
              <w:rPr>
                <w:rFonts w:hint="default"/>
                <w:color w:val="auto"/>
                <w:highlight w:val="none"/>
              </w:rPr>
              <w:t>现有制氧站</w:t>
            </w:r>
            <w:r>
              <w:rPr>
                <w:rFonts w:hint="eastAsia"/>
                <w:color w:val="auto"/>
                <w:highlight w:val="none"/>
                <w:lang w:val="en-US" w:eastAsia="zh-CN"/>
              </w:rPr>
              <w:t>均</w:t>
            </w:r>
            <w:r>
              <w:rPr>
                <w:rFonts w:hint="default"/>
                <w:color w:val="auto"/>
                <w:highlight w:val="none"/>
              </w:rPr>
              <w:t>位于易门铜业</w:t>
            </w:r>
            <w:r>
              <w:rPr>
                <w:rFonts w:hint="eastAsia"/>
                <w:color w:val="auto"/>
                <w:highlight w:val="none"/>
                <w:lang w:val="en-US" w:eastAsia="zh-CN"/>
              </w:rPr>
              <w:t>有限公司</w:t>
            </w:r>
            <w:r>
              <w:rPr>
                <w:rFonts w:hint="default"/>
                <w:color w:val="auto"/>
                <w:highlight w:val="none"/>
              </w:rPr>
              <w:t>厂区内，设</w:t>
            </w:r>
            <w:r>
              <w:rPr>
                <w:rFonts w:hint="eastAsia"/>
                <w:color w:val="auto"/>
                <w:highlight w:val="none"/>
                <w:lang w:val="en-US" w:eastAsia="zh-CN"/>
              </w:rPr>
              <w:t>置</w:t>
            </w:r>
            <w:r>
              <w:rPr>
                <w:rFonts w:hint="default"/>
                <w:color w:val="auto"/>
                <w:highlight w:val="none"/>
              </w:rPr>
              <w:t>有三套制氧装置，基本情况如下：</w:t>
            </w:r>
          </w:p>
          <w:p>
            <w:pPr>
              <w:pStyle w:val="35"/>
              <w:bidi w:val="0"/>
              <w:rPr>
                <w:rFonts w:hint="default"/>
                <w:color w:val="auto"/>
                <w:highlight w:val="none"/>
                <w:lang w:val="en-US" w:eastAsia="zh-CN"/>
              </w:rPr>
            </w:pPr>
            <w:r>
              <w:rPr>
                <w:rFonts w:hint="eastAsia"/>
                <w:color w:val="auto"/>
                <w:highlight w:val="none"/>
                <w:lang w:val="en-US" w:eastAsia="zh-CN"/>
              </w:rPr>
              <w:t>表2-12  易门铜业有限公司现有制氧站情况一览表</w:t>
            </w:r>
          </w:p>
          <w:tbl>
            <w:tblPr>
              <w:tblStyle w:val="24"/>
              <w:tblW w:w="783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0"/>
              <w:gridCol w:w="1687"/>
              <w:gridCol w:w="1174"/>
              <w:gridCol w:w="1277"/>
              <w:gridCol w:w="2100"/>
              <w:gridCol w:w="10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tcBorders>
                    <w:tl2br w:val="nil"/>
                    <w:tr2bl w:val="nil"/>
                  </w:tcBorders>
                  <w:vAlign w:val="center"/>
                </w:tcPr>
                <w:p>
                  <w:pPr>
                    <w:pStyle w:val="34"/>
                    <w:bidi w:val="0"/>
                    <w:rPr>
                      <w:rFonts w:hint="eastAsia"/>
                      <w:color w:val="auto"/>
                      <w:highlight w:val="none"/>
                      <w:lang w:val="en-US" w:eastAsia="zh-CN"/>
                    </w:rPr>
                  </w:pPr>
                  <w:r>
                    <w:rPr>
                      <w:rFonts w:hint="eastAsia"/>
                      <w:color w:val="auto"/>
                      <w:highlight w:val="none"/>
                      <w:lang w:val="en-US" w:eastAsia="zh-CN"/>
                    </w:rPr>
                    <w:t>序号</w:t>
                  </w:r>
                </w:p>
              </w:tc>
              <w:tc>
                <w:tcPr>
                  <w:tcW w:w="1687" w:type="dxa"/>
                  <w:tcBorders>
                    <w:tl2br w:val="nil"/>
                    <w:tr2bl w:val="nil"/>
                  </w:tcBorders>
                  <w:vAlign w:val="center"/>
                </w:tcPr>
                <w:p>
                  <w:pPr>
                    <w:pStyle w:val="34"/>
                    <w:bidi w:val="0"/>
                    <w:rPr>
                      <w:rFonts w:hint="default"/>
                      <w:color w:val="auto"/>
                      <w:highlight w:val="none"/>
                    </w:rPr>
                  </w:pPr>
                  <w:r>
                    <w:rPr>
                      <w:rFonts w:hint="default"/>
                      <w:color w:val="auto"/>
                      <w:highlight w:val="none"/>
                    </w:rPr>
                    <w:t>装置名称</w:t>
                  </w:r>
                </w:p>
              </w:tc>
              <w:tc>
                <w:tcPr>
                  <w:tcW w:w="1174" w:type="dxa"/>
                  <w:tcBorders>
                    <w:tl2br w:val="nil"/>
                    <w:tr2bl w:val="nil"/>
                  </w:tcBorders>
                  <w:vAlign w:val="center"/>
                </w:tcPr>
                <w:p>
                  <w:pPr>
                    <w:pStyle w:val="34"/>
                    <w:bidi w:val="0"/>
                    <w:rPr>
                      <w:rFonts w:hint="eastAsia"/>
                      <w:color w:val="auto"/>
                      <w:highlight w:val="none"/>
                      <w:lang w:eastAsia="zh-CN"/>
                    </w:rPr>
                  </w:pPr>
                  <w:r>
                    <w:rPr>
                      <w:rFonts w:hint="eastAsia"/>
                      <w:color w:val="auto"/>
                      <w:highlight w:val="none"/>
                      <w:lang w:val="en-US" w:eastAsia="zh-CN"/>
                    </w:rPr>
                    <w:t>生产规模</w:t>
                  </w:r>
                </w:p>
              </w:tc>
              <w:tc>
                <w:tcPr>
                  <w:tcW w:w="1277" w:type="dxa"/>
                  <w:tcBorders>
                    <w:tl2br w:val="nil"/>
                    <w:tr2bl w:val="nil"/>
                  </w:tcBorders>
                  <w:vAlign w:val="center"/>
                </w:tcPr>
                <w:p>
                  <w:pPr>
                    <w:pStyle w:val="34"/>
                    <w:bidi w:val="0"/>
                    <w:rPr>
                      <w:rFonts w:hint="default"/>
                      <w:color w:val="auto"/>
                      <w:highlight w:val="none"/>
                    </w:rPr>
                  </w:pPr>
                  <w:r>
                    <w:rPr>
                      <w:color w:val="auto"/>
                      <w:highlight w:val="none"/>
                    </w:rPr>
                    <w:t>工艺类型</w:t>
                  </w:r>
                </w:p>
              </w:tc>
              <w:tc>
                <w:tcPr>
                  <w:tcW w:w="2100" w:type="dxa"/>
                  <w:tcBorders>
                    <w:tl2br w:val="nil"/>
                    <w:tr2bl w:val="nil"/>
                  </w:tcBorders>
                  <w:vAlign w:val="center"/>
                </w:tcPr>
                <w:p>
                  <w:pPr>
                    <w:pStyle w:val="34"/>
                    <w:bidi w:val="0"/>
                    <w:rPr>
                      <w:rFonts w:hint="default"/>
                      <w:color w:val="auto"/>
                      <w:highlight w:val="none"/>
                    </w:rPr>
                  </w:pPr>
                  <w:r>
                    <w:rPr>
                      <w:rFonts w:hint="eastAsia"/>
                      <w:color w:val="auto"/>
                      <w:highlight w:val="none"/>
                      <w:lang w:val="en-US" w:eastAsia="zh-CN"/>
                    </w:rPr>
                    <w:t>实际制</w:t>
                  </w:r>
                  <w:r>
                    <w:rPr>
                      <w:color w:val="auto"/>
                      <w:highlight w:val="none"/>
                    </w:rPr>
                    <w:t>氧能力（Nm</w:t>
                  </w:r>
                  <w:r>
                    <w:rPr>
                      <w:rFonts w:hint="eastAsia"/>
                      <w:color w:val="auto"/>
                      <w:highlight w:val="none"/>
                      <w:vertAlign w:val="superscript"/>
                      <w:lang w:val="en-US" w:eastAsia="zh-CN"/>
                    </w:rPr>
                    <w:t>3</w:t>
                  </w:r>
                  <w:r>
                    <w:rPr>
                      <w:color w:val="auto"/>
                      <w:highlight w:val="none"/>
                    </w:rPr>
                    <w:t>/h）</w:t>
                  </w:r>
                </w:p>
              </w:tc>
              <w:tc>
                <w:tcPr>
                  <w:tcW w:w="1001" w:type="dxa"/>
                  <w:tcBorders>
                    <w:tl2br w:val="nil"/>
                    <w:tr2bl w:val="nil"/>
                  </w:tcBorders>
                  <w:vAlign w:val="center"/>
                </w:tcPr>
                <w:p>
                  <w:pPr>
                    <w:pStyle w:val="34"/>
                    <w:bidi w:val="0"/>
                    <w:rPr>
                      <w:rFonts w:hint="default"/>
                      <w:color w:val="auto"/>
                      <w:highlight w:val="none"/>
                      <w:lang w:val="en-US" w:eastAsia="zh-CN"/>
                    </w:rPr>
                  </w:pPr>
                  <w:r>
                    <w:rPr>
                      <w:color w:val="auto"/>
                      <w:highlight w:val="none"/>
                    </w:rPr>
                    <w:t>纯度</w:t>
                  </w:r>
                  <w:r>
                    <w:rPr>
                      <w:rFonts w:hint="eastAsia"/>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tcBorders>
                    <w:tl2br w:val="nil"/>
                    <w:tr2bl w:val="nil"/>
                  </w:tcBorders>
                  <w:vAlign w:val="center"/>
                </w:tcPr>
                <w:p>
                  <w:pPr>
                    <w:pStyle w:val="34"/>
                    <w:bidi w:val="0"/>
                    <w:rPr>
                      <w:rFonts w:hint="eastAsia"/>
                      <w:color w:val="auto"/>
                      <w:highlight w:val="none"/>
                      <w:lang w:val="en-US" w:eastAsia="zh-CN"/>
                    </w:rPr>
                  </w:pPr>
                  <w:r>
                    <w:rPr>
                      <w:rFonts w:hint="eastAsia"/>
                      <w:color w:val="auto"/>
                      <w:highlight w:val="none"/>
                      <w:lang w:val="en-US" w:eastAsia="zh-CN"/>
                    </w:rPr>
                    <w:t>1</w:t>
                  </w:r>
                </w:p>
              </w:tc>
              <w:tc>
                <w:tcPr>
                  <w:tcW w:w="1687" w:type="dxa"/>
                  <w:tcBorders>
                    <w:tl2br w:val="nil"/>
                    <w:tr2bl w:val="nil"/>
                  </w:tcBorders>
                  <w:vAlign w:val="center"/>
                </w:tcPr>
                <w:p>
                  <w:pPr>
                    <w:pStyle w:val="34"/>
                    <w:bidi w:val="0"/>
                    <w:rPr>
                      <w:rFonts w:hint="default"/>
                      <w:color w:val="auto"/>
                      <w:highlight w:val="none"/>
                    </w:rPr>
                  </w:pPr>
                  <w:r>
                    <w:rPr>
                      <w:color w:val="auto"/>
                      <w:highlight w:val="none"/>
                    </w:rPr>
                    <w:t>深冷制氧装置</w:t>
                  </w:r>
                </w:p>
              </w:tc>
              <w:tc>
                <w:tcPr>
                  <w:tcW w:w="1174" w:type="dxa"/>
                  <w:tcBorders>
                    <w:tl2br w:val="nil"/>
                    <w:tr2bl w:val="nil"/>
                  </w:tcBorders>
                  <w:vAlign w:val="center"/>
                </w:tcPr>
                <w:p>
                  <w:pPr>
                    <w:pStyle w:val="34"/>
                    <w:bidi w:val="0"/>
                    <w:rPr>
                      <w:rFonts w:hint="default"/>
                      <w:color w:val="auto"/>
                      <w:highlight w:val="none"/>
                    </w:rPr>
                  </w:pPr>
                  <w:r>
                    <w:rPr>
                      <w:rFonts w:hint="default"/>
                      <w:color w:val="auto"/>
                      <w:highlight w:val="none"/>
                    </w:rPr>
                    <w:t>4000Nm³/h</w:t>
                  </w:r>
                </w:p>
              </w:tc>
              <w:tc>
                <w:tcPr>
                  <w:tcW w:w="1277" w:type="dxa"/>
                  <w:tcBorders>
                    <w:tl2br w:val="nil"/>
                    <w:tr2bl w:val="nil"/>
                  </w:tcBorders>
                  <w:vAlign w:val="center"/>
                </w:tcPr>
                <w:p>
                  <w:pPr>
                    <w:pStyle w:val="34"/>
                    <w:bidi w:val="0"/>
                    <w:rPr>
                      <w:rFonts w:hint="default"/>
                      <w:color w:val="auto"/>
                      <w:highlight w:val="none"/>
                    </w:rPr>
                  </w:pPr>
                  <w:r>
                    <w:rPr>
                      <w:color w:val="auto"/>
                      <w:highlight w:val="none"/>
                    </w:rPr>
                    <w:t>深冷空分</w:t>
                  </w:r>
                </w:p>
              </w:tc>
              <w:tc>
                <w:tcPr>
                  <w:tcW w:w="2100" w:type="dxa"/>
                  <w:tcBorders>
                    <w:tl2br w:val="nil"/>
                    <w:tr2bl w:val="nil"/>
                  </w:tcBorders>
                  <w:vAlign w:val="center"/>
                </w:tcPr>
                <w:p>
                  <w:pPr>
                    <w:pStyle w:val="34"/>
                    <w:bidi w:val="0"/>
                    <w:rPr>
                      <w:rFonts w:hint="default"/>
                      <w:color w:val="auto"/>
                      <w:highlight w:val="none"/>
                    </w:rPr>
                  </w:pPr>
                  <w:r>
                    <w:rPr>
                      <w:color w:val="auto"/>
                      <w:highlight w:val="none"/>
                    </w:rPr>
                    <w:t>约4000</w:t>
                  </w:r>
                </w:p>
              </w:tc>
              <w:tc>
                <w:tcPr>
                  <w:tcW w:w="1001" w:type="dxa"/>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tcBorders>
                    <w:tl2br w:val="nil"/>
                    <w:tr2bl w:val="nil"/>
                  </w:tcBorders>
                  <w:vAlign w:val="center"/>
                </w:tcPr>
                <w:p>
                  <w:pPr>
                    <w:pStyle w:val="34"/>
                    <w:bidi w:val="0"/>
                    <w:rPr>
                      <w:rFonts w:hint="eastAsia"/>
                      <w:color w:val="auto"/>
                      <w:highlight w:val="none"/>
                      <w:lang w:val="en-US" w:eastAsia="zh-CN"/>
                    </w:rPr>
                  </w:pPr>
                  <w:r>
                    <w:rPr>
                      <w:rFonts w:hint="eastAsia"/>
                      <w:color w:val="auto"/>
                      <w:highlight w:val="none"/>
                      <w:lang w:val="en-US" w:eastAsia="zh-CN"/>
                    </w:rPr>
                    <w:t>2</w:t>
                  </w:r>
                </w:p>
              </w:tc>
              <w:tc>
                <w:tcPr>
                  <w:tcW w:w="1687" w:type="dxa"/>
                  <w:tcBorders>
                    <w:tl2br w:val="nil"/>
                    <w:tr2bl w:val="nil"/>
                  </w:tcBorders>
                  <w:vAlign w:val="center"/>
                </w:tcPr>
                <w:p>
                  <w:pPr>
                    <w:pStyle w:val="34"/>
                    <w:bidi w:val="0"/>
                    <w:rPr>
                      <w:rFonts w:hint="eastAsia" w:eastAsia="宋体"/>
                      <w:color w:val="auto"/>
                      <w:highlight w:val="none"/>
                      <w:lang w:eastAsia="zh-CN"/>
                    </w:rPr>
                  </w:pPr>
                  <w:r>
                    <w:rPr>
                      <w:color w:val="auto"/>
                      <w:highlight w:val="none"/>
                    </w:rPr>
                    <w:t>变压吸附制氧装置</w:t>
                  </w:r>
                  <w:r>
                    <w:rPr>
                      <w:rFonts w:hint="eastAsia"/>
                      <w:color w:val="auto"/>
                      <w:highlight w:val="none"/>
                      <w:lang w:eastAsia="zh-CN"/>
                    </w:rPr>
                    <w:t>（</w:t>
                  </w:r>
                  <w:r>
                    <w:rPr>
                      <w:rFonts w:hint="eastAsia"/>
                      <w:color w:val="auto"/>
                      <w:highlight w:val="none"/>
                      <w:lang w:val="en-US" w:eastAsia="zh-CN"/>
                    </w:rPr>
                    <w:t>本次改建工程</w:t>
                  </w:r>
                  <w:r>
                    <w:rPr>
                      <w:rFonts w:hint="eastAsia"/>
                      <w:color w:val="auto"/>
                      <w:highlight w:val="none"/>
                      <w:lang w:eastAsia="zh-CN"/>
                    </w:rPr>
                    <w:t>）</w:t>
                  </w:r>
                </w:p>
              </w:tc>
              <w:tc>
                <w:tcPr>
                  <w:tcW w:w="1174" w:type="dxa"/>
                  <w:tcBorders>
                    <w:tl2br w:val="nil"/>
                    <w:tr2bl w:val="nil"/>
                  </w:tcBorders>
                  <w:shd w:val="clear" w:color="auto" w:fill="auto"/>
                  <w:vAlign w:val="center"/>
                </w:tcPr>
                <w:p>
                  <w:pPr>
                    <w:pStyle w:val="34"/>
                    <w:bidi w:val="0"/>
                    <w:rPr>
                      <w:rFonts w:hint="default"/>
                      <w:color w:val="auto"/>
                      <w:highlight w:val="none"/>
                      <w:lang w:val="en-US" w:eastAsia="zh-CN"/>
                    </w:rPr>
                  </w:pPr>
                  <w:r>
                    <w:rPr>
                      <w:rFonts w:hint="eastAsia"/>
                      <w:color w:val="auto"/>
                      <w:highlight w:val="none"/>
                      <w:lang w:val="en-US" w:eastAsia="zh-CN"/>
                    </w:rPr>
                    <w:t>65</w:t>
                  </w:r>
                  <w:r>
                    <w:rPr>
                      <w:rFonts w:hint="default"/>
                      <w:color w:val="auto"/>
                      <w:highlight w:val="none"/>
                    </w:rPr>
                    <w:t>00Nm³/h</w:t>
                  </w:r>
                </w:p>
              </w:tc>
              <w:tc>
                <w:tcPr>
                  <w:tcW w:w="1277" w:type="dxa"/>
                  <w:tcBorders>
                    <w:tl2br w:val="nil"/>
                    <w:tr2bl w:val="nil"/>
                  </w:tcBorders>
                  <w:vAlign w:val="center"/>
                </w:tcPr>
                <w:p>
                  <w:pPr>
                    <w:pStyle w:val="34"/>
                    <w:bidi w:val="0"/>
                    <w:rPr>
                      <w:rFonts w:hint="default"/>
                      <w:color w:val="auto"/>
                      <w:highlight w:val="none"/>
                    </w:rPr>
                  </w:pPr>
                  <w:r>
                    <w:rPr>
                      <w:color w:val="auto"/>
                      <w:highlight w:val="none"/>
                    </w:rPr>
                    <w:t>轴向吸附VPSA</w:t>
                  </w:r>
                </w:p>
              </w:tc>
              <w:tc>
                <w:tcPr>
                  <w:tcW w:w="2100" w:type="dxa"/>
                  <w:tcBorders>
                    <w:tl2br w:val="nil"/>
                    <w:tr2bl w:val="nil"/>
                  </w:tcBorders>
                  <w:vAlign w:val="center"/>
                </w:tcPr>
                <w:p>
                  <w:pPr>
                    <w:pStyle w:val="34"/>
                    <w:bidi w:val="0"/>
                    <w:rPr>
                      <w:rFonts w:hint="default"/>
                      <w:color w:val="auto"/>
                      <w:highlight w:val="none"/>
                    </w:rPr>
                  </w:pPr>
                  <w:r>
                    <w:rPr>
                      <w:rFonts w:hint="default"/>
                      <w:color w:val="auto"/>
                      <w:highlight w:val="none"/>
                    </w:rPr>
                    <w:t>约6500（实际衰减）</w:t>
                  </w:r>
                </w:p>
              </w:tc>
              <w:tc>
                <w:tcPr>
                  <w:tcW w:w="1001" w:type="dxa"/>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tcBorders>
                    <w:tl2br w:val="nil"/>
                    <w:tr2bl w:val="nil"/>
                  </w:tcBorders>
                  <w:vAlign w:val="center"/>
                </w:tcPr>
                <w:p>
                  <w:pPr>
                    <w:pStyle w:val="34"/>
                    <w:bidi w:val="0"/>
                    <w:rPr>
                      <w:rFonts w:hint="eastAsia"/>
                      <w:color w:val="auto"/>
                      <w:highlight w:val="none"/>
                      <w:lang w:val="en-US" w:eastAsia="zh-CN"/>
                    </w:rPr>
                  </w:pPr>
                  <w:r>
                    <w:rPr>
                      <w:rFonts w:hint="eastAsia"/>
                      <w:color w:val="auto"/>
                      <w:highlight w:val="none"/>
                      <w:lang w:val="en-US" w:eastAsia="zh-CN"/>
                    </w:rPr>
                    <w:t>3</w:t>
                  </w:r>
                </w:p>
              </w:tc>
              <w:tc>
                <w:tcPr>
                  <w:tcW w:w="1687" w:type="dxa"/>
                  <w:tcBorders>
                    <w:tl2br w:val="nil"/>
                    <w:tr2bl w:val="nil"/>
                  </w:tcBorders>
                  <w:vAlign w:val="center"/>
                </w:tcPr>
                <w:p>
                  <w:pPr>
                    <w:pStyle w:val="34"/>
                    <w:bidi w:val="0"/>
                    <w:rPr>
                      <w:rFonts w:hint="default"/>
                      <w:color w:val="auto"/>
                      <w:highlight w:val="none"/>
                    </w:rPr>
                  </w:pPr>
                  <w:r>
                    <w:rPr>
                      <w:color w:val="auto"/>
                      <w:highlight w:val="none"/>
                    </w:rPr>
                    <w:t>变压吸附制氧装置</w:t>
                  </w:r>
                </w:p>
              </w:tc>
              <w:tc>
                <w:tcPr>
                  <w:tcW w:w="1174" w:type="dxa"/>
                  <w:tcBorders>
                    <w:tl2br w:val="nil"/>
                    <w:tr2bl w:val="nil"/>
                  </w:tcBorders>
                  <w:shd w:val="clear" w:color="auto" w:fill="auto"/>
                  <w:vAlign w:val="center"/>
                </w:tcPr>
                <w:p>
                  <w:pPr>
                    <w:pStyle w:val="34"/>
                    <w:bidi w:val="0"/>
                    <w:rPr>
                      <w:rFonts w:hint="default"/>
                      <w:color w:val="auto"/>
                      <w:highlight w:val="none"/>
                      <w:lang w:val="en-US" w:eastAsia="zh-CN"/>
                    </w:rPr>
                  </w:pPr>
                  <w:r>
                    <w:rPr>
                      <w:rFonts w:hint="eastAsia"/>
                      <w:color w:val="auto"/>
                      <w:highlight w:val="none"/>
                      <w:lang w:val="en-US" w:eastAsia="zh-CN"/>
                    </w:rPr>
                    <w:t>10</w:t>
                  </w:r>
                  <w:r>
                    <w:rPr>
                      <w:rFonts w:hint="default"/>
                      <w:color w:val="auto"/>
                      <w:highlight w:val="none"/>
                    </w:rPr>
                    <w:t>000Nm³/h</w:t>
                  </w:r>
                </w:p>
              </w:tc>
              <w:tc>
                <w:tcPr>
                  <w:tcW w:w="1277" w:type="dxa"/>
                  <w:tcBorders>
                    <w:tl2br w:val="nil"/>
                    <w:tr2bl w:val="nil"/>
                  </w:tcBorders>
                  <w:vAlign w:val="center"/>
                </w:tcPr>
                <w:p>
                  <w:pPr>
                    <w:pStyle w:val="34"/>
                    <w:bidi w:val="0"/>
                    <w:rPr>
                      <w:rFonts w:hint="default"/>
                      <w:color w:val="auto"/>
                      <w:highlight w:val="none"/>
                    </w:rPr>
                  </w:pPr>
                  <w:r>
                    <w:rPr>
                      <w:color w:val="auto"/>
                      <w:highlight w:val="none"/>
                    </w:rPr>
                    <w:t>VPSA</w:t>
                  </w:r>
                </w:p>
              </w:tc>
              <w:tc>
                <w:tcPr>
                  <w:tcW w:w="2100" w:type="dxa"/>
                  <w:tcBorders>
                    <w:tl2br w:val="nil"/>
                    <w:tr2bl w:val="nil"/>
                  </w:tcBorders>
                  <w:vAlign w:val="center"/>
                </w:tcPr>
                <w:p>
                  <w:pPr>
                    <w:pStyle w:val="34"/>
                    <w:bidi w:val="0"/>
                    <w:rPr>
                      <w:rFonts w:hint="default"/>
                      <w:color w:val="auto"/>
                      <w:highlight w:val="none"/>
                    </w:rPr>
                  </w:pPr>
                  <w:r>
                    <w:rPr>
                      <w:color w:val="auto"/>
                      <w:highlight w:val="none"/>
                    </w:rPr>
                    <w:t>10000</w:t>
                  </w:r>
                </w:p>
              </w:tc>
              <w:tc>
                <w:tcPr>
                  <w:tcW w:w="1001" w:type="dxa"/>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90</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color w:val="auto"/>
                <w:highlight w:val="none"/>
              </w:rPr>
            </w:pPr>
            <w:r>
              <w:rPr>
                <w:color w:val="auto"/>
                <w:highlight w:val="none"/>
              </w:rPr>
              <w:t>三套装置合计满负荷生产折合纯氧产量最高约19200Nm³/h（纯度：100%），全厂用氧需求为20900Nm³/h，供氧缺口约1700Nm³/h，目前通过外购液氧汽化方式补充。</w:t>
            </w:r>
          </w:p>
          <w:p>
            <w:pPr>
              <w:bidi w:val="0"/>
              <w:rPr>
                <w:rFonts w:hint="eastAsia" w:ascii="黑体" w:hAnsi="黑体" w:eastAsia="黑体" w:cs="黑体"/>
                <w:color w:val="auto"/>
                <w:highlight w:val="none"/>
              </w:rPr>
            </w:pPr>
            <w:r>
              <w:rPr>
                <w:rFonts w:hint="eastAsia" w:ascii="黑体" w:hAnsi="黑体" w:eastAsia="黑体" w:cs="黑体"/>
                <w:color w:val="auto"/>
                <w:highlight w:val="none"/>
                <w:lang w:val="en-US" w:eastAsia="zh-CN"/>
              </w:rPr>
              <w:t>二、</w:t>
            </w:r>
            <w:r>
              <w:rPr>
                <w:rFonts w:hint="eastAsia" w:ascii="黑体" w:hAnsi="黑体" w:eastAsia="黑体" w:cs="黑体"/>
                <w:color w:val="auto"/>
                <w:highlight w:val="none"/>
              </w:rPr>
              <w:t>现有项目污染物排放情况</w:t>
            </w:r>
          </w:p>
          <w:p>
            <w:pPr>
              <w:bidi w:val="0"/>
              <w:rPr>
                <w:rFonts w:hint="default"/>
                <w:color w:val="auto"/>
                <w:highlight w:val="none"/>
              </w:rPr>
            </w:pPr>
            <w:r>
              <w:rPr>
                <w:rFonts w:hint="eastAsia" w:ascii="黑体" w:hAnsi="黑体" w:eastAsia="黑体" w:cs="黑体"/>
                <w:color w:val="auto"/>
                <w:highlight w:val="none"/>
                <w:lang w:val="en-US" w:eastAsia="zh-CN"/>
              </w:rPr>
              <w:t>1、</w:t>
            </w:r>
            <w:r>
              <w:rPr>
                <w:rFonts w:hint="eastAsia" w:ascii="黑体" w:hAnsi="黑体" w:eastAsia="黑体" w:cs="黑体"/>
                <w:color w:val="auto"/>
                <w:highlight w:val="none"/>
              </w:rPr>
              <w:t>废气</w:t>
            </w:r>
          </w:p>
          <w:p>
            <w:pPr>
              <w:bidi w:val="0"/>
              <w:rPr>
                <w:rFonts w:hint="eastAsia"/>
                <w:color w:val="auto"/>
                <w:highlight w:val="none"/>
                <w:lang w:val="en-US" w:eastAsia="zh-CN"/>
              </w:rPr>
            </w:pPr>
            <w:r>
              <w:rPr>
                <w:rFonts w:hint="default"/>
                <w:color w:val="auto"/>
                <w:highlight w:val="none"/>
              </w:rPr>
              <w:t>现有制氧站</w:t>
            </w:r>
            <w:r>
              <w:rPr>
                <w:rFonts w:hint="eastAsia"/>
                <w:color w:val="auto"/>
                <w:highlight w:val="none"/>
                <w:lang w:val="en-US" w:eastAsia="zh-CN"/>
              </w:rPr>
              <w:t>运营过程中产生的</w:t>
            </w:r>
            <w:r>
              <w:rPr>
                <w:rFonts w:hint="default"/>
                <w:color w:val="auto"/>
                <w:highlight w:val="none"/>
              </w:rPr>
              <w:t>废气主要为变压吸附制氧装置抽真空解吸过程排放的污氮（主要成分为氮气，含少量氧气、二氧化碳等），为空气组分，</w:t>
            </w:r>
            <w:r>
              <w:rPr>
                <w:rFonts w:hint="eastAsia"/>
                <w:color w:val="auto"/>
                <w:highlight w:val="none"/>
                <w:lang w:val="en-US" w:eastAsia="zh-CN"/>
              </w:rPr>
              <w:t>不属于大气污染物，</w:t>
            </w:r>
            <w:r>
              <w:rPr>
                <w:rFonts w:hint="default"/>
                <w:color w:val="auto"/>
                <w:highlight w:val="none"/>
              </w:rPr>
              <w:t>不含其他有毒有害</w:t>
            </w:r>
            <w:r>
              <w:rPr>
                <w:rFonts w:hint="eastAsia"/>
                <w:color w:val="auto"/>
                <w:highlight w:val="none"/>
                <w:lang w:val="en-US" w:eastAsia="zh-CN"/>
              </w:rPr>
              <w:t>物质</w:t>
            </w:r>
            <w:r>
              <w:rPr>
                <w:rFonts w:hint="default"/>
                <w:color w:val="auto"/>
                <w:highlight w:val="none"/>
              </w:rPr>
              <w:t>，</w:t>
            </w:r>
            <w:r>
              <w:rPr>
                <w:rFonts w:hint="eastAsia"/>
                <w:color w:val="auto"/>
                <w:highlight w:val="none"/>
                <w:lang w:val="en-US" w:eastAsia="zh-CN"/>
              </w:rPr>
              <w:t>直接</w:t>
            </w:r>
            <w:r>
              <w:rPr>
                <w:rFonts w:hint="default"/>
                <w:color w:val="auto"/>
                <w:highlight w:val="none"/>
              </w:rPr>
              <w:t>排放至大气</w:t>
            </w:r>
            <w:r>
              <w:rPr>
                <w:rFonts w:hint="eastAsia"/>
                <w:color w:val="auto"/>
                <w:highlight w:val="none"/>
                <w:lang w:val="en-US" w:eastAsia="zh-CN"/>
              </w:rPr>
              <w:t>环境</w:t>
            </w:r>
            <w:r>
              <w:rPr>
                <w:rFonts w:hint="default"/>
                <w:color w:val="auto"/>
                <w:highlight w:val="none"/>
              </w:rPr>
              <w:t>，对</w:t>
            </w:r>
            <w:r>
              <w:rPr>
                <w:rFonts w:hint="eastAsia"/>
                <w:color w:val="auto"/>
                <w:highlight w:val="none"/>
                <w:lang w:val="en-US" w:eastAsia="zh-CN"/>
              </w:rPr>
              <w:t>周边</w:t>
            </w:r>
            <w:r>
              <w:rPr>
                <w:rFonts w:hint="default"/>
                <w:color w:val="auto"/>
                <w:highlight w:val="none"/>
              </w:rPr>
              <w:t>环境空气影响</w:t>
            </w:r>
            <w:r>
              <w:rPr>
                <w:rFonts w:hint="eastAsia"/>
                <w:color w:val="auto"/>
                <w:highlight w:val="none"/>
                <w:lang w:val="en-US" w:eastAsia="zh-CN"/>
              </w:rPr>
              <w:t>较小</w:t>
            </w:r>
            <w:r>
              <w:rPr>
                <w:rFonts w:hint="default"/>
                <w:color w:val="auto"/>
                <w:highlight w:val="none"/>
              </w:rPr>
              <w:t>。</w:t>
            </w:r>
          </w:p>
          <w:p>
            <w:pPr>
              <w:bidi w:val="0"/>
              <w:rPr>
                <w:color w:val="auto"/>
                <w:highlight w:val="none"/>
              </w:rPr>
            </w:pPr>
            <w:r>
              <w:rPr>
                <w:rFonts w:hint="eastAsia" w:ascii="黑体" w:hAnsi="黑体" w:eastAsia="黑体" w:cs="黑体"/>
                <w:color w:val="auto"/>
                <w:highlight w:val="none"/>
                <w:lang w:val="en-US" w:eastAsia="zh-CN"/>
              </w:rPr>
              <w:t>2、</w:t>
            </w:r>
            <w:r>
              <w:rPr>
                <w:rFonts w:hint="default" w:ascii="黑体" w:hAnsi="黑体" w:eastAsia="黑体" w:cs="黑体"/>
                <w:color w:val="auto"/>
                <w:highlight w:val="none"/>
                <w:lang w:val="en-US" w:eastAsia="zh-CN"/>
              </w:rPr>
              <w:t>废水</w:t>
            </w:r>
          </w:p>
          <w:p>
            <w:pPr>
              <w:bidi w:val="0"/>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lang w:val="en-US" w:eastAsia="zh-CN"/>
              </w:rPr>
              <w:t>生活污水</w:t>
            </w:r>
          </w:p>
          <w:p>
            <w:pPr>
              <w:bidi w:val="0"/>
              <w:rPr>
                <w:rFonts w:hint="eastAsia"/>
                <w:color w:val="auto"/>
                <w:highlight w:val="none"/>
                <w:lang w:eastAsia="zh-CN"/>
              </w:rPr>
            </w:pPr>
            <w:r>
              <w:rPr>
                <w:rFonts w:hint="eastAsia"/>
                <w:color w:val="auto"/>
                <w:highlight w:val="none"/>
                <w:lang w:val="en-US" w:eastAsia="zh-CN"/>
              </w:rPr>
              <w:t>现有制氧站共设置劳动定员10人，用水量约为1.2m</w:t>
            </w:r>
            <w:r>
              <w:rPr>
                <w:rFonts w:hint="eastAsia"/>
                <w:color w:val="auto"/>
                <w:highlight w:val="none"/>
                <w:vertAlign w:val="superscript"/>
                <w:lang w:val="en-US" w:eastAsia="zh-CN"/>
              </w:rPr>
              <w:t>3</w:t>
            </w:r>
            <w:r>
              <w:rPr>
                <w:rFonts w:hint="eastAsia"/>
                <w:color w:val="auto"/>
                <w:highlight w:val="none"/>
                <w:lang w:val="en-US" w:eastAsia="zh-CN"/>
              </w:rPr>
              <w:t>/d，废水产生量约为0.96m</w:t>
            </w:r>
            <w:r>
              <w:rPr>
                <w:rFonts w:hint="eastAsia"/>
                <w:color w:val="auto"/>
                <w:highlight w:val="none"/>
                <w:vertAlign w:val="superscript"/>
                <w:lang w:val="en-US" w:eastAsia="zh-CN"/>
              </w:rPr>
              <w:t>3</w:t>
            </w:r>
            <w:r>
              <w:rPr>
                <w:rFonts w:hint="eastAsia"/>
                <w:color w:val="auto"/>
                <w:highlight w:val="none"/>
                <w:lang w:val="en-US" w:eastAsia="zh-CN"/>
              </w:rPr>
              <w:t>/d，依托厂区已建生活污水处理站处理达标后回用于厂区绿化浇洒，不外排。</w:t>
            </w:r>
          </w:p>
          <w:p>
            <w:pPr>
              <w:bidi w:val="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lang w:val="en-US" w:eastAsia="zh-CN"/>
              </w:rPr>
              <w:t>生产废水</w:t>
            </w:r>
          </w:p>
          <w:p>
            <w:pPr>
              <w:bidi w:val="0"/>
              <w:rPr>
                <w:rFonts w:hint="default"/>
                <w:color w:val="auto"/>
                <w:highlight w:val="none"/>
              </w:rPr>
            </w:pPr>
            <w:r>
              <w:rPr>
                <w:rFonts w:hint="default"/>
                <w:color w:val="auto"/>
                <w:highlight w:val="none"/>
              </w:rPr>
              <w:t>现有制氧站废水主要为</w:t>
            </w:r>
            <w:r>
              <w:rPr>
                <w:rFonts w:hint="eastAsia"/>
                <w:color w:val="auto"/>
                <w:highlight w:val="none"/>
                <w:lang w:val="en-US" w:eastAsia="zh-CN"/>
              </w:rPr>
              <w:t>循环冷却系统</w:t>
            </w:r>
            <w:r>
              <w:rPr>
                <w:rFonts w:hint="eastAsia"/>
                <w:color w:val="auto"/>
                <w:highlight w:val="none"/>
              </w:rPr>
              <w:t>检修清理</w:t>
            </w:r>
            <w:r>
              <w:rPr>
                <w:rFonts w:hint="eastAsia"/>
                <w:color w:val="auto"/>
                <w:highlight w:val="none"/>
                <w:lang w:val="en-US" w:eastAsia="zh-CN"/>
              </w:rPr>
              <w:t>循环</w:t>
            </w:r>
            <w:r>
              <w:rPr>
                <w:rFonts w:hint="eastAsia"/>
                <w:color w:val="auto"/>
                <w:highlight w:val="none"/>
              </w:rPr>
              <w:t>水池排</w:t>
            </w:r>
            <w:r>
              <w:rPr>
                <w:rFonts w:hint="eastAsia"/>
                <w:color w:val="auto"/>
                <w:highlight w:val="none"/>
                <w:lang w:val="en-US" w:eastAsia="zh-CN"/>
              </w:rPr>
              <w:t>污</w:t>
            </w:r>
            <w:r>
              <w:rPr>
                <w:rFonts w:hint="eastAsia"/>
                <w:color w:val="auto"/>
                <w:highlight w:val="none"/>
              </w:rPr>
              <w:t>水</w:t>
            </w:r>
            <w:r>
              <w:rPr>
                <w:rFonts w:hint="eastAsia"/>
                <w:color w:val="auto"/>
                <w:highlight w:val="none"/>
                <w:lang w:val="en-US" w:eastAsia="zh-CN"/>
              </w:rPr>
              <w:t>，根据建设单位提供的资料，现有</w:t>
            </w:r>
            <w:r>
              <w:rPr>
                <w:rFonts w:hint="default" w:ascii="Times New Roman" w:hAnsi="Times New Roman" w:eastAsia="宋体"/>
                <w:color w:val="auto"/>
                <w:sz w:val="24"/>
                <w:highlight w:val="none"/>
              </w:rPr>
              <w:t>6500Nm</w:t>
            </w:r>
            <w:r>
              <w:rPr>
                <w:rFonts w:hint="eastAsia" w:ascii="Times New Roman" w:hAnsi="Times New Roman"/>
                <w:color w:val="auto"/>
                <w:sz w:val="24"/>
                <w:highlight w:val="none"/>
                <w:vertAlign w:val="superscript"/>
                <w:lang w:val="en-US" w:eastAsia="zh-CN"/>
              </w:rPr>
              <w:t>3</w:t>
            </w:r>
            <w:r>
              <w:rPr>
                <w:rFonts w:hint="default" w:ascii="Times New Roman" w:hAnsi="Times New Roman" w:eastAsia="宋体"/>
                <w:color w:val="auto"/>
                <w:sz w:val="24"/>
                <w:highlight w:val="none"/>
              </w:rPr>
              <w:t>/h</w:t>
            </w:r>
            <w:r>
              <w:rPr>
                <w:rFonts w:hint="default" w:ascii="Times New Roman" w:hAnsi="Times New Roman" w:eastAsia="宋体"/>
                <w:color w:val="auto"/>
                <w:sz w:val="24"/>
                <w:highlight w:val="none"/>
                <w:lang w:eastAsia="zh-CN"/>
              </w:rPr>
              <w:t>（</w:t>
            </w:r>
            <w:r>
              <w:rPr>
                <w:rFonts w:hint="default" w:ascii="Times New Roman" w:hAnsi="Times New Roman" w:eastAsia="宋体"/>
                <w:color w:val="auto"/>
                <w:sz w:val="24"/>
                <w:highlight w:val="none"/>
                <w:lang w:val="en-US" w:eastAsia="zh-CN"/>
              </w:rPr>
              <w:t>2006年投产</w:t>
            </w:r>
            <w:r>
              <w:rPr>
                <w:rFonts w:hint="default" w:ascii="Times New Roman" w:hAnsi="Times New Roman" w:eastAsia="宋体"/>
                <w:color w:val="auto"/>
                <w:sz w:val="24"/>
                <w:highlight w:val="none"/>
                <w:lang w:eastAsia="zh-CN"/>
              </w:rPr>
              <w:t>）</w:t>
            </w:r>
            <w:r>
              <w:rPr>
                <w:rFonts w:hint="default" w:ascii="Times New Roman" w:hAnsi="Times New Roman" w:eastAsia="宋体"/>
                <w:color w:val="auto"/>
                <w:sz w:val="24"/>
                <w:highlight w:val="none"/>
              </w:rPr>
              <w:t>变压吸附制氧装置</w:t>
            </w:r>
            <w:r>
              <w:rPr>
                <w:rFonts w:hint="eastAsia" w:ascii="Times New Roman" w:hAnsi="Times New Roman"/>
                <w:color w:val="auto"/>
                <w:sz w:val="24"/>
                <w:highlight w:val="none"/>
                <w:lang w:val="en-US" w:eastAsia="zh-CN"/>
              </w:rPr>
              <w:t>循环冷却系统新鲜水补充量为125m</w:t>
            </w:r>
            <w:r>
              <w:rPr>
                <w:rFonts w:hint="eastAsia" w:ascii="Times New Roman" w:hAnsi="Times New Roman"/>
                <w:color w:val="auto"/>
                <w:sz w:val="24"/>
                <w:highlight w:val="none"/>
                <w:vertAlign w:val="superscript"/>
                <w:lang w:val="en-US" w:eastAsia="zh-CN"/>
              </w:rPr>
              <w:t>3</w:t>
            </w:r>
            <w:r>
              <w:rPr>
                <w:rFonts w:hint="eastAsia" w:ascii="Times New Roman" w:hAnsi="Times New Roman"/>
                <w:color w:val="auto"/>
                <w:sz w:val="24"/>
                <w:highlight w:val="none"/>
                <w:lang w:val="en-US" w:eastAsia="zh-CN"/>
              </w:rPr>
              <w:t>/d，</w:t>
            </w:r>
            <w:r>
              <w:rPr>
                <w:rFonts w:hint="eastAsia"/>
                <w:color w:val="auto"/>
                <w:highlight w:val="none"/>
                <w:lang w:val="en-US" w:eastAsia="zh-CN"/>
              </w:rPr>
              <w:t>项目循环冷却系统</w:t>
            </w:r>
            <w:r>
              <w:rPr>
                <w:rFonts w:hint="eastAsia"/>
                <w:color w:val="auto"/>
                <w:highlight w:val="none"/>
              </w:rPr>
              <w:t>检修清理</w:t>
            </w:r>
            <w:r>
              <w:rPr>
                <w:rFonts w:hint="eastAsia"/>
                <w:color w:val="auto"/>
                <w:highlight w:val="none"/>
                <w:lang w:val="en-US" w:eastAsia="zh-CN"/>
              </w:rPr>
              <w:t>循环</w:t>
            </w:r>
            <w:r>
              <w:rPr>
                <w:rFonts w:hint="eastAsia"/>
                <w:color w:val="auto"/>
                <w:highlight w:val="none"/>
              </w:rPr>
              <w:t>水池排</w:t>
            </w:r>
            <w:r>
              <w:rPr>
                <w:rFonts w:hint="eastAsia"/>
                <w:color w:val="auto"/>
                <w:highlight w:val="none"/>
                <w:lang w:val="en-US" w:eastAsia="zh-CN"/>
              </w:rPr>
              <w:t>污</w:t>
            </w:r>
            <w:r>
              <w:rPr>
                <w:rFonts w:hint="eastAsia"/>
                <w:color w:val="auto"/>
                <w:highlight w:val="none"/>
              </w:rPr>
              <w:t>水</w:t>
            </w:r>
            <w:r>
              <w:rPr>
                <w:rFonts w:hint="eastAsia"/>
                <w:color w:val="auto"/>
                <w:highlight w:val="none"/>
                <w:lang w:val="en-US" w:eastAsia="zh-CN"/>
              </w:rPr>
              <w:t>量为200m</w:t>
            </w:r>
            <w:r>
              <w:rPr>
                <w:rFonts w:hint="eastAsia"/>
                <w:color w:val="auto"/>
                <w:highlight w:val="none"/>
                <w:vertAlign w:val="superscript"/>
                <w:lang w:val="en-US" w:eastAsia="zh-CN"/>
              </w:rPr>
              <w:t>3</w:t>
            </w:r>
            <w:r>
              <w:rPr>
                <w:rFonts w:hint="eastAsia"/>
                <w:color w:val="auto"/>
                <w:highlight w:val="none"/>
                <w:lang w:val="en-US" w:eastAsia="zh-CN"/>
              </w:rPr>
              <w:t>/a（平均0.61m</w:t>
            </w:r>
            <w:r>
              <w:rPr>
                <w:rFonts w:hint="eastAsia"/>
                <w:color w:val="auto"/>
                <w:highlight w:val="none"/>
                <w:vertAlign w:val="superscript"/>
                <w:lang w:val="en-US" w:eastAsia="zh-CN"/>
              </w:rPr>
              <w:t>3</w:t>
            </w:r>
            <w:r>
              <w:rPr>
                <w:rFonts w:hint="eastAsia"/>
                <w:color w:val="auto"/>
                <w:highlight w:val="none"/>
                <w:lang w:val="en-US" w:eastAsia="zh-CN"/>
              </w:rPr>
              <w:t>/d）</w:t>
            </w:r>
            <w:r>
              <w:rPr>
                <w:rFonts w:hint="eastAsia" w:ascii="Times New Roman" w:hAnsi="Times New Roman"/>
                <w:color w:val="auto"/>
                <w:sz w:val="24"/>
                <w:highlight w:val="none"/>
                <w:lang w:val="en-US" w:eastAsia="zh-CN"/>
              </w:rPr>
              <w:t>，消耗量为</w:t>
            </w:r>
            <w:r>
              <w:rPr>
                <w:rFonts w:hint="eastAsia"/>
                <w:color w:val="auto"/>
                <w:sz w:val="24"/>
                <w:highlight w:val="none"/>
                <w:lang w:val="en-US" w:eastAsia="zh-CN"/>
              </w:rPr>
              <w:t>124.39</w:t>
            </w:r>
            <w:r>
              <w:rPr>
                <w:rFonts w:hint="eastAsia" w:ascii="Times New Roman" w:hAnsi="Times New Roman"/>
                <w:color w:val="auto"/>
                <w:sz w:val="24"/>
                <w:highlight w:val="none"/>
                <w:lang w:val="en-US" w:eastAsia="zh-CN"/>
              </w:rPr>
              <w:t>m</w:t>
            </w:r>
            <w:r>
              <w:rPr>
                <w:rFonts w:hint="eastAsia" w:ascii="Times New Roman" w:hAnsi="Times New Roman"/>
                <w:color w:val="auto"/>
                <w:sz w:val="24"/>
                <w:highlight w:val="none"/>
                <w:vertAlign w:val="superscript"/>
                <w:lang w:val="en-US" w:eastAsia="zh-CN"/>
              </w:rPr>
              <w:t>3</w:t>
            </w:r>
            <w:r>
              <w:rPr>
                <w:rFonts w:hint="eastAsia" w:ascii="Times New Roman" w:hAnsi="Times New Roman"/>
                <w:color w:val="auto"/>
                <w:sz w:val="24"/>
                <w:highlight w:val="none"/>
                <w:lang w:val="en-US" w:eastAsia="zh-CN"/>
              </w:rPr>
              <w:t>/d</w:t>
            </w:r>
            <w:r>
              <w:rPr>
                <w:rFonts w:hint="default"/>
                <w:color w:val="auto"/>
                <w:highlight w:val="none"/>
              </w:rPr>
              <w:t>。该部分废水水质未受污染，主要污染物为热污染、悬浮物及少量盐类，排入厂区生产废水管网，经厂区</w:t>
            </w:r>
            <w:r>
              <w:rPr>
                <w:rFonts w:hint="eastAsia"/>
                <w:color w:val="auto"/>
                <w:highlight w:val="none"/>
                <w:lang w:eastAsia="zh-CN"/>
              </w:rPr>
              <w:t>生产废水深度水处理站</w:t>
            </w:r>
            <w:r>
              <w:rPr>
                <w:rFonts w:hint="default"/>
                <w:color w:val="auto"/>
                <w:highlight w:val="none"/>
              </w:rPr>
              <w:t>处理后回用于</w:t>
            </w:r>
            <w:r>
              <w:rPr>
                <w:rFonts w:hint="eastAsia"/>
                <w:color w:val="auto"/>
                <w:highlight w:val="none"/>
                <w:lang w:val="en-US" w:eastAsia="zh-CN"/>
              </w:rPr>
              <w:t>易门铜业有限公司冶炼渣缓冷场</w:t>
            </w:r>
            <w:r>
              <w:rPr>
                <w:rFonts w:hint="default"/>
                <w:color w:val="auto"/>
                <w:highlight w:val="none"/>
              </w:rPr>
              <w:t>，不外排。</w:t>
            </w:r>
          </w:p>
          <w:p>
            <w:pPr>
              <w:bidi w:val="0"/>
              <w:rPr>
                <w:rFonts w:hint="default"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3、</w:t>
            </w:r>
            <w:r>
              <w:rPr>
                <w:rFonts w:hint="default" w:ascii="黑体" w:hAnsi="黑体" w:eastAsia="黑体" w:cs="黑体"/>
                <w:color w:val="auto"/>
                <w:highlight w:val="none"/>
                <w:lang w:val="en-US" w:eastAsia="zh-CN"/>
              </w:rPr>
              <w:t>噪声</w:t>
            </w:r>
          </w:p>
          <w:p>
            <w:pPr>
              <w:bidi w:val="0"/>
              <w:rPr>
                <w:rFonts w:hint="eastAsia"/>
                <w:color w:val="auto"/>
                <w:highlight w:val="none"/>
                <w:lang w:val="en-US" w:eastAsia="zh-CN"/>
              </w:rPr>
            </w:pPr>
            <w:r>
              <w:rPr>
                <w:color w:val="auto"/>
                <w:highlight w:val="none"/>
              </w:rPr>
              <w:t>现有6500Nm³/h VPSA制氧装置动力设备选用罗茨鼓风机和罗茨真空泵，罗茨机组的噪声值通常在100~110dB(A)，属于VPSA制氧装置的主要噪声源</w:t>
            </w:r>
            <w:r>
              <w:rPr>
                <w:rFonts w:hint="eastAsia"/>
                <w:color w:val="auto"/>
                <w:highlight w:val="none"/>
                <w:lang w:eastAsia="zh-CN"/>
              </w:rPr>
              <w:t>。现有</w:t>
            </w:r>
            <w:r>
              <w:rPr>
                <w:rFonts w:hint="eastAsia"/>
                <w:color w:val="auto"/>
                <w:highlight w:val="none"/>
                <w:lang w:val="en-US" w:eastAsia="zh-CN"/>
              </w:rPr>
              <w:t>项目</w:t>
            </w:r>
            <w:r>
              <w:rPr>
                <w:rFonts w:hint="eastAsia"/>
                <w:color w:val="auto"/>
                <w:highlight w:val="none"/>
                <w:lang w:eastAsia="zh-CN"/>
              </w:rPr>
              <w:t>主要产噪设备均布置在</w:t>
            </w:r>
            <w:r>
              <w:rPr>
                <w:rFonts w:hint="eastAsia"/>
                <w:color w:val="auto"/>
                <w:highlight w:val="none"/>
                <w:lang w:val="en-US" w:eastAsia="zh-CN"/>
              </w:rPr>
              <w:t>封闭</w:t>
            </w:r>
            <w:r>
              <w:rPr>
                <w:rFonts w:hint="eastAsia"/>
                <w:color w:val="auto"/>
                <w:highlight w:val="none"/>
                <w:lang w:eastAsia="zh-CN"/>
              </w:rPr>
              <w:t>厂房内，</w:t>
            </w:r>
            <w:r>
              <w:rPr>
                <w:rFonts w:hint="eastAsia"/>
                <w:color w:val="auto"/>
                <w:highlight w:val="none"/>
                <w:lang w:val="en-US" w:eastAsia="zh-CN"/>
              </w:rPr>
              <w:t>同时</w:t>
            </w:r>
            <w:r>
              <w:rPr>
                <w:rFonts w:hint="eastAsia"/>
                <w:color w:val="auto"/>
                <w:highlight w:val="none"/>
                <w:lang w:eastAsia="zh-CN"/>
              </w:rPr>
              <w:t>采取</w:t>
            </w:r>
            <w:r>
              <w:rPr>
                <w:rFonts w:hint="eastAsia"/>
                <w:color w:val="auto"/>
                <w:highlight w:val="none"/>
                <w:lang w:val="en-US" w:eastAsia="zh-CN"/>
              </w:rPr>
              <w:t>了</w:t>
            </w:r>
            <w:r>
              <w:rPr>
                <w:rFonts w:hint="eastAsia"/>
                <w:color w:val="auto"/>
                <w:highlight w:val="none"/>
                <w:lang w:eastAsia="zh-CN"/>
              </w:rPr>
              <w:t>基础减振、</w:t>
            </w:r>
            <w:r>
              <w:rPr>
                <w:rFonts w:hint="eastAsia"/>
                <w:color w:val="auto"/>
                <w:highlight w:val="none"/>
                <w:lang w:val="en-US" w:eastAsia="zh-CN"/>
              </w:rPr>
              <w:t>加装</w:t>
            </w:r>
            <w:r>
              <w:rPr>
                <w:rFonts w:hint="eastAsia"/>
                <w:color w:val="auto"/>
                <w:highlight w:val="none"/>
                <w:lang w:eastAsia="zh-CN"/>
              </w:rPr>
              <w:t>消声器、管道柔性连接等</w:t>
            </w:r>
            <w:r>
              <w:rPr>
                <w:rFonts w:hint="eastAsia"/>
                <w:color w:val="auto"/>
                <w:highlight w:val="none"/>
                <w:lang w:val="en-US" w:eastAsia="zh-CN"/>
              </w:rPr>
              <w:t>有效</w:t>
            </w:r>
            <w:r>
              <w:rPr>
                <w:rFonts w:hint="eastAsia"/>
                <w:color w:val="auto"/>
                <w:highlight w:val="none"/>
                <w:lang w:eastAsia="zh-CN"/>
              </w:rPr>
              <w:t>降噪措施，</w:t>
            </w:r>
            <w:r>
              <w:rPr>
                <w:rFonts w:hint="eastAsia"/>
                <w:color w:val="auto"/>
                <w:highlight w:val="none"/>
                <w:lang w:val="en-US" w:eastAsia="zh-CN"/>
              </w:rPr>
              <w:t>在采取上述措施后，可使上述设备的噪声源强下降15～30dB（A），项目实际运营过程中噪声对周边声环境影响较小</w:t>
            </w:r>
            <w:r>
              <w:rPr>
                <w:rFonts w:hint="eastAsia"/>
                <w:color w:val="auto"/>
                <w:highlight w:val="none"/>
                <w:lang w:eastAsia="zh-CN"/>
              </w:rPr>
              <w:t>。</w:t>
            </w:r>
            <w:r>
              <w:rPr>
                <w:rFonts w:hint="eastAsia"/>
                <w:color w:val="auto"/>
                <w:highlight w:val="none"/>
                <w:lang w:val="en-US" w:eastAsia="zh-CN"/>
              </w:rPr>
              <w:t>此外，根据建设单位提供的2025年第四季度及2026年第一季度自行监测结果，项目厂界噪声可</w:t>
            </w:r>
            <w:r>
              <w:rPr>
                <w:rFonts w:hint="default"/>
                <w:color w:val="auto"/>
                <w:highlight w:val="none"/>
              </w:rPr>
              <w:t>满足《工业企业厂界环境噪声排放标准》（GB12348-2008）3类标准要求。</w:t>
            </w:r>
            <w:r>
              <w:rPr>
                <w:rFonts w:hint="eastAsia"/>
                <w:color w:val="auto"/>
                <w:highlight w:val="none"/>
                <w:lang w:val="en-US" w:eastAsia="zh-CN"/>
              </w:rPr>
              <w:t>自行监测报告见附件，自行监测结果详见下表：</w:t>
            </w:r>
          </w:p>
          <w:p>
            <w:pPr>
              <w:pStyle w:val="35"/>
              <w:bidi w:val="0"/>
              <w:rPr>
                <w:rFonts w:hint="default"/>
                <w:color w:val="auto"/>
                <w:highlight w:val="none"/>
                <w:lang w:val="en-US" w:eastAsia="zh-CN"/>
              </w:rPr>
            </w:pPr>
            <w:r>
              <w:rPr>
                <w:rFonts w:hint="eastAsia"/>
                <w:color w:val="auto"/>
                <w:highlight w:val="none"/>
                <w:lang w:val="en-US" w:eastAsia="zh-CN"/>
              </w:rPr>
              <w:t>表2-13  厂界噪声自行监测结果一览表</w:t>
            </w:r>
          </w:p>
          <w:tbl>
            <w:tblPr>
              <w:tblStyle w:val="24"/>
              <w:tblW w:w="7791"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1113"/>
              <w:gridCol w:w="1113"/>
              <w:gridCol w:w="1113"/>
              <w:gridCol w:w="1113"/>
              <w:gridCol w:w="1113"/>
              <w:gridCol w:w="11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113" w:type="dxa"/>
                  <w:vMerge w:val="restart"/>
                  <w:tcBorders>
                    <w:tl2br w:val="nil"/>
                    <w:tr2bl w:val="nil"/>
                  </w:tcBorders>
                  <w:vAlign w:val="center"/>
                </w:tcPr>
                <w:p>
                  <w:pPr>
                    <w:pStyle w:val="34"/>
                    <w:bidi w:val="0"/>
                    <w:jc w:val="center"/>
                    <w:rPr>
                      <w:rFonts w:hint="default"/>
                      <w:color w:val="auto"/>
                      <w:highlight w:val="none"/>
                      <w:lang w:val="en-US" w:eastAsia="zh-CN"/>
                    </w:rPr>
                  </w:pPr>
                  <w:r>
                    <w:rPr>
                      <w:rFonts w:hint="eastAsia"/>
                      <w:color w:val="auto"/>
                      <w:highlight w:val="none"/>
                      <w:lang w:val="en-US" w:eastAsia="zh-CN"/>
                    </w:rPr>
                    <w:t>监测类型</w:t>
                  </w:r>
                </w:p>
              </w:tc>
              <w:tc>
                <w:tcPr>
                  <w:tcW w:w="1113" w:type="dxa"/>
                  <w:vMerge w:val="restart"/>
                  <w:tcBorders>
                    <w:tl2br w:val="nil"/>
                    <w:tr2bl w:val="nil"/>
                  </w:tcBorders>
                  <w:vAlign w:val="center"/>
                </w:tcPr>
                <w:p>
                  <w:pPr>
                    <w:pStyle w:val="34"/>
                    <w:bidi w:val="0"/>
                    <w:jc w:val="center"/>
                    <w:rPr>
                      <w:rFonts w:hint="default"/>
                      <w:color w:val="auto"/>
                      <w:highlight w:val="none"/>
                      <w:lang w:val="en-US" w:eastAsia="zh-CN"/>
                    </w:rPr>
                  </w:pPr>
                  <w:r>
                    <w:rPr>
                      <w:rFonts w:hint="eastAsia"/>
                      <w:color w:val="auto"/>
                      <w:highlight w:val="none"/>
                      <w:lang w:val="en-US" w:eastAsia="zh-CN"/>
                    </w:rPr>
                    <w:t>监测时间</w:t>
                  </w:r>
                </w:p>
              </w:tc>
              <w:tc>
                <w:tcPr>
                  <w:tcW w:w="1113" w:type="dxa"/>
                  <w:vMerge w:val="restart"/>
                  <w:tcBorders>
                    <w:tl2br w:val="nil"/>
                    <w:tr2bl w:val="nil"/>
                  </w:tcBorders>
                  <w:vAlign w:val="center"/>
                </w:tcPr>
                <w:p>
                  <w:pPr>
                    <w:pStyle w:val="34"/>
                    <w:bidi w:val="0"/>
                    <w:jc w:val="center"/>
                    <w:rPr>
                      <w:rFonts w:hint="default"/>
                      <w:color w:val="auto"/>
                      <w:highlight w:val="none"/>
                      <w:lang w:val="en-US" w:eastAsia="zh-CN"/>
                    </w:rPr>
                  </w:pPr>
                  <w:r>
                    <w:rPr>
                      <w:rFonts w:hint="eastAsia"/>
                      <w:color w:val="auto"/>
                      <w:highlight w:val="none"/>
                      <w:lang w:val="en-US" w:eastAsia="zh-CN"/>
                    </w:rPr>
                    <w:t>点位编号</w:t>
                  </w:r>
                </w:p>
              </w:tc>
              <w:tc>
                <w:tcPr>
                  <w:tcW w:w="1113" w:type="dxa"/>
                  <w:vMerge w:val="restart"/>
                  <w:tcBorders>
                    <w:tl2br w:val="nil"/>
                    <w:tr2bl w:val="nil"/>
                  </w:tcBorders>
                  <w:vAlign w:val="center"/>
                </w:tcPr>
                <w:p>
                  <w:pPr>
                    <w:pStyle w:val="34"/>
                    <w:bidi w:val="0"/>
                    <w:jc w:val="center"/>
                    <w:rPr>
                      <w:rFonts w:hint="eastAsia"/>
                      <w:color w:val="auto"/>
                      <w:highlight w:val="none"/>
                      <w:lang w:val="en-US" w:eastAsia="zh-CN"/>
                    </w:rPr>
                  </w:pPr>
                  <w:r>
                    <w:rPr>
                      <w:rFonts w:hint="eastAsia"/>
                      <w:color w:val="auto"/>
                      <w:highlight w:val="none"/>
                      <w:lang w:val="en-US" w:eastAsia="zh-CN"/>
                    </w:rPr>
                    <w:t>监测点位</w:t>
                  </w:r>
                </w:p>
              </w:tc>
              <w:tc>
                <w:tcPr>
                  <w:tcW w:w="2226" w:type="dxa"/>
                  <w:gridSpan w:val="2"/>
                  <w:tcBorders>
                    <w:tl2br w:val="nil"/>
                    <w:tr2bl w:val="nil"/>
                  </w:tcBorders>
                  <w:vAlign w:val="center"/>
                </w:tcPr>
                <w:p>
                  <w:pPr>
                    <w:pStyle w:val="34"/>
                    <w:bidi w:val="0"/>
                    <w:jc w:val="center"/>
                    <w:rPr>
                      <w:rFonts w:hint="eastAsia"/>
                      <w:color w:val="auto"/>
                      <w:highlight w:val="none"/>
                      <w:lang w:val="en-US" w:eastAsia="zh-CN"/>
                    </w:rPr>
                  </w:pPr>
                  <w:r>
                    <w:rPr>
                      <w:rFonts w:hint="eastAsia"/>
                      <w:color w:val="auto"/>
                      <w:highlight w:val="none"/>
                      <w:lang w:val="en-US" w:eastAsia="zh-CN"/>
                    </w:rPr>
                    <w:t>监测结果dB（A）</w:t>
                  </w:r>
                </w:p>
              </w:tc>
              <w:tc>
                <w:tcPr>
                  <w:tcW w:w="1113" w:type="dxa"/>
                  <w:vMerge w:val="restart"/>
                  <w:tcBorders>
                    <w:tl2br w:val="nil"/>
                    <w:tr2bl w:val="nil"/>
                  </w:tcBorders>
                  <w:vAlign w:val="center"/>
                </w:tcPr>
                <w:p>
                  <w:pPr>
                    <w:pStyle w:val="34"/>
                    <w:bidi w:val="0"/>
                    <w:jc w:val="center"/>
                    <w:rPr>
                      <w:rFonts w:hint="default"/>
                      <w:color w:val="auto"/>
                      <w:highlight w:val="none"/>
                      <w:lang w:val="en-US" w:eastAsia="zh-CN"/>
                    </w:rPr>
                  </w:pPr>
                  <w:r>
                    <w:rPr>
                      <w:rFonts w:hint="eastAsia"/>
                      <w:color w:val="auto"/>
                      <w:highlight w:val="none"/>
                      <w:lang w:val="en-US" w:eastAsia="zh-CN"/>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113" w:type="dxa"/>
                  <w:vMerge w:val="continue"/>
                  <w:tcBorders>
                    <w:tl2br w:val="nil"/>
                    <w:tr2bl w:val="nil"/>
                  </w:tcBorders>
                  <w:vAlign w:val="center"/>
                </w:tcPr>
                <w:p>
                  <w:pPr>
                    <w:pStyle w:val="34"/>
                    <w:bidi w:val="0"/>
                    <w:jc w:val="center"/>
                    <w:rPr>
                      <w:color w:val="auto"/>
                      <w:highlight w:val="none"/>
                    </w:rPr>
                  </w:pPr>
                </w:p>
              </w:tc>
              <w:tc>
                <w:tcPr>
                  <w:tcW w:w="1113" w:type="dxa"/>
                  <w:vMerge w:val="continue"/>
                  <w:tcBorders>
                    <w:tl2br w:val="nil"/>
                    <w:tr2bl w:val="nil"/>
                  </w:tcBorders>
                  <w:vAlign w:val="center"/>
                </w:tcPr>
                <w:p>
                  <w:pPr>
                    <w:pStyle w:val="34"/>
                    <w:bidi w:val="0"/>
                    <w:jc w:val="center"/>
                    <w:rPr>
                      <w:color w:val="auto"/>
                      <w:highlight w:val="none"/>
                    </w:rPr>
                  </w:pPr>
                </w:p>
              </w:tc>
              <w:tc>
                <w:tcPr>
                  <w:tcW w:w="1113" w:type="dxa"/>
                  <w:vMerge w:val="continue"/>
                  <w:tcBorders>
                    <w:tl2br w:val="nil"/>
                    <w:tr2bl w:val="nil"/>
                  </w:tcBorders>
                  <w:vAlign w:val="center"/>
                </w:tcPr>
                <w:p>
                  <w:pPr>
                    <w:pStyle w:val="34"/>
                    <w:bidi w:val="0"/>
                    <w:jc w:val="center"/>
                    <w:rPr>
                      <w:color w:val="auto"/>
                      <w:highlight w:val="none"/>
                    </w:rPr>
                  </w:pPr>
                </w:p>
              </w:tc>
              <w:tc>
                <w:tcPr>
                  <w:tcW w:w="1113" w:type="dxa"/>
                  <w:vMerge w:val="continue"/>
                  <w:tcBorders>
                    <w:tl2br w:val="nil"/>
                    <w:tr2bl w:val="nil"/>
                  </w:tcBorders>
                  <w:vAlign w:val="center"/>
                </w:tcPr>
                <w:p>
                  <w:pPr>
                    <w:pStyle w:val="34"/>
                    <w:bidi w:val="0"/>
                    <w:jc w:val="center"/>
                    <w:rPr>
                      <w:color w:val="auto"/>
                      <w:highlight w:val="none"/>
                    </w:rPr>
                  </w:pPr>
                </w:p>
              </w:tc>
              <w:tc>
                <w:tcPr>
                  <w:tcW w:w="1113" w:type="dxa"/>
                  <w:tcBorders>
                    <w:tl2br w:val="nil"/>
                    <w:tr2bl w:val="nil"/>
                  </w:tcBorders>
                  <w:vAlign w:val="center"/>
                </w:tcPr>
                <w:p>
                  <w:pPr>
                    <w:pStyle w:val="34"/>
                    <w:bidi w:val="0"/>
                    <w:jc w:val="center"/>
                    <w:rPr>
                      <w:rFonts w:hint="default"/>
                      <w:color w:val="auto"/>
                      <w:highlight w:val="none"/>
                      <w:lang w:val="en-US" w:eastAsia="zh-CN"/>
                    </w:rPr>
                  </w:pPr>
                  <w:r>
                    <w:rPr>
                      <w:rFonts w:hint="eastAsia"/>
                      <w:color w:val="auto"/>
                      <w:highlight w:val="none"/>
                      <w:lang w:val="en-US" w:eastAsia="zh-CN"/>
                    </w:rPr>
                    <w:t>昼间</w:t>
                  </w:r>
                </w:p>
              </w:tc>
              <w:tc>
                <w:tcPr>
                  <w:tcW w:w="1113" w:type="dxa"/>
                  <w:tcBorders>
                    <w:tl2br w:val="nil"/>
                    <w:tr2bl w:val="nil"/>
                  </w:tcBorders>
                  <w:vAlign w:val="center"/>
                </w:tcPr>
                <w:p>
                  <w:pPr>
                    <w:pStyle w:val="34"/>
                    <w:bidi w:val="0"/>
                    <w:jc w:val="center"/>
                    <w:rPr>
                      <w:rFonts w:hint="default"/>
                      <w:color w:val="auto"/>
                      <w:highlight w:val="none"/>
                      <w:lang w:val="en-US" w:eastAsia="zh-CN"/>
                    </w:rPr>
                  </w:pPr>
                  <w:r>
                    <w:rPr>
                      <w:rFonts w:hint="eastAsia"/>
                      <w:color w:val="auto"/>
                      <w:highlight w:val="none"/>
                      <w:lang w:val="en-US" w:eastAsia="zh-CN"/>
                    </w:rPr>
                    <w:t>夜间</w:t>
                  </w:r>
                </w:p>
              </w:tc>
              <w:tc>
                <w:tcPr>
                  <w:tcW w:w="1113" w:type="dxa"/>
                  <w:vMerge w:val="continue"/>
                  <w:tcBorders>
                    <w:tl2br w:val="nil"/>
                    <w:tr2bl w:val="nil"/>
                  </w:tcBorders>
                  <w:vAlign w:val="center"/>
                </w:tcPr>
                <w:p>
                  <w:pPr>
                    <w:pStyle w:val="34"/>
                    <w:bidi w:val="0"/>
                    <w:jc w:val="center"/>
                    <w:rPr>
                      <w:rFonts w:hint="eastAsia"/>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3" w:type="dxa"/>
                  <w:vMerge w:val="restart"/>
                  <w:tcBorders>
                    <w:tl2br w:val="nil"/>
                    <w:tr2bl w:val="nil"/>
                  </w:tcBorders>
                  <w:vAlign w:val="center"/>
                </w:tcPr>
                <w:p>
                  <w:pPr>
                    <w:pStyle w:val="34"/>
                    <w:bidi w:val="0"/>
                    <w:jc w:val="center"/>
                    <w:rPr>
                      <w:rFonts w:hint="default"/>
                      <w:color w:val="auto"/>
                      <w:highlight w:val="none"/>
                      <w:lang w:val="en-US" w:eastAsia="zh-CN"/>
                    </w:rPr>
                  </w:pPr>
                  <w:r>
                    <w:rPr>
                      <w:rFonts w:hint="eastAsia"/>
                      <w:color w:val="auto"/>
                      <w:highlight w:val="none"/>
                      <w:lang w:val="en-US" w:eastAsia="zh-CN"/>
                    </w:rPr>
                    <w:t>声环境</w:t>
                  </w:r>
                </w:p>
              </w:tc>
              <w:tc>
                <w:tcPr>
                  <w:tcW w:w="1113" w:type="dxa"/>
                  <w:vMerge w:val="restart"/>
                  <w:tcBorders>
                    <w:tl2br w:val="nil"/>
                    <w:tr2bl w:val="nil"/>
                  </w:tcBorders>
                  <w:vAlign w:val="center"/>
                </w:tcPr>
                <w:p>
                  <w:pPr>
                    <w:pStyle w:val="34"/>
                    <w:bidi w:val="0"/>
                    <w:jc w:val="center"/>
                    <w:rPr>
                      <w:rFonts w:hint="eastAsia"/>
                      <w:color w:val="auto"/>
                      <w:highlight w:val="none"/>
                      <w:lang w:val="en-US" w:eastAsia="zh-CN"/>
                    </w:rPr>
                  </w:pPr>
                  <w:r>
                    <w:rPr>
                      <w:rFonts w:hint="eastAsia"/>
                      <w:color w:val="auto"/>
                      <w:highlight w:val="none"/>
                      <w:lang w:val="en-US" w:eastAsia="zh-CN"/>
                    </w:rPr>
                    <w:t>2025.10.10（2025年四季度）</w:t>
                  </w:r>
                </w:p>
              </w:tc>
              <w:tc>
                <w:tcPr>
                  <w:tcW w:w="1113" w:type="dxa"/>
                  <w:tcBorders>
                    <w:tl2br w:val="nil"/>
                    <w:tr2bl w:val="nil"/>
                  </w:tcBorders>
                  <w:shd w:val="clear" w:color="auto" w:fill="auto"/>
                  <w:vAlign w:val="center"/>
                </w:tcPr>
                <w:p>
                  <w:pPr>
                    <w:pStyle w:val="34"/>
                    <w:bidi w:val="0"/>
                    <w:ind w:left="0" w:leftChars="0" w:firstLine="0" w:firstLineChars="0"/>
                    <w:jc w:val="center"/>
                    <w:rPr>
                      <w:rFonts w:hint="eastAsia" w:ascii="Times New Roman" w:hAnsi="Times New Roman" w:eastAsia="宋体" w:cstheme="minorBidi"/>
                      <w:color w:val="auto"/>
                      <w:kern w:val="2"/>
                      <w:sz w:val="18"/>
                      <w:szCs w:val="18"/>
                      <w:highlight w:val="none"/>
                      <w:lang w:val="en-US" w:eastAsia="zh-CN" w:bidi="ar-SA"/>
                    </w:rPr>
                  </w:pPr>
                  <w:r>
                    <w:rPr>
                      <w:rFonts w:hint="eastAsia"/>
                      <w:color w:val="auto"/>
                      <w:highlight w:val="none"/>
                      <w:lang w:val="en-US" w:eastAsia="zh-CN"/>
                    </w:rPr>
                    <w:t>A</w:t>
                  </w:r>
                </w:p>
              </w:tc>
              <w:tc>
                <w:tcPr>
                  <w:tcW w:w="1113" w:type="dxa"/>
                  <w:tcBorders>
                    <w:tl2br w:val="nil"/>
                    <w:tr2bl w:val="nil"/>
                  </w:tcBorders>
                  <w:vAlign w:val="center"/>
                </w:tcPr>
                <w:p>
                  <w:pPr>
                    <w:pStyle w:val="34"/>
                    <w:bidi w:val="0"/>
                    <w:jc w:val="center"/>
                    <w:rPr>
                      <w:rFonts w:hint="eastAsia"/>
                      <w:color w:val="auto"/>
                      <w:highlight w:val="none"/>
                      <w:lang w:val="en-US" w:eastAsia="zh-CN"/>
                    </w:rPr>
                  </w:pPr>
                  <w:r>
                    <w:rPr>
                      <w:rFonts w:hint="eastAsia"/>
                      <w:color w:val="auto"/>
                      <w:highlight w:val="none"/>
                      <w:lang w:val="en-US" w:eastAsia="zh-CN"/>
                    </w:rPr>
                    <w:t>厂界东侧</w:t>
                  </w:r>
                </w:p>
              </w:tc>
              <w:tc>
                <w:tcPr>
                  <w:tcW w:w="1113" w:type="dxa"/>
                  <w:tcBorders>
                    <w:tl2br w:val="nil"/>
                    <w:tr2bl w:val="nil"/>
                  </w:tcBorders>
                  <w:vAlign w:val="center"/>
                </w:tcPr>
                <w:p>
                  <w:pPr>
                    <w:pStyle w:val="34"/>
                    <w:bidi w:val="0"/>
                    <w:jc w:val="center"/>
                    <w:rPr>
                      <w:rFonts w:hint="default"/>
                      <w:color w:val="auto"/>
                      <w:highlight w:val="none"/>
                      <w:lang w:val="en-US" w:eastAsia="zh-CN"/>
                    </w:rPr>
                  </w:pPr>
                  <w:r>
                    <w:rPr>
                      <w:rFonts w:hint="eastAsia"/>
                      <w:color w:val="auto"/>
                      <w:highlight w:val="none"/>
                      <w:lang w:val="en-US" w:eastAsia="zh-CN"/>
                    </w:rPr>
                    <w:t>55</w:t>
                  </w:r>
                </w:p>
              </w:tc>
              <w:tc>
                <w:tcPr>
                  <w:tcW w:w="1113" w:type="dxa"/>
                  <w:tcBorders>
                    <w:tl2br w:val="nil"/>
                    <w:tr2bl w:val="nil"/>
                  </w:tcBorders>
                  <w:vAlign w:val="center"/>
                </w:tcPr>
                <w:p>
                  <w:pPr>
                    <w:pStyle w:val="34"/>
                    <w:bidi w:val="0"/>
                    <w:jc w:val="center"/>
                    <w:rPr>
                      <w:rFonts w:hint="default"/>
                      <w:color w:val="auto"/>
                      <w:highlight w:val="none"/>
                      <w:lang w:val="en-US" w:eastAsia="zh-CN"/>
                    </w:rPr>
                  </w:pPr>
                  <w:r>
                    <w:rPr>
                      <w:rFonts w:hint="eastAsia"/>
                      <w:color w:val="auto"/>
                      <w:highlight w:val="none"/>
                      <w:lang w:val="en-US" w:eastAsia="zh-CN"/>
                    </w:rPr>
                    <w:t>49</w:t>
                  </w:r>
                </w:p>
              </w:tc>
              <w:tc>
                <w:tcPr>
                  <w:tcW w:w="1113" w:type="dxa"/>
                  <w:tcBorders>
                    <w:tl2br w:val="nil"/>
                    <w:tr2bl w:val="nil"/>
                  </w:tcBorders>
                  <w:vAlign w:val="center"/>
                </w:tcPr>
                <w:p>
                  <w:pPr>
                    <w:pStyle w:val="34"/>
                    <w:bidi w:val="0"/>
                    <w:jc w:val="center"/>
                    <w:rPr>
                      <w:rFonts w:hint="default"/>
                      <w:color w:val="auto"/>
                      <w:highlight w:val="none"/>
                      <w:lang w:val="en-US" w:eastAsia="zh-CN"/>
                    </w:rPr>
                  </w:pPr>
                  <w:r>
                    <w:rPr>
                      <w:rFonts w:hint="eastAsia"/>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3" w:type="dxa"/>
                  <w:vMerge w:val="continue"/>
                  <w:tcBorders>
                    <w:tl2br w:val="nil"/>
                    <w:tr2bl w:val="nil"/>
                  </w:tcBorders>
                  <w:vAlign w:val="center"/>
                </w:tcPr>
                <w:p>
                  <w:pPr>
                    <w:pStyle w:val="34"/>
                    <w:bidi w:val="0"/>
                    <w:jc w:val="center"/>
                    <w:rPr>
                      <w:rFonts w:hint="eastAsia"/>
                      <w:color w:val="auto"/>
                      <w:highlight w:val="none"/>
                      <w:lang w:val="en-US" w:eastAsia="zh-CN"/>
                    </w:rPr>
                  </w:pPr>
                </w:p>
              </w:tc>
              <w:tc>
                <w:tcPr>
                  <w:tcW w:w="1113" w:type="dxa"/>
                  <w:vMerge w:val="continue"/>
                  <w:tcBorders>
                    <w:tl2br w:val="nil"/>
                    <w:tr2bl w:val="nil"/>
                  </w:tcBorders>
                  <w:vAlign w:val="center"/>
                </w:tcPr>
                <w:p>
                  <w:pPr>
                    <w:pStyle w:val="34"/>
                    <w:bidi w:val="0"/>
                    <w:jc w:val="center"/>
                    <w:rPr>
                      <w:rFonts w:hint="eastAsia"/>
                      <w:color w:val="auto"/>
                      <w:highlight w:val="none"/>
                      <w:lang w:val="en-US" w:eastAsia="zh-CN"/>
                    </w:rPr>
                  </w:pPr>
                </w:p>
              </w:tc>
              <w:tc>
                <w:tcPr>
                  <w:tcW w:w="1113" w:type="dxa"/>
                  <w:tcBorders>
                    <w:tl2br w:val="nil"/>
                    <w:tr2bl w:val="nil"/>
                  </w:tcBorders>
                  <w:shd w:val="clear" w:color="auto" w:fill="auto"/>
                  <w:vAlign w:val="center"/>
                </w:tcPr>
                <w:p>
                  <w:pPr>
                    <w:pStyle w:val="34"/>
                    <w:bidi w:val="0"/>
                    <w:ind w:left="0" w:leftChars="0" w:firstLine="0" w:firstLineChars="0"/>
                    <w:jc w:val="center"/>
                    <w:rPr>
                      <w:rFonts w:hint="eastAsia" w:ascii="Times New Roman" w:hAnsi="Times New Roman" w:eastAsia="宋体" w:cstheme="minorBidi"/>
                      <w:color w:val="auto"/>
                      <w:kern w:val="2"/>
                      <w:sz w:val="18"/>
                      <w:szCs w:val="18"/>
                      <w:highlight w:val="none"/>
                      <w:lang w:val="en-US" w:eastAsia="zh-CN" w:bidi="ar-SA"/>
                    </w:rPr>
                  </w:pPr>
                  <w:r>
                    <w:rPr>
                      <w:rFonts w:hint="eastAsia"/>
                      <w:color w:val="auto"/>
                      <w:highlight w:val="none"/>
                      <w:lang w:val="en-US" w:eastAsia="zh-CN"/>
                    </w:rPr>
                    <w:t>B</w:t>
                  </w:r>
                </w:p>
              </w:tc>
              <w:tc>
                <w:tcPr>
                  <w:tcW w:w="1113" w:type="dxa"/>
                  <w:tcBorders>
                    <w:tl2br w:val="nil"/>
                    <w:tr2bl w:val="nil"/>
                  </w:tcBorders>
                  <w:vAlign w:val="center"/>
                </w:tcPr>
                <w:p>
                  <w:pPr>
                    <w:pStyle w:val="34"/>
                    <w:bidi w:val="0"/>
                    <w:jc w:val="center"/>
                    <w:rPr>
                      <w:rFonts w:hint="eastAsia"/>
                      <w:color w:val="auto"/>
                      <w:highlight w:val="none"/>
                      <w:lang w:val="en-US" w:eastAsia="zh-CN"/>
                    </w:rPr>
                  </w:pPr>
                  <w:r>
                    <w:rPr>
                      <w:rFonts w:hint="eastAsia"/>
                      <w:color w:val="auto"/>
                      <w:highlight w:val="none"/>
                      <w:lang w:val="en-US" w:eastAsia="zh-CN"/>
                    </w:rPr>
                    <w:t>厂界南侧</w:t>
                  </w:r>
                </w:p>
              </w:tc>
              <w:tc>
                <w:tcPr>
                  <w:tcW w:w="1113" w:type="dxa"/>
                  <w:tcBorders>
                    <w:tl2br w:val="nil"/>
                    <w:tr2bl w:val="nil"/>
                  </w:tcBorders>
                  <w:vAlign w:val="center"/>
                </w:tcPr>
                <w:p>
                  <w:pPr>
                    <w:pStyle w:val="34"/>
                    <w:bidi w:val="0"/>
                    <w:jc w:val="center"/>
                    <w:rPr>
                      <w:rFonts w:hint="default"/>
                      <w:color w:val="auto"/>
                      <w:highlight w:val="none"/>
                      <w:lang w:val="en-US" w:eastAsia="zh-CN"/>
                    </w:rPr>
                  </w:pPr>
                  <w:r>
                    <w:rPr>
                      <w:rFonts w:hint="eastAsia"/>
                      <w:color w:val="auto"/>
                      <w:highlight w:val="none"/>
                      <w:lang w:val="en-US" w:eastAsia="zh-CN"/>
                    </w:rPr>
                    <w:t>56</w:t>
                  </w:r>
                </w:p>
              </w:tc>
              <w:tc>
                <w:tcPr>
                  <w:tcW w:w="1113" w:type="dxa"/>
                  <w:tcBorders>
                    <w:tl2br w:val="nil"/>
                    <w:tr2bl w:val="nil"/>
                  </w:tcBorders>
                  <w:vAlign w:val="center"/>
                </w:tcPr>
                <w:p>
                  <w:pPr>
                    <w:pStyle w:val="34"/>
                    <w:bidi w:val="0"/>
                    <w:jc w:val="center"/>
                    <w:rPr>
                      <w:rFonts w:hint="default"/>
                      <w:color w:val="auto"/>
                      <w:highlight w:val="none"/>
                      <w:lang w:val="en-US" w:eastAsia="zh-CN"/>
                    </w:rPr>
                  </w:pPr>
                  <w:r>
                    <w:rPr>
                      <w:rFonts w:hint="eastAsia"/>
                      <w:color w:val="auto"/>
                      <w:highlight w:val="none"/>
                      <w:lang w:val="en-US" w:eastAsia="zh-CN"/>
                    </w:rPr>
                    <w:t>50</w:t>
                  </w:r>
                </w:p>
              </w:tc>
              <w:tc>
                <w:tcPr>
                  <w:tcW w:w="1113" w:type="dxa"/>
                  <w:tcBorders>
                    <w:tl2br w:val="nil"/>
                    <w:tr2bl w:val="nil"/>
                  </w:tcBorders>
                  <w:vAlign w:val="center"/>
                </w:tcPr>
                <w:p>
                  <w:pPr>
                    <w:pStyle w:val="34"/>
                    <w:bidi w:val="0"/>
                    <w:ind w:left="0" w:leftChars="0" w:firstLine="0" w:firstLineChars="0"/>
                    <w:jc w:val="center"/>
                    <w:rPr>
                      <w:rFonts w:hint="eastAsia" w:ascii="Times New Roman" w:hAnsi="Times New Roman"/>
                      <w:color w:val="auto"/>
                      <w:highlight w:val="none"/>
                      <w:lang w:val="en-US" w:eastAsia="zh-CN"/>
                    </w:rPr>
                  </w:pPr>
                  <w:r>
                    <w:rPr>
                      <w:rFonts w:hint="eastAsia"/>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3" w:type="dxa"/>
                  <w:vMerge w:val="continue"/>
                  <w:tcBorders>
                    <w:tl2br w:val="nil"/>
                    <w:tr2bl w:val="nil"/>
                  </w:tcBorders>
                  <w:vAlign w:val="center"/>
                </w:tcPr>
                <w:p>
                  <w:pPr>
                    <w:pStyle w:val="34"/>
                    <w:bidi w:val="0"/>
                    <w:jc w:val="center"/>
                    <w:rPr>
                      <w:rFonts w:hint="eastAsia"/>
                      <w:color w:val="auto"/>
                      <w:highlight w:val="none"/>
                      <w:lang w:val="en-US" w:eastAsia="zh-CN"/>
                    </w:rPr>
                  </w:pPr>
                </w:p>
              </w:tc>
              <w:tc>
                <w:tcPr>
                  <w:tcW w:w="1113" w:type="dxa"/>
                  <w:vMerge w:val="continue"/>
                  <w:tcBorders>
                    <w:tl2br w:val="nil"/>
                    <w:tr2bl w:val="nil"/>
                  </w:tcBorders>
                  <w:vAlign w:val="center"/>
                </w:tcPr>
                <w:p>
                  <w:pPr>
                    <w:pStyle w:val="34"/>
                    <w:bidi w:val="0"/>
                    <w:jc w:val="center"/>
                    <w:rPr>
                      <w:rFonts w:hint="eastAsia"/>
                      <w:color w:val="auto"/>
                      <w:highlight w:val="none"/>
                      <w:lang w:val="en-US" w:eastAsia="zh-CN"/>
                    </w:rPr>
                  </w:pPr>
                </w:p>
              </w:tc>
              <w:tc>
                <w:tcPr>
                  <w:tcW w:w="1113" w:type="dxa"/>
                  <w:tcBorders>
                    <w:tl2br w:val="nil"/>
                    <w:tr2bl w:val="nil"/>
                  </w:tcBorders>
                  <w:shd w:val="clear" w:color="auto" w:fill="auto"/>
                  <w:vAlign w:val="center"/>
                </w:tcPr>
                <w:p>
                  <w:pPr>
                    <w:pStyle w:val="34"/>
                    <w:bidi w:val="0"/>
                    <w:ind w:left="0" w:leftChars="0" w:firstLine="0" w:firstLineChars="0"/>
                    <w:jc w:val="center"/>
                    <w:rPr>
                      <w:rFonts w:hint="eastAsia" w:ascii="Times New Roman" w:hAnsi="Times New Roman" w:eastAsia="宋体" w:cstheme="minorBidi"/>
                      <w:color w:val="auto"/>
                      <w:kern w:val="2"/>
                      <w:sz w:val="18"/>
                      <w:szCs w:val="18"/>
                      <w:highlight w:val="none"/>
                      <w:lang w:val="en-US" w:eastAsia="zh-CN" w:bidi="ar-SA"/>
                    </w:rPr>
                  </w:pPr>
                  <w:r>
                    <w:rPr>
                      <w:rFonts w:hint="eastAsia"/>
                      <w:color w:val="auto"/>
                      <w:highlight w:val="none"/>
                      <w:lang w:val="en-US" w:eastAsia="zh-CN"/>
                    </w:rPr>
                    <w:t>C</w:t>
                  </w:r>
                </w:p>
              </w:tc>
              <w:tc>
                <w:tcPr>
                  <w:tcW w:w="1113" w:type="dxa"/>
                  <w:tcBorders>
                    <w:tl2br w:val="nil"/>
                    <w:tr2bl w:val="nil"/>
                  </w:tcBorders>
                  <w:vAlign w:val="center"/>
                </w:tcPr>
                <w:p>
                  <w:pPr>
                    <w:pStyle w:val="34"/>
                    <w:bidi w:val="0"/>
                    <w:jc w:val="center"/>
                    <w:rPr>
                      <w:rFonts w:hint="eastAsia"/>
                      <w:color w:val="auto"/>
                      <w:highlight w:val="none"/>
                      <w:lang w:val="en-US" w:eastAsia="zh-CN"/>
                    </w:rPr>
                  </w:pPr>
                  <w:r>
                    <w:rPr>
                      <w:rFonts w:hint="eastAsia"/>
                      <w:color w:val="auto"/>
                      <w:highlight w:val="none"/>
                      <w:lang w:val="en-US" w:eastAsia="zh-CN"/>
                    </w:rPr>
                    <w:t>厂界西侧</w:t>
                  </w:r>
                </w:p>
              </w:tc>
              <w:tc>
                <w:tcPr>
                  <w:tcW w:w="1113" w:type="dxa"/>
                  <w:tcBorders>
                    <w:tl2br w:val="nil"/>
                    <w:tr2bl w:val="nil"/>
                  </w:tcBorders>
                  <w:vAlign w:val="center"/>
                </w:tcPr>
                <w:p>
                  <w:pPr>
                    <w:pStyle w:val="34"/>
                    <w:bidi w:val="0"/>
                    <w:jc w:val="center"/>
                    <w:rPr>
                      <w:rFonts w:hint="default"/>
                      <w:color w:val="auto"/>
                      <w:highlight w:val="none"/>
                      <w:lang w:val="en-US" w:eastAsia="zh-CN"/>
                    </w:rPr>
                  </w:pPr>
                  <w:r>
                    <w:rPr>
                      <w:rFonts w:hint="eastAsia"/>
                      <w:color w:val="auto"/>
                      <w:highlight w:val="none"/>
                      <w:lang w:val="en-US" w:eastAsia="zh-CN"/>
                    </w:rPr>
                    <w:t>58</w:t>
                  </w:r>
                </w:p>
              </w:tc>
              <w:tc>
                <w:tcPr>
                  <w:tcW w:w="1113" w:type="dxa"/>
                  <w:tcBorders>
                    <w:tl2br w:val="nil"/>
                    <w:tr2bl w:val="nil"/>
                  </w:tcBorders>
                  <w:vAlign w:val="center"/>
                </w:tcPr>
                <w:p>
                  <w:pPr>
                    <w:pStyle w:val="34"/>
                    <w:bidi w:val="0"/>
                    <w:jc w:val="center"/>
                    <w:rPr>
                      <w:rFonts w:hint="default"/>
                      <w:color w:val="auto"/>
                      <w:highlight w:val="none"/>
                      <w:lang w:val="en-US" w:eastAsia="zh-CN"/>
                    </w:rPr>
                  </w:pPr>
                  <w:r>
                    <w:rPr>
                      <w:rFonts w:hint="eastAsia"/>
                      <w:color w:val="auto"/>
                      <w:highlight w:val="none"/>
                      <w:lang w:val="en-US" w:eastAsia="zh-CN"/>
                    </w:rPr>
                    <w:t>49</w:t>
                  </w:r>
                </w:p>
              </w:tc>
              <w:tc>
                <w:tcPr>
                  <w:tcW w:w="1113" w:type="dxa"/>
                  <w:tcBorders>
                    <w:tl2br w:val="nil"/>
                    <w:tr2bl w:val="nil"/>
                  </w:tcBorders>
                  <w:vAlign w:val="center"/>
                </w:tcPr>
                <w:p>
                  <w:pPr>
                    <w:pStyle w:val="34"/>
                    <w:bidi w:val="0"/>
                    <w:ind w:left="0" w:leftChars="0" w:firstLine="0" w:firstLineChars="0"/>
                    <w:jc w:val="center"/>
                    <w:rPr>
                      <w:rFonts w:hint="eastAsia" w:ascii="Times New Roman" w:hAnsi="Times New Roman"/>
                      <w:color w:val="auto"/>
                      <w:highlight w:val="none"/>
                      <w:lang w:val="en-US" w:eastAsia="zh-CN"/>
                    </w:rPr>
                  </w:pPr>
                  <w:r>
                    <w:rPr>
                      <w:rFonts w:hint="eastAsia"/>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3" w:type="dxa"/>
                  <w:vMerge w:val="continue"/>
                  <w:tcBorders>
                    <w:tl2br w:val="nil"/>
                    <w:tr2bl w:val="nil"/>
                  </w:tcBorders>
                  <w:vAlign w:val="center"/>
                </w:tcPr>
                <w:p>
                  <w:pPr>
                    <w:pStyle w:val="34"/>
                    <w:bidi w:val="0"/>
                    <w:jc w:val="center"/>
                    <w:rPr>
                      <w:rFonts w:hint="eastAsia"/>
                      <w:color w:val="auto"/>
                      <w:highlight w:val="none"/>
                      <w:lang w:val="en-US" w:eastAsia="zh-CN"/>
                    </w:rPr>
                  </w:pPr>
                </w:p>
              </w:tc>
              <w:tc>
                <w:tcPr>
                  <w:tcW w:w="1113" w:type="dxa"/>
                  <w:vMerge w:val="continue"/>
                  <w:tcBorders>
                    <w:tl2br w:val="nil"/>
                    <w:tr2bl w:val="nil"/>
                  </w:tcBorders>
                  <w:vAlign w:val="center"/>
                </w:tcPr>
                <w:p>
                  <w:pPr>
                    <w:pStyle w:val="34"/>
                    <w:bidi w:val="0"/>
                    <w:jc w:val="center"/>
                    <w:rPr>
                      <w:rFonts w:hint="eastAsia"/>
                      <w:color w:val="auto"/>
                      <w:highlight w:val="none"/>
                      <w:lang w:val="en-US" w:eastAsia="zh-CN"/>
                    </w:rPr>
                  </w:pPr>
                </w:p>
              </w:tc>
              <w:tc>
                <w:tcPr>
                  <w:tcW w:w="1113" w:type="dxa"/>
                  <w:tcBorders>
                    <w:tl2br w:val="nil"/>
                    <w:tr2bl w:val="nil"/>
                  </w:tcBorders>
                  <w:shd w:val="clear" w:color="auto" w:fill="auto"/>
                  <w:vAlign w:val="center"/>
                </w:tcPr>
                <w:p>
                  <w:pPr>
                    <w:pStyle w:val="34"/>
                    <w:bidi w:val="0"/>
                    <w:ind w:left="0" w:leftChars="0" w:firstLine="0" w:firstLineChars="0"/>
                    <w:jc w:val="center"/>
                    <w:rPr>
                      <w:rFonts w:hint="eastAsia" w:ascii="Times New Roman" w:hAnsi="Times New Roman" w:eastAsia="宋体" w:cstheme="minorBidi"/>
                      <w:color w:val="auto"/>
                      <w:kern w:val="2"/>
                      <w:sz w:val="18"/>
                      <w:szCs w:val="18"/>
                      <w:highlight w:val="none"/>
                      <w:lang w:val="en-US" w:eastAsia="zh-CN" w:bidi="ar-SA"/>
                    </w:rPr>
                  </w:pPr>
                  <w:r>
                    <w:rPr>
                      <w:rFonts w:hint="eastAsia"/>
                      <w:color w:val="auto"/>
                      <w:highlight w:val="none"/>
                      <w:lang w:val="en-US" w:eastAsia="zh-CN"/>
                    </w:rPr>
                    <w:t>D</w:t>
                  </w:r>
                </w:p>
              </w:tc>
              <w:tc>
                <w:tcPr>
                  <w:tcW w:w="1113" w:type="dxa"/>
                  <w:tcBorders>
                    <w:tl2br w:val="nil"/>
                    <w:tr2bl w:val="nil"/>
                  </w:tcBorders>
                  <w:vAlign w:val="center"/>
                </w:tcPr>
                <w:p>
                  <w:pPr>
                    <w:pStyle w:val="34"/>
                    <w:bidi w:val="0"/>
                    <w:jc w:val="center"/>
                    <w:rPr>
                      <w:rFonts w:hint="eastAsia"/>
                      <w:color w:val="auto"/>
                      <w:highlight w:val="none"/>
                      <w:lang w:val="en-US" w:eastAsia="zh-CN"/>
                    </w:rPr>
                  </w:pPr>
                  <w:r>
                    <w:rPr>
                      <w:rFonts w:hint="eastAsia"/>
                      <w:color w:val="auto"/>
                      <w:highlight w:val="none"/>
                      <w:lang w:val="en-US" w:eastAsia="zh-CN"/>
                    </w:rPr>
                    <w:t>厂界北侧</w:t>
                  </w:r>
                </w:p>
              </w:tc>
              <w:tc>
                <w:tcPr>
                  <w:tcW w:w="1113" w:type="dxa"/>
                  <w:tcBorders>
                    <w:tl2br w:val="nil"/>
                    <w:tr2bl w:val="nil"/>
                  </w:tcBorders>
                  <w:vAlign w:val="center"/>
                </w:tcPr>
                <w:p>
                  <w:pPr>
                    <w:pStyle w:val="34"/>
                    <w:bidi w:val="0"/>
                    <w:jc w:val="center"/>
                    <w:rPr>
                      <w:rFonts w:hint="default"/>
                      <w:color w:val="auto"/>
                      <w:highlight w:val="none"/>
                      <w:lang w:val="en-US" w:eastAsia="zh-CN"/>
                    </w:rPr>
                  </w:pPr>
                  <w:r>
                    <w:rPr>
                      <w:rFonts w:hint="eastAsia"/>
                      <w:color w:val="auto"/>
                      <w:highlight w:val="none"/>
                      <w:lang w:val="en-US" w:eastAsia="zh-CN"/>
                    </w:rPr>
                    <w:t>55</w:t>
                  </w:r>
                </w:p>
              </w:tc>
              <w:tc>
                <w:tcPr>
                  <w:tcW w:w="1113" w:type="dxa"/>
                  <w:tcBorders>
                    <w:tl2br w:val="nil"/>
                    <w:tr2bl w:val="nil"/>
                  </w:tcBorders>
                  <w:vAlign w:val="center"/>
                </w:tcPr>
                <w:p>
                  <w:pPr>
                    <w:pStyle w:val="34"/>
                    <w:bidi w:val="0"/>
                    <w:jc w:val="center"/>
                    <w:rPr>
                      <w:rFonts w:hint="default"/>
                      <w:color w:val="auto"/>
                      <w:highlight w:val="none"/>
                      <w:lang w:val="en-US" w:eastAsia="zh-CN"/>
                    </w:rPr>
                  </w:pPr>
                  <w:r>
                    <w:rPr>
                      <w:rFonts w:hint="eastAsia"/>
                      <w:color w:val="auto"/>
                      <w:highlight w:val="none"/>
                      <w:lang w:val="en-US" w:eastAsia="zh-CN"/>
                    </w:rPr>
                    <w:t>49</w:t>
                  </w:r>
                </w:p>
              </w:tc>
              <w:tc>
                <w:tcPr>
                  <w:tcW w:w="1113" w:type="dxa"/>
                  <w:tcBorders>
                    <w:tl2br w:val="nil"/>
                    <w:tr2bl w:val="nil"/>
                  </w:tcBorders>
                  <w:vAlign w:val="center"/>
                </w:tcPr>
                <w:p>
                  <w:pPr>
                    <w:pStyle w:val="34"/>
                    <w:bidi w:val="0"/>
                    <w:ind w:left="0" w:leftChars="0" w:firstLine="0" w:firstLineChars="0"/>
                    <w:jc w:val="center"/>
                    <w:rPr>
                      <w:rFonts w:hint="eastAsia" w:ascii="Times New Roman" w:hAnsi="Times New Roman"/>
                      <w:color w:val="auto"/>
                      <w:highlight w:val="none"/>
                      <w:lang w:val="en-US" w:eastAsia="zh-CN"/>
                    </w:rPr>
                  </w:pPr>
                  <w:r>
                    <w:rPr>
                      <w:rFonts w:hint="eastAsia"/>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3" w:type="dxa"/>
                  <w:vMerge w:val="continue"/>
                  <w:tcBorders>
                    <w:tl2br w:val="nil"/>
                    <w:tr2bl w:val="nil"/>
                  </w:tcBorders>
                  <w:vAlign w:val="center"/>
                </w:tcPr>
                <w:p>
                  <w:pPr>
                    <w:pStyle w:val="34"/>
                    <w:bidi w:val="0"/>
                    <w:jc w:val="center"/>
                    <w:rPr>
                      <w:rFonts w:hint="eastAsia"/>
                      <w:color w:val="auto"/>
                      <w:highlight w:val="none"/>
                      <w:lang w:val="en-US" w:eastAsia="zh-CN"/>
                    </w:rPr>
                  </w:pPr>
                </w:p>
              </w:tc>
              <w:tc>
                <w:tcPr>
                  <w:tcW w:w="1113" w:type="dxa"/>
                  <w:vMerge w:val="restart"/>
                  <w:tcBorders>
                    <w:tl2br w:val="nil"/>
                    <w:tr2bl w:val="nil"/>
                  </w:tcBorders>
                  <w:vAlign w:val="center"/>
                </w:tcPr>
                <w:p>
                  <w:pPr>
                    <w:pStyle w:val="34"/>
                    <w:bidi w:val="0"/>
                    <w:jc w:val="center"/>
                    <w:rPr>
                      <w:rFonts w:hint="default"/>
                      <w:color w:val="auto"/>
                      <w:highlight w:val="none"/>
                      <w:lang w:val="en-US" w:eastAsia="zh-CN"/>
                    </w:rPr>
                  </w:pPr>
                  <w:r>
                    <w:rPr>
                      <w:rFonts w:hint="eastAsia"/>
                      <w:color w:val="auto"/>
                      <w:highlight w:val="none"/>
                      <w:lang w:val="en-US" w:eastAsia="zh-CN"/>
                    </w:rPr>
                    <w:t>2026.2.24（2026年一季度）</w:t>
                  </w:r>
                </w:p>
              </w:tc>
              <w:tc>
                <w:tcPr>
                  <w:tcW w:w="1113" w:type="dxa"/>
                  <w:tcBorders>
                    <w:tl2br w:val="nil"/>
                    <w:tr2bl w:val="nil"/>
                  </w:tcBorders>
                  <w:vAlign w:val="center"/>
                </w:tcPr>
                <w:p>
                  <w:pPr>
                    <w:pStyle w:val="34"/>
                    <w:bidi w:val="0"/>
                    <w:jc w:val="center"/>
                    <w:rPr>
                      <w:rFonts w:hint="default"/>
                      <w:color w:val="auto"/>
                      <w:highlight w:val="none"/>
                      <w:lang w:val="en-US" w:eastAsia="zh-CN"/>
                    </w:rPr>
                  </w:pPr>
                  <w:r>
                    <w:rPr>
                      <w:rFonts w:hint="eastAsia"/>
                      <w:color w:val="auto"/>
                      <w:highlight w:val="none"/>
                      <w:lang w:val="en-US" w:eastAsia="zh-CN"/>
                    </w:rPr>
                    <w:t>A</w:t>
                  </w:r>
                </w:p>
              </w:tc>
              <w:tc>
                <w:tcPr>
                  <w:tcW w:w="1113" w:type="dxa"/>
                  <w:tcBorders>
                    <w:tl2br w:val="nil"/>
                    <w:tr2bl w:val="nil"/>
                  </w:tcBorders>
                  <w:vAlign w:val="center"/>
                </w:tcPr>
                <w:p>
                  <w:pPr>
                    <w:pStyle w:val="34"/>
                    <w:bidi w:val="0"/>
                    <w:ind w:left="0" w:leftChars="0" w:firstLine="0" w:firstLineChars="0"/>
                    <w:jc w:val="center"/>
                    <w:rPr>
                      <w:rFonts w:hint="default"/>
                      <w:color w:val="auto"/>
                      <w:highlight w:val="none"/>
                      <w:lang w:val="en-US" w:eastAsia="zh-CN"/>
                    </w:rPr>
                  </w:pPr>
                  <w:r>
                    <w:rPr>
                      <w:rFonts w:hint="eastAsia"/>
                      <w:color w:val="auto"/>
                      <w:highlight w:val="none"/>
                      <w:lang w:val="en-US" w:eastAsia="zh-CN"/>
                    </w:rPr>
                    <w:t>厂界东侧</w:t>
                  </w:r>
                </w:p>
              </w:tc>
              <w:tc>
                <w:tcPr>
                  <w:tcW w:w="1113" w:type="dxa"/>
                  <w:tcBorders>
                    <w:tl2br w:val="nil"/>
                    <w:tr2bl w:val="nil"/>
                  </w:tcBorders>
                  <w:vAlign w:val="center"/>
                </w:tcPr>
                <w:p>
                  <w:pPr>
                    <w:pStyle w:val="34"/>
                    <w:bidi w:val="0"/>
                    <w:jc w:val="center"/>
                    <w:rPr>
                      <w:rFonts w:hint="default"/>
                      <w:color w:val="auto"/>
                      <w:highlight w:val="none"/>
                      <w:lang w:val="en-US" w:eastAsia="zh-CN"/>
                    </w:rPr>
                  </w:pPr>
                  <w:r>
                    <w:rPr>
                      <w:rFonts w:hint="eastAsia"/>
                      <w:color w:val="auto"/>
                      <w:highlight w:val="none"/>
                      <w:lang w:val="en-US" w:eastAsia="zh-CN"/>
                    </w:rPr>
                    <w:t>57</w:t>
                  </w:r>
                </w:p>
              </w:tc>
              <w:tc>
                <w:tcPr>
                  <w:tcW w:w="1113" w:type="dxa"/>
                  <w:tcBorders>
                    <w:tl2br w:val="nil"/>
                    <w:tr2bl w:val="nil"/>
                  </w:tcBorders>
                  <w:vAlign w:val="center"/>
                </w:tcPr>
                <w:p>
                  <w:pPr>
                    <w:pStyle w:val="34"/>
                    <w:bidi w:val="0"/>
                    <w:jc w:val="center"/>
                    <w:rPr>
                      <w:rFonts w:hint="default"/>
                      <w:color w:val="auto"/>
                      <w:highlight w:val="none"/>
                      <w:lang w:val="en-US" w:eastAsia="zh-CN"/>
                    </w:rPr>
                  </w:pPr>
                  <w:r>
                    <w:rPr>
                      <w:rFonts w:hint="eastAsia"/>
                      <w:color w:val="auto"/>
                      <w:highlight w:val="none"/>
                      <w:lang w:val="en-US" w:eastAsia="zh-CN"/>
                    </w:rPr>
                    <w:t>46</w:t>
                  </w:r>
                </w:p>
              </w:tc>
              <w:tc>
                <w:tcPr>
                  <w:tcW w:w="1113" w:type="dxa"/>
                  <w:tcBorders>
                    <w:tl2br w:val="nil"/>
                    <w:tr2bl w:val="nil"/>
                  </w:tcBorders>
                  <w:vAlign w:val="center"/>
                </w:tcPr>
                <w:p>
                  <w:pPr>
                    <w:pStyle w:val="34"/>
                    <w:bidi w:val="0"/>
                    <w:ind w:left="0" w:leftChars="0" w:firstLine="0" w:firstLineChars="0"/>
                    <w:jc w:val="center"/>
                    <w:rPr>
                      <w:rFonts w:hint="eastAsia" w:ascii="Times New Roman" w:hAnsi="Times New Roman"/>
                      <w:color w:val="auto"/>
                      <w:highlight w:val="none"/>
                      <w:lang w:val="en-US" w:eastAsia="zh-CN"/>
                    </w:rPr>
                  </w:pPr>
                  <w:r>
                    <w:rPr>
                      <w:rFonts w:hint="eastAsia"/>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3" w:type="dxa"/>
                  <w:vMerge w:val="continue"/>
                  <w:tcBorders>
                    <w:tl2br w:val="nil"/>
                    <w:tr2bl w:val="nil"/>
                  </w:tcBorders>
                  <w:vAlign w:val="center"/>
                </w:tcPr>
                <w:p>
                  <w:pPr>
                    <w:pStyle w:val="34"/>
                    <w:bidi w:val="0"/>
                    <w:jc w:val="center"/>
                    <w:rPr>
                      <w:rFonts w:hint="eastAsia"/>
                      <w:color w:val="auto"/>
                      <w:highlight w:val="none"/>
                      <w:lang w:val="en-US" w:eastAsia="zh-CN"/>
                    </w:rPr>
                  </w:pPr>
                </w:p>
              </w:tc>
              <w:tc>
                <w:tcPr>
                  <w:tcW w:w="1113" w:type="dxa"/>
                  <w:vMerge w:val="continue"/>
                  <w:tcBorders>
                    <w:tl2br w:val="nil"/>
                    <w:tr2bl w:val="nil"/>
                  </w:tcBorders>
                  <w:vAlign w:val="center"/>
                </w:tcPr>
                <w:p>
                  <w:pPr>
                    <w:pStyle w:val="34"/>
                    <w:bidi w:val="0"/>
                    <w:jc w:val="center"/>
                    <w:rPr>
                      <w:rFonts w:hint="eastAsia"/>
                      <w:color w:val="auto"/>
                      <w:highlight w:val="none"/>
                      <w:lang w:val="en-US" w:eastAsia="zh-CN"/>
                    </w:rPr>
                  </w:pPr>
                </w:p>
              </w:tc>
              <w:tc>
                <w:tcPr>
                  <w:tcW w:w="1113" w:type="dxa"/>
                  <w:tcBorders>
                    <w:tl2br w:val="nil"/>
                    <w:tr2bl w:val="nil"/>
                  </w:tcBorders>
                  <w:vAlign w:val="center"/>
                </w:tcPr>
                <w:p>
                  <w:pPr>
                    <w:pStyle w:val="34"/>
                    <w:bidi w:val="0"/>
                    <w:jc w:val="center"/>
                    <w:rPr>
                      <w:rFonts w:hint="default"/>
                      <w:color w:val="auto"/>
                      <w:highlight w:val="none"/>
                      <w:lang w:val="en-US" w:eastAsia="zh-CN"/>
                    </w:rPr>
                  </w:pPr>
                  <w:r>
                    <w:rPr>
                      <w:rFonts w:hint="eastAsia"/>
                      <w:color w:val="auto"/>
                      <w:highlight w:val="none"/>
                      <w:lang w:val="en-US" w:eastAsia="zh-CN"/>
                    </w:rPr>
                    <w:t>B</w:t>
                  </w:r>
                </w:p>
              </w:tc>
              <w:tc>
                <w:tcPr>
                  <w:tcW w:w="1113" w:type="dxa"/>
                  <w:tcBorders>
                    <w:tl2br w:val="nil"/>
                    <w:tr2bl w:val="nil"/>
                  </w:tcBorders>
                  <w:vAlign w:val="center"/>
                </w:tcPr>
                <w:p>
                  <w:pPr>
                    <w:pStyle w:val="34"/>
                    <w:bidi w:val="0"/>
                    <w:ind w:left="0" w:leftChars="0" w:firstLine="0" w:firstLineChars="0"/>
                    <w:jc w:val="center"/>
                    <w:rPr>
                      <w:rFonts w:hint="eastAsia"/>
                      <w:color w:val="auto"/>
                      <w:highlight w:val="none"/>
                      <w:lang w:val="en-US" w:eastAsia="zh-CN"/>
                    </w:rPr>
                  </w:pPr>
                  <w:r>
                    <w:rPr>
                      <w:rFonts w:hint="eastAsia"/>
                      <w:color w:val="auto"/>
                      <w:highlight w:val="none"/>
                      <w:lang w:val="en-US" w:eastAsia="zh-CN"/>
                    </w:rPr>
                    <w:t>厂界西侧</w:t>
                  </w:r>
                </w:p>
              </w:tc>
              <w:tc>
                <w:tcPr>
                  <w:tcW w:w="1113" w:type="dxa"/>
                  <w:tcBorders>
                    <w:tl2br w:val="nil"/>
                    <w:tr2bl w:val="nil"/>
                  </w:tcBorders>
                  <w:vAlign w:val="center"/>
                </w:tcPr>
                <w:p>
                  <w:pPr>
                    <w:pStyle w:val="34"/>
                    <w:bidi w:val="0"/>
                    <w:jc w:val="center"/>
                    <w:rPr>
                      <w:rFonts w:hint="default"/>
                      <w:color w:val="auto"/>
                      <w:highlight w:val="none"/>
                      <w:lang w:val="en-US" w:eastAsia="zh-CN"/>
                    </w:rPr>
                  </w:pPr>
                  <w:r>
                    <w:rPr>
                      <w:rFonts w:hint="eastAsia"/>
                      <w:color w:val="auto"/>
                      <w:highlight w:val="none"/>
                      <w:lang w:val="en-US" w:eastAsia="zh-CN"/>
                    </w:rPr>
                    <w:t>55</w:t>
                  </w:r>
                </w:p>
              </w:tc>
              <w:tc>
                <w:tcPr>
                  <w:tcW w:w="1113" w:type="dxa"/>
                  <w:tcBorders>
                    <w:tl2br w:val="nil"/>
                    <w:tr2bl w:val="nil"/>
                  </w:tcBorders>
                  <w:vAlign w:val="center"/>
                </w:tcPr>
                <w:p>
                  <w:pPr>
                    <w:pStyle w:val="34"/>
                    <w:bidi w:val="0"/>
                    <w:jc w:val="center"/>
                    <w:rPr>
                      <w:rFonts w:hint="default"/>
                      <w:color w:val="auto"/>
                      <w:highlight w:val="none"/>
                      <w:lang w:val="en-US" w:eastAsia="zh-CN"/>
                    </w:rPr>
                  </w:pPr>
                  <w:r>
                    <w:rPr>
                      <w:rFonts w:hint="eastAsia"/>
                      <w:color w:val="auto"/>
                      <w:highlight w:val="none"/>
                      <w:lang w:val="en-US" w:eastAsia="zh-CN"/>
                    </w:rPr>
                    <w:t>46</w:t>
                  </w:r>
                </w:p>
              </w:tc>
              <w:tc>
                <w:tcPr>
                  <w:tcW w:w="1113" w:type="dxa"/>
                  <w:tcBorders>
                    <w:tl2br w:val="nil"/>
                    <w:tr2bl w:val="nil"/>
                  </w:tcBorders>
                  <w:vAlign w:val="center"/>
                </w:tcPr>
                <w:p>
                  <w:pPr>
                    <w:pStyle w:val="34"/>
                    <w:bidi w:val="0"/>
                    <w:ind w:left="0" w:leftChars="0" w:firstLine="0" w:firstLineChars="0"/>
                    <w:jc w:val="center"/>
                    <w:rPr>
                      <w:rFonts w:hint="eastAsia" w:ascii="Times New Roman" w:hAnsi="Times New Roman"/>
                      <w:color w:val="auto"/>
                      <w:highlight w:val="none"/>
                      <w:lang w:val="en-US" w:eastAsia="zh-CN"/>
                    </w:rPr>
                  </w:pPr>
                  <w:r>
                    <w:rPr>
                      <w:rFonts w:hint="eastAsia"/>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3" w:type="dxa"/>
                  <w:vMerge w:val="continue"/>
                  <w:tcBorders>
                    <w:tl2br w:val="nil"/>
                    <w:tr2bl w:val="nil"/>
                  </w:tcBorders>
                  <w:vAlign w:val="center"/>
                </w:tcPr>
                <w:p>
                  <w:pPr>
                    <w:pStyle w:val="34"/>
                    <w:bidi w:val="0"/>
                    <w:jc w:val="center"/>
                    <w:rPr>
                      <w:rFonts w:hint="eastAsia"/>
                      <w:color w:val="auto"/>
                      <w:highlight w:val="none"/>
                      <w:lang w:val="en-US" w:eastAsia="zh-CN"/>
                    </w:rPr>
                  </w:pPr>
                </w:p>
              </w:tc>
              <w:tc>
                <w:tcPr>
                  <w:tcW w:w="1113" w:type="dxa"/>
                  <w:vMerge w:val="continue"/>
                  <w:tcBorders>
                    <w:tl2br w:val="nil"/>
                    <w:tr2bl w:val="nil"/>
                  </w:tcBorders>
                  <w:vAlign w:val="center"/>
                </w:tcPr>
                <w:p>
                  <w:pPr>
                    <w:pStyle w:val="34"/>
                    <w:bidi w:val="0"/>
                    <w:jc w:val="center"/>
                    <w:rPr>
                      <w:rFonts w:hint="eastAsia"/>
                      <w:color w:val="auto"/>
                      <w:highlight w:val="none"/>
                      <w:lang w:val="en-US" w:eastAsia="zh-CN"/>
                    </w:rPr>
                  </w:pPr>
                </w:p>
              </w:tc>
              <w:tc>
                <w:tcPr>
                  <w:tcW w:w="1113" w:type="dxa"/>
                  <w:tcBorders>
                    <w:tl2br w:val="nil"/>
                    <w:tr2bl w:val="nil"/>
                  </w:tcBorders>
                  <w:vAlign w:val="center"/>
                </w:tcPr>
                <w:p>
                  <w:pPr>
                    <w:pStyle w:val="34"/>
                    <w:bidi w:val="0"/>
                    <w:jc w:val="center"/>
                    <w:rPr>
                      <w:rFonts w:hint="default"/>
                      <w:color w:val="auto"/>
                      <w:highlight w:val="none"/>
                      <w:lang w:val="en-US" w:eastAsia="zh-CN"/>
                    </w:rPr>
                  </w:pPr>
                  <w:r>
                    <w:rPr>
                      <w:rFonts w:hint="eastAsia"/>
                      <w:color w:val="auto"/>
                      <w:highlight w:val="none"/>
                      <w:lang w:val="en-US" w:eastAsia="zh-CN"/>
                    </w:rPr>
                    <w:t>C</w:t>
                  </w:r>
                </w:p>
              </w:tc>
              <w:tc>
                <w:tcPr>
                  <w:tcW w:w="1113" w:type="dxa"/>
                  <w:tcBorders>
                    <w:tl2br w:val="nil"/>
                    <w:tr2bl w:val="nil"/>
                  </w:tcBorders>
                  <w:vAlign w:val="center"/>
                </w:tcPr>
                <w:p>
                  <w:pPr>
                    <w:pStyle w:val="34"/>
                    <w:bidi w:val="0"/>
                    <w:ind w:left="0" w:leftChars="0" w:firstLine="0" w:firstLineChars="0"/>
                    <w:jc w:val="center"/>
                    <w:rPr>
                      <w:rFonts w:hint="eastAsia"/>
                      <w:color w:val="auto"/>
                      <w:highlight w:val="none"/>
                      <w:lang w:val="en-US" w:eastAsia="zh-CN"/>
                    </w:rPr>
                  </w:pPr>
                  <w:r>
                    <w:rPr>
                      <w:rFonts w:hint="eastAsia"/>
                      <w:color w:val="auto"/>
                      <w:highlight w:val="none"/>
                      <w:lang w:val="en-US" w:eastAsia="zh-CN"/>
                    </w:rPr>
                    <w:t>厂界南侧</w:t>
                  </w:r>
                </w:p>
              </w:tc>
              <w:tc>
                <w:tcPr>
                  <w:tcW w:w="1113" w:type="dxa"/>
                  <w:tcBorders>
                    <w:tl2br w:val="nil"/>
                    <w:tr2bl w:val="nil"/>
                  </w:tcBorders>
                  <w:vAlign w:val="center"/>
                </w:tcPr>
                <w:p>
                  <w:pPr>
                    <w:pStyle w:val="34"/>
                    <w:bidi w:val="0"/>
                    <w:jc w:val="center"/>
                    <w:rPr>
                      <w:rFonts w:hint="default"/>
                      <w:color w:val="auto"/>
                      <w:highlight w:val="none"/>
                      <w:lang w:val="en-US" w:eastAsia="zh-CN"/>
                    </w:rPr>
                  </w:pPr>
                  <w:r>
                    <w:rPr>
                      <w:rFonts w:hint="eastAsia"/>
                      <w:color w:val="auto"/>
                      <w:highlight w:val="none"/>
                      <w:lang w:val="en-US" w:eastAsia="zh-CN"/>
                    </w:rPr>
                    <w:t>54</w:t>
                  </w:r>
                </w:p>
              </w:tc>
              <w:tc>
                <w:tcPr>
                  <w:tcW w:w="1113" w:type="dxa"/>
                  <w:tcBorders>
                    <w:tl2br w:val="nil"/>
                    <w:tr2bl w:val="nil"/>
                  </w:tcBorders>
                  <w:vAlign w:val="center"/>
                </w:tcPr>
                <w:p>
                  <w:pPr>
                    <w:pStyle w:val="34"/>
                    <w:bidi w:val="0"/>
                    <w:jc w:val="center"/>
                    <w:rPr>
                      <w:rFonts w:hint="default"/>
                      <w:color w:val="auto"/>
                      <w:highlight w:val="none"/>
                      <w:lang w:val="en-US" w:eastAsia="zh-CN"/>
                    </w:rPr>
                  </w:pPr>
                  <w:r>
                    <w:rPr>
                      <w:rFonts w:hint="eastAsia"/>
                      <w:color w:val="auto"/>
                      <w:highlight w:val="none"/>
                      <w:lang w:val="en-US" w:eastAsia="zh-CN"/>
                    </w:rPr>
                    <w:t>47</w:t>
                  </w:r>
                </w:p>
              </w:tc>
              <w:tc>
                <w:tcPr>
                  <w:tcW w:w="1113" w:type="dxa"/>
                  <w:tcBorders>
                    <w:tl2br w:val="nil"/>
                    <w:tr2bl w:val="nil"/>
                  </w:tcBorders>
                  <w:vAlign w:val="center"/>
                </w:tcPr>
                <w:p>
                  <w:pPr>
                    <w:pStyle w:val="34"/>
                    <w:bidi w:val="0"/>
                    <w:ind w:left="0" w:leftChars="0" w:firstLine="0" w:firstLineChars="0"/>
                    <w:jc w:val="center"/>
                    <w:rPr>
                      <w:rFonts w:hint="eastAsia" w:ascii="Times New Roman" w:hAnsi="Times New Roman"/>
                      <w:color w:val="auto"/>
                      <w:highlight w:val="none"/>
                      <w:lang w:val="en-US" w:eastAsia="zh-CN"/>
                    </w:rPr>
                  </w:pPr>
                  <w:r>
                    <w:rPr>
                      <w:rFonts w:hint="eastAsia"/>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3" w:type="dxa"/>
                  <w:vMerge w:val="continue"/>
                  <w:tcBorders>
                    <w:tl2br w:val="nil"/>
                    <w:tr2bl w:val="nil"/>
                  </w:tcBorders>
                  <w:vAlign w:val="center"/>
                </w:tcPr>
                <w:p>
                  <w:pPr>
                    <w:pStyle w:val="34"/>
                    <w:bidi w:val="0"/>
                    <w:jc w:val="center"/>
                    <w:rPr>
                      <w:rFonts w:hint="eastAsia"/>
                      <w:color w:val="auto"/>
                      <w:highlight w:val="none"/>
                      <w:lang w:val="en-US" w:eastAsia="zh-CN"/>
                    </w:rPr>
                  </w:pPr>
                </w:p>
              </w:tc>
              <w:tc>
                <w:tcPr>
                  <w:tcW w:w="1113" w:type="dxa"/>
                  <w:vMerge w:val="continue"/>
                  <w:tcBorders>
                    <w:tl2br w:val="nil"/>
                    <w:tr2bl w:val="nil"/>
                  </w:tcBorders>
                  <w:vAlign w:val="center"/>
                </w:tcPr>
                <w:p>
                  <w:pPr>
                    <w:pStyle w:val="34"/>
                    <w:bidi w:val="0"/>
                    <w:jc w:val="center"/>
                    <w:rPr>
                      <w:rFonts w:hint="eastAsia"/>
                      <w:color w:val="auto"/>
                      <w:highlight w:val="none"/>
                      <w:lang w:val="en-US" w:eastAsia="zh-CN"/>
                    </w:rPr>
                  </w:pPr>
                </w:p>
              </w:tc>
              <w:tc>
                <w:tcPr>
                  <w:tcW w:w="1113" w:type="dxa"/>
                  <w:tcBorders>
                    <w:tl2br w:val="nil"/>
                    <w:tr2bl w:val="nil"/>
                  </w:tcBorders>
                  <w:vAlign w:val="center"/>
                </w:tcPr>
                <w:p>
                  <w:pPr>
                    <w:pStyle w:val="34"/>
                    <w:bidi w:val="0"/>
                    <w:jc w:val="center"/>
                    <w:rPr>
                      <w:rFonts w:hint="default"/>
                      <w:color w:val="auto"/>
                      <w:highlight w:val="none"/>
                      <w:lang w:val="en-US" w:eastAsia="zh-CN"/>
                    </w:rPr>
                  </w:pPr>
                  <w:r>
                    <w:rPr>
                      <w:rFonts w:hint="eastAsia"/>
                      <w:color w:val="auto"/>
                      <w:highlight w:val="none"/>
                      <w:lang w:val="en-US" w:eastAsia="zh-CN"/>
                    </w:rPr>
                    <w:t>D</w:t>
                  </w:r>
                </w:p>
              </w:tc>
              <w:tc>
                <w:tcPr>
                  <w:tcW w:w="1113" w:type="dxa"/>
                  <w:tcBorders>
                    <w:tl2br w:val="nil"/>
                    <w:tr2bl w:val="nil"/>
                  </w:tcBorders>
                  <w:vAlign w:val="center"/>
                </w:tcPr>
                <w:p>
                  <w:pPr>
                    <w:pStyle w:val="34"/>
                    <w:bidi w:val="0"/>
                    <w:ind w:left="0" w:leftChars="0" w:firstLine="0" w:firstLineChars="0"/>
                    <w:jc w:val="center"/>
                    <w:rPr>
                      <w:rFonts w:hint="eastAsia"/>
                      <w:color w:val="auto"/>
                      <w:highlight w:val="none"/>
                      <w:lang w:val="en-US" w:eastAsia="zh-CN"/>
                    </w:rPr>
                  </w:pPr>
                  <w:r>
                    <w:rPr>
                      <w:rFonts w:hint="eastAsia"/>
                      <w:color w:val="auto"/>
                      <w:highlight w:val="none"/>
                      <w:lang w:val="en-US" w:eastAsia="zh-CN"/>
                    </w:rPr>
                    <w:t>厂界北侧</w:t>
                  </w:r>
                </w:p>
              </w:tc>
              <w:tc>
                <w:tcPr>
                  <w:tcW w:w="1113" w:type="dxa"/>
                  <w:tcBorders>
                    <w:tl2br w:val="nil"/>
                    <w:tr2bl w:val="nil"/>
                  </w:tcBorders>
                  <w:vAlign w:val="center"/>
                </w:tcPr>
                <w:p>
                  <w:pPr>
                    <w:pStyle w:val="34"/>
                    <w:bidi w:val="0"/>
                    <w:jc w:val="center"/>
                    <w:rPr>
                      <w:rFonts w:hint="default"/>
                      <w:color w:val="auto"/>
                      <w:highlight w:val="none"/>
                      <w:lang w:val="en-US" w:eastAsia="zh-CN"/>
                    </w:rPr>
                  </w:pPr>
                  <w:r>
                    <w:rPr>
                      <w:rFonts w:hint="eastAsia"/>
                      <w:color w:val="auto"/>
                      <w:highlight w:val="none"/>
                      <w:lang w:val="en-US" w:eastAsia="zh-CN"/>
                    </w:rPr>
                    <w:t>54</w:t>
                  </w:r>
                </w:p>
              </w:tc>
              <w:tc>
                <w:tcPr>
                  <w:tcW w:w="1113" w:type="dxa"/>
                  <w:tcBorders>
                    <w:tl2br w:val="nil"/>
                    <w:tr2bl w:val="nil"/>
                  </w:tcBorders>
                  <w:vAlign w:val="center"/>
                </w:tcPr>
                <w:p>
                  <w:pPr>
                    <w:pStyle w:val="34"/>
                    <w:bidi w:val="0"/>
                    <w:jc w:val="center"/>
                    <w:rPr>
                      <w:rFonts w:hint="default"/>
                      <w:color w:val="auto"/>
                      <w:highlight w:val="none"/>
                      <w:lang w:val="en-US" w:eastAsia="zh-CN"/>
                    </w:rPr>
                  </w:pPr>
                  <w:r>
                    <w:rPr>
                      <w:rFonts w:hint="eastAsia"/>
                      <w:color w:val="auto"/>
                      <w:highlight w:val="none"/>
                      <w:lang w:val="en-US" w:eastAsia="zh-CN"/>
                    </w:rPr>
                    <w:t>44</w:t>
                  </w:r>
                </w:p>
              </w:tc>
              <w:tc>
                <w:tcPr>
                  <w:tcW w:w="1113" w:type="dxa"/>
                  <w:tcBorders>
                    <w:tl2br w:val="nil"/>
                    <w:tr2bl w:val="nil"/>
                  </w:tcBorders>
                  <w:vAlign w:val="center"/>
                </w:tcPr>
                <w:p>
                  <w:pPr>
                    <w:pStyle w:val="34"/>
                    <w:bidi w:val="0"/>
                    <w:ind w:left="0" w:leftChars="0" w:firstLine="0" w:firstLineChars="0"/>
                    <w:jc w:val="center"/>
                    <w:rPr>
                      <w:rFonts w:hint="eastAsia" w:ascii="Times New Roman" w:hAnsi="Times New Roman"/>
                      <w:color w:val="auto"/>
                      <w:highlight w:val="none"/>
                      <w:lang w:val="en-US" w:eastAsia="zh-CN"/>
                    </w:rPr>
                  </w:pPr>
                  <w:r>
                    <w:rPr>
                      <w:rFonts w:hint="eastAsia"/>
                      <w:color w:val="auto"/>
                      <w:highlight w:val="none"/>
                      <w:lang w:val="en-US" w:eastAsia="zh-CN"/>
                    </w:rPr>
                    <w:t>达标</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4、固废</w:t>
            </w:r>
          </w:p>
          <w:p>
            <w:pPr>
              <w:bidi w:val="0"/>
              <w:rPr>
                <w:rFonts w:hint="default"/>
                <w:color w:val="auto"/>
                <w:highlight w:val="none"/>
              </w:rPr>
            </w:pPr>
            <w:r>
              <w:rPr>
                <w:color w:val="auto"/>
                <w:highlight w:val="none"/>
              </w:rPr>
              <w:t>现有6500Nm³/h</w:t>
            </w:r>
            <w:r>
              <w:rPr>
                <w:rFonts w:hint="eastAsia"/>
                <w:color w:val="auto"/>
                <w:highlight w:val="none"/>
                <w:lang w:val="en-US" w:eastAsia="zh-CN"/>
              </w:rPr>
              <w:t xml:space="preserve"> </w:t>
            </w:r>
            <w:r>
              <w:rPr>
                <w:color w:val="auto"/>
                <w:highlight w:val="none"/>
              </w:rPr>
              <w:t>VPSA制氧装置运营期产生的固体废物主要包括</w:t>
            </w:r>
            <w:r>
              <w:rPr>
                <w:rFonts w:hint="eastAsia"/>
                <w:color w:val="auto"/>
                <w:highlight w:val="none"/>
                <w:lang w:val="en-US" w:eastAsia="zh-CN"/>
              </w:rPr>
              <w:t>生活垃圾、废分子筛、废氧化铝、废滤芯、废润滑油及废油桶</w:t>
            </w:r>
            <w:r>
              <w:rPr>
                <w:color w:val="auto"/>
                <w:highlight w:val="none"/>
              </w:rPr>
              <w:t>。</w:t>
            </w:r>
          </w:p>
          <w:p>
            <w:pPr>
              <w:bidi w:val="0"/>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lang w:val="en-US" w:eastAsia="zh-CN"/>
              </w:rPr>
              <w:t>生活垃圾</w:t>
            </w:r>
          </w:p>
          <w:p>
            <w:pPr>
              <w:bidi w:val="0"/>
              <w:rPr>
                <w:rFonts w:hint="default"/>
                <w:color w:val="auto"/>
                <w:highlight w:val="none"/>
              </w:rPr>
            </w:pPr>
            <w:r>
              <w:rPr>
                <w:rFonts w:hint="eastAsia"/>
                <w:color w:val="auto"/>
                <w:highlight w:val="none"/>
                <w:lang w:val="en-US" w:eastAsia="zh-CN"/>
              </w:rPr>
              <w:t>现有项目共设置劳动定员10人，日常运行过程中生活垃圾产生量按照0.5kg·人/d计，则生活垃圾产生量为5kg/d、1.65t/a。产生的生活垃圾</w:t>
            </w:r>
            <w:r>
              <w:rPr>
                <w:rFonts w:hint="default"/>
                <w:color w:val="auto"/>
                <w:highlight w:val="none"/>
                <w:lang w:val="en-US" w:eastAsia="zh-CN"/>
              </w:rPr>
              <w:t>依托易门铜业有限公司设置的生活垃圾收集设施统一收集后定期外运至工业园区生活垃圾集中收集点，由环卫部门集中处理。</w:t>
            </w:r>
          </w:p>
          <w:p>
            <w:pPr>
              <w:bidi w:val="0"/>
              <w:rPr>
                <w:color w:val="auto"/>
                <w:highlight w:val="none"/>
              </w:rPr>
            </w:pPr>
            <w:r>
              <w:rPr>
                <w:rFonts w:hint="default"/>
                <w:color w:val="auto"/>
                <w:highlight w:val="none"/>
              </w:rPr>
              <w:t>（</w:t>
            </w:r>
            <w:r>
              <w:rPr>
                <w:rFonts w:hint="eastAsia"/>
                <w:color w:val="auto"/>
                <w:highlight w:val="none"/>
                <w:lang w:val="en-US" w:eastAsia="zh-CN"/>
              </w:rPr>
              <w:t>2</w:t>
            </w:r>
            <w:r>
              <w:rPr>
                <w:rFonts w:hint="default"/>
                <w:color w:val="auto"/>
                <w:highlight w:val="none"/>
              </w:rPr>
              <w:t>）废分子筛（一般工业固废）</w:t>
            </w:r>
          </w:p>
          <w:p>
            <w:pPr>
              <w:bidi w:val="0"/>
              <w:rPr>
                <w:rFonts w:hint="default"/>
                <w:color w:val="auto"/>
                <w:highlight w:val="none"/>
              </w:rPr>
            </w:pPr>
            <w:r>
              <w:rPr>
                <w:rFonts w:hint="default"/>
                <w:color w:val="auto"/>
                <w:highlight w:val="none"/>
              </w:rPr>
              <w:t>吸附塔内装填锂基分子筛用于吸附氮气。分子筛设计寿命通常为10年，</w:t>
            </w:r>
            <w:r>
              <w:rPr>
                <w:rFonts w:hint="eastAsia"/>
                <w:color w:val="auto"/>
                <w:highlight w:val="none"/>
                <w:lang w:val="en-US" w:eastAsia="zh-CN"/>
              </w:rPr>
              <w:t>现有项目</w:t>
            </w:r>
            <w:r>
              <w:rPr>
                <w:rFonts w:hint="default"/>
                <w:color w:val="auto"/>
                <w:highlight w:val="none"/>
              </w:rPr>
              <w:t>分子筛装填量约为5</w:t>
            </w:r>
            <w:r>
              <w:rPr>
                <w:rFonts w:hint="eastAsia"/>
                <w:color w:val="auto"/>
                <w:highlight w:val="none"/>
                <w:lang w:val="en-US" w:eastAsia="zh-CN"/>
              </w:rPr>
              <w:t>0</w:t>
            </w:r>
            <w:r>
              <w:rPr>
                <w:rFonts w:hint="default"/>
                <w:color w:val="auto"/>
                <w:highlight w:val="none"/>
              </w:rPr>
              <w:t>t</w:t>
            </w:r>
            <w:r>
              <w:rPr>
                <w:rFonts w:hint="eastAsia"/>
                <w:color w:val="auto"/>
                <w:highlight w:val="none"/>
                <w:lang w:eastAsia="zh-CN"/>
              </w:rPr>
              <w:t>（</w:t>
            </w:r>
            <w:r>
              <w:rPr>
                <w:rFonts w:hint="eastAsia"/>
                <w:color w:val="auto"/>
                <w:highlight w:val="none"/>
                <w:lang w:val="en-US" w:eastAsia="zh-CN"/>
              </w:rPr>
              <w:t>平均为5t/a</w:t>
            </w:r>
            <w:r>
              <w:rPr>
                <w:rFonts w:hint="eastAsia"/>
                <w:color w:val="auto"/>
                <w:highlight w:val="none"/>
                <w:lang w:eastAsia="zh-CN"/>
              </w:rPr>
              <w:t>）</w:t>
            </w:r>
            <w:r>
              <w:rPr>
                <w:rFonts w:hint="default"/>
                <w:color w:val="auto"/>
                <w:highlight w:val="none"/>
              </w:rPr>
              <w:t>。达到使用寿命后需整体更换，更换下来的废分子筛由厂家</w:t>
            </w:r>
            <w:r>
              <w:rPr>
                <w:rFonts w:hint="eastAsia"/>
                <w:color w:val="auto"/>
                <w:highlight w:val="none"/>
                <w:lang w:val="en-US" w:eastAsia="zh-CN"/>
              </w:rPr>
              <w:t>自行带走</w:t>
            </w:r>
            <w:r>
              <w:rPr>
                <w:rFonts w:hint="default"/>
                <w:color w:val="auto"/>
                <w:highlight w:val="none"/>
              </w:rPr>
              <w:t>处置</w:t>
            </w:r>
            <w:r>
              <w:rPr>
                <w:rFonts w:hint="eastAsia"/>
                <w:color w:val="auto"/>
                <w:highlight w:val="none"/>
                <w:lang w:eastAsia="zh-CN"/>
              </w:rPr>
              <w:t>，</w:t>
            </w:r>
            <w:r>
              <w:rPr>
                <w:rFonts w:hint="eastAsia"/>
                <w:color w:val="auto"/>
                <w:highlight w:val="none"/>
                <w:lang w:val="en-US" w:eastAsia="zh-CN"/>
              </w:rPr>
              <w:t>不在厂区内贮存</w:t>
            </w:r>
            <w:r>
              <w:rPr>
                <w:rFonts w:hint="default"/>
                <w:color w:val="auto"/>
                <w:highlight w:val="none"/>
              </w:rPr>
              <w:t>。</w:t>
            </w:r>
          </w:p>
          <w:p>
            <w:pPr>
              <w:bidi w:val="0"/>
              <w:rPr>
                <w:rFonts w:hint="default"/>
                <w:color w:val="auto"/>
                <w:highlight w:val="none"/>
              </w:rPr>
            </w:pPr>
            <w:r>
              <w:rPr>
                <w:rFonts w:hint="default"/>
                <w:color w:val="auto"/>
                <w:highlight w:val="none"/>
              </w:rPr>
              <w:t>（</w:t>
            </w:r>
            <w:r>
              <w:rPr>
                <w:rFonts w:hint="eastAsia"/>
                <w:color w:val="auto"/>
                <w:highlight w:val="none"/>
                <w:lang w:val="en-US" w:eastAsia="zh-CN"/>
              </w:rPr>
              <w:t>3</w:t>
            </w:r>
            <w:r>
              <w:rPr>
                <w:rFonts w:hint="default"/>
                <w:color w:val="auto"/>
                <w:highlight w:val="none"/>
              </w:rPr>
              <w:t>）</w:t>
            </w:r>
            <w:r>
              <w:rPr>
                <w:rFonts w:hint="eastAsia"/>
                <w:color w:val="auto"/>
                <w:highlight w:val="none"/>
                <w:lang w:val="en-US" w:eastAsia="zh-CN"/>
              </w:rPr>
              <w:t>废</w:t>
            </w:r>
            <w:r>
              <w:rPr>
                <w:rFonts w:hint="default"/>
                <w:color w:val="auto"/>
                <w:highlight w:val="none"/>
              </w:rPr>
              <w:t>氧化铝（一般工业固废）</w:t>
            </w:r>
          </w:p>
          <w:p>
            <w:pPr>
              <w:bidi w:val="0"/>
              <w:rPr>
                <w:rFonts w:hint="default"/>
                <w:color w:val="auto"/>
                <w:highlight w:val="none"/>
              </w:rPr>
            </w:pPr>
            <w:r>
              <w:rPr>
                <w:rFonts w:hint="default"/>
                <w:color w:val="auto"/>
                <w:highlight w:val="none"/>
              </w:rPr>
              <w:t>吸附塔底层装填活性氧化铝用于吸附原料空气中的水分，以保护上层分子筛。更换周期与分子筛同步（约10年一次），</w:t>
            </w:r>
            <w:r>
              <w:rPr>
                <w:rFonts w:hint="eastAsia"/>
                <w:color w:val="auto"/>
                <w:highlight w:val="none"/>
                <w:lang w:val="en-US" w:eastAsia="zh-CN"/>
              </w:rPr>
              <w:t>现有项目</w:t>
            </w:r>
            <w:r>
              <w:rPr>
                <w:rFonts w:hint="default"/>
                <w:color w:val="auto"/>
                <w:highlight w:val="none"/>
              </w:rPr>
              <w:t>装填量约为15t</w:t>
            </w:r>
            <w:r>
              <w:rPr>
                <w:rFonts w:hint="eastAsia"/>
                <w:color w:val="auto"/>
                <w:highlight w:val="none"/>
                <w:lang w:eastAsia="zh-CN"/>
              </w:rPr>
              <w:t>（</w:t>
            </w:r>
            <w:r>
              <w:rPr>
                <w:rFonts w:hint="eastAsia"/>
                <w:color w:val="auto"/>
                <w:highlight w:val="none"/>
                <w:lang w:val="en-US" w:eastAsia="zh-CN"/>
              </w:rPr>
              <w:t>平均为1.5t/a</w:t>
            </w:r>
            <w:r>
              <w:rPr>
                <w:rFonts w:hint="eastAsia"/>
                <w:color w:val="auto"/>
                <w:highlight w:val="none"/>
                <w:lang w:eastAsia="zh-CN"/>
              </w:rPr>
              <w:t>）</w:t>
            </w:r>
            <w:r>
              <w:rPr>
                <w:rFonts w:hint="default"/>
                <w:color w:val="auto"/>
                <w:highlight w:val="none"/>
              </w:rPr>
              <w:t>，更换下来的废活性氧化铝由厂家</w:t>
            </w:r>
            <w:r>
              <w:rPr>
                <w:rFonts w:hint="eastAsia"/>
                <w:color w:val="auto"/>
                <w:highlight w:val="none"/>
                <w:lang w:val="en-US" w:eastAsia="zh-CN"/>
              </w:rPr>
              <w:t>自行带走</w:t>
            </w:r>
            <w:r>
              <w:rPr>
                <w:rFonts w:hint="default"/>
                <w:color w:val="auto"/>
                <w:highlight w:val="none"/>
              </w:rPr>
              <w:t>处置</w:t>
            </w:r>
            <w:r>
              <w:rPr>
                <w:rFonts w:hint="eastAsia"/>
                <w:color w:val="auto"/>
                <w:highlight w:val="none"/>
                <w:lang w:eastAsia="zh-CN"/>
              </w:rPr>
              <w:t>，</w:t>
            </w:r>
            <w:r>
              <w:rPr>
                <w:rFonts w:hint="eastAsia"/>
                <w:color w:val="auto"/>
                <w:highlight w:val="none"/>
                <w:lang w:val="en-US" w:eastAsia="zh-CN"/>
              </w:rPr>
              <w:t>不在厂区内贮存</w:t>
            </w:r>
            <w:r>
              <w:rPr>
                <w:rFonts w:hint="default"/>
                <w:color w:val="auto"/>
                <w:highlight w:val="none"/>
              </w:rPr>
              <w:t>。</w:t>
            </w:r>
          </w:p>
          <w:p>
            <w:pPr>
              <w:bidi w:val="0"/>
              <w:rPr>
                <w:rFonts w:hint="default"/>
                <w:color w:val="auto"/>
                <w:highlight w:val="none"/>
              </w:rPr>
            </w:pPr>
            <w:r>
              <w:rPr>
                <w:rFonts w:hint="default"/>
                <w:color w:val="auto"/>
                <w:highlight w:val="none"/>
              </w:rPr>
              <w:t>（</w:t>
            </w:r>
            <w:r>
              <w:rPr>
                <w:rFonts w:hint="eastAsia"/>
                <w:color w:val="auto"/>
                <w:highlight w:val="none"/>
                <w:lang w:val="en-US" w:eastAsia="zh-CN"/>
              </w:rPr>
              <w:t>4</w:t>
            </w:r>
            <w:r>
              <w:rPr>
                <w:rFonts w:hint="default"/>
                <w:color w:val="auto"/>
                <w:highlight w:val="none"/>
              </w:rPr>
              <w:t>）废滤芯（一般工业固废）</w:t>
            </w:r>
          </w:p>
          <w:p>
            <w:pPr>
              <w:bidi w:val="0"/>
              <w:rPr>
                <w:rFonts w:hint="default"/>
                <w:color w:val="auto"/>
                <w:highlight w:val="none"/>
              </w:rPr>
            </w:pPr>
            <w:r>
              <w:rPr>
                <w:rFonts w:hint="default"/>
                <w:color w:val="auto"/>
                <w:highlight w:val="none"/>
              </w:rPr>
              <w:t>入口空气过滤器滤芯定期更换，更换周期约4000小时（约6个月），</w:t>
            </w:r>
            <w:r>
              <w:rPr>
                <w:rFonts w:hint="eastAsia"/>
                <w:color w:val="auto"/>
                <w:highlight w:val="none"/>
                <w:lang w:val="en-US" w:eastAsia="zh-CN"/>
              </w:rPr>
              <w:t>现有项目</w:t>
            </w:r>
            <w:r>
              <w:rPr>
                <w:rFonts w:hint="default"/>
                <w:color w:val="auto"/>
                <w:highlight w:val="none"/>
              </w:rPr>
              <w:t>废滤芯年产生量约0.5t/a</w:t>
            </w:r>
            <w:r>
              <w:rPr>
                <w:rFonts w:hint="eastAsia"/>
                <w:color w:val="auto"/>
                <w:highlight w:val="none"/>
                <w:lang w:eastAsia="zh-CN"/>
              </w:rPr>
              <w:t>，</w:t>
            </w:r>
            <w:r>
              <w:rPr>
                <w:rFonts w:hint="eastAsia"/>
                <w:color w:val="auto"/>
                <w:highlight w:val="none"/>
                <w:lang w:val="en-US" w:eastAsia="zh-CN"/>
              </w:rPr>
              <w:t>更换的废滤芯</w:t>
            </w:r>
            <w:r>
              <w:rPr>
                <w:rFonts w:hint="default"/>
                <w:color w:val="auto"/>
                <w:highlight w:val="none"/>
              </w:rPr>
              <w:t>由厂家</w:t>
            </w:r>
            <w:r>
              <w:rPr>
                <w:rFonts w:hint="eastAsia"/>
                <w:color w:val="auto"/>
                <w:highlight w:val="none"/>
                <w:lang w:val="en-US" w:eastAsia="zh-CN"/>
              </w:rPr>
              <w:t>自行带走</w:t>
            </w:r>
            <w:r>
              <w:rPr>
                <w:rFonts w:hint="default"/>
                <w:color w:val="auto"/>
                <w:highlight w:val="none"/>
              </w:rPr>
              <w:t>处置</w:t>
            </w:r>
            <w:r>
              <w:rPr>
                <w:rFonts w:hint="eastAsia"/>
                <w:color w:val="auto"/>
                <w:highlight w:val="none"/>
                <w:lang w:eastAsia="zh-CN"/>
              </w:rPr>
              <w:t>，</w:t>
            </w:r>
            <w:r>
              <w:rPr>
                <w:rFonts w:hint="eastAsia"/>
                <w:color w:val="auto"/>
                <w:highlight w:val="none"/>
                <w:lang w:val="en-US" w:eastAsia="zh-CN"/>
              </w:rPr>
              <w:t>不在厂区内贮存</w:t>
            </w:r>
            <w:r>
              <w:rPr>
                <w:rFonts w:hint="default"/>
                <w:color w:val="auto"/>
                <w:highlight w:val="none"/>
              </w:rPr>
              <w:t>。</w:t>
            </w:r>
          </w:p>
          <w:p>
            <w:pPr>
              <w:bidi w:val="0"/>
              <w:rPr>
                <w:rFonts w:hint="default"/>
                <w:color w:val="auto"/>
                <w:highlight w:val="none"/>
              </w:rPr>
            </w:pPr>
            <w:r>
              <w:rPr>
                <w:rFonts w:hint="default"/>
                <w:color w:val="auto"/>
                <w:highlight w:val="none"/>
              </w:rPr>
              <w:t>（</w:t>
            </w:r>
            <w:r>
              <w:rPr>
                <w:rFonts w:hint="eastAsia"/>
                <w:color w:val="auto"/>
                <w:highlight w:val="none"/>
                <w:lang w:val="en-US" w:eastAsia="zh-CN"/>
              </w:rPr>
              <w:t>5</w:t>
            </w:r>
            <w:r>
              <w:rPr>
                <w:rFonts w:hint="default"/>
                <w:color w:val="auto"/>
                <w:highlight w:val="none"/>
              </w:rPr>
              <w:t>）废润滑油</w:t>
            </w:r>
            <w:r>
              <w:rPr>
                <w:rFonts w:hint="eastAsia"/>
                <w:color w:val="auto"/>
                <w:highlight w:val="none"/>
                <w:lang w:eastAsia="zh-CN"/>
              </w:rPr>
              <w:t>、</w:t>
            </w:r>
            <w:r>
              <w:rPr>
                <w:rFonts w:hint="eastAsia"/>
                <w:color w:val="auto"/>
                <w:highlight w:val="none"/>
                <w:lang w:val="en-US" w:eastAsia="zh-CN"/>
              </w:rPr>
              <w:t>废油桶</w:t>
            </w:r>
            <w:r>
              <w:rPr>
                <w:rFonts w:hint="default"/>
                <w:color w:val="auto"/>
                <w:highlight w:val="none"/>
              </w:rPr>
              <w:t>（危险废物）</w:t>
            </w:r>
          </w:p>
          <w:p>
            <w:pPr>
              <w:bidi w:val="0"/>
              <w:rPr>
                <w:rFonts w:hint="default" w:eastAsia="宋体"/>
                <w:color w:val="auto"/>
                <w:highlight w:val="none"/>
                <w:lang w:val="en-US" w:eastAsia="zh-CN"/>
              </w:rPr>
            </w:pPr>
            <w:r>
              <w:rPr>
                <w:rFonts w:hint="default"/>
                <w:color w:val="auto"/>
                <w:highlight w:val="none"/>
              </w:rPr>
              <w:t>设备检修（鼓风机、真空泵等）产生的废润滑油，废物类别HW08，废物代码900-214-08，产生量约0.</w:t>
            </w:r>
            <w:r>
              <w:rPr>
                <w:rFonts w:hint="eastAsia"/>
                <w:color w:val="auto"/>
                <w:highlight w:val="none"/>
                <w:lang w:val="en-US" w:eastAsia="zh-CN"/>
              </w:rPr>
              <w:t>3</w:t>
            </w:r>
            <w:r>
              <w:rPr>
                <w:rFonts w:hint="default"/>
                <w:color w:val="auto"/>
                <w:highlight w:val="none"/>
              </w:rPr>
              <w:t>t/a</w:t>
            </w:r>
            <w:r>
              <w:rPr>
                <w:rFonts w:hint="eastAsia"/>
                <w:color w:val="auto"/>
                <w:highlight w:val="none"/>
                <w:lang w:eastAsia="zh-CN"/>
              </w:rPr>
              <w:t>；</w:t>
            </w:r>
            <w:r>
              <w:rPr>
                <w:rFonts w:hint="default"/>
                <w:color w:val="auto"/>
                <w:highlight w:val="none"/>
              </w:rPr>
              <w:t>润滑油更换产生的废油桶，废物类别HW08，废物代码900-249-08，产生量约</w:t>
            </w:r>
            <w:r>
              <w:rPr>
                <w:rFonts w:hint="eastAsia"/>
                <w:color w:val="auto"/>
                <w:highlight w:val="none"/>
                <w:lang w:val="en-US" w:eastAsia="zh-CN"/>
              </w:rPr>
              <w:t>0.5t</w:t>
            </w:r>
            <w:r>
              <w:rPr>
                <w:rFonts w:hint="default"/>
                <w:color w:val="auto"/>
                <w:highlight w:val="none"/>
              </w:rPr>
              <w:t>/a。</w:t>
            </w:r>
            <w:r>
              <w:rPr>
                <w:rFonts w:hint="eastAsia"/>
                <w:color w:val="auto"/>
                <w:highlight w:val="none"/>
                <w:lang w:val="en-US" w:eastAsia="zh-CN"/>
              </w:rPr>
              <w:t>危险废物依托易门铜业有限公司已建5#危险废物贮存库进行暂存，然后委托云南广莱再生资源回收有限公司定期进行清运处置。</w:t>
            </w:r>
          </w:p>
          <w:p>
            <w:pPr>
              <w:bidi w:val="0"/>
              <w:rPr>
                <w:rFonts w:hint="default"/>
                <w:color w:val="auto"/>
                <w:highlight w:val="none"/>
                <w:lang w:val="en-US" w:eastAsia="zh-CN"/>
              </w:rPr>
            </w:pPr>
            <w:r>
              <w:rPr>
                <w:rFonts w:hint="eastAsia"/>
                <w:color w:val="auto"/>
                <w:highlight w:val="none"/>
                <w:lang w:val="en-US" w:eastAsia="zh-CN"/>
              </w:rPr>
              <w:t>现有项目固体废物产生及处置情况详见下表：</w:t>
            </w:r>
          </w:p>
          <w:p>
            <w:pPr>
              <w:pStyle w:val="35"/>
              <w:bidi w:val="0"/>
              <w:rPr>
                <w:rFonts w:hint="default" w:ascii="Times New Roman" w:hAnsi="Times New Roman" w:cs="Times New Roman"/>
                <w:b/>
                <w:bCs/>
                <w:color w:val="auto"/>
                <w:kern w:val="0"/>
                <w:szCs w:val="21"/>
                <w:highlight w:val="none"/>
                <w:lang w:val="en-US" w:eastAsia="zh-CN" w:bidi="ar"/>
              </w:rPr>
            </w:pPr>
            <w:r>
              <w:rPr>
                <w:rFonts w:hint="default"/>
                <w:color w:val="auto"/>
                <w:highlight w:val="none"/>
                <w:lang w:val="en-US" w:eastAsia="zh-CN"/>
              </w:rPr>
              <w:t>表</w:t>
            </w:r>
            <w:r>
              <w:rPr>
                <w:rFonts w:hint="eastAsia"/>
                <w:color w:val="auto"/>
                <w:highlight w:val="none"/>
                <w:lang w:val="en-US" w:eastAsia="zh-CN"/>
              </w:rPr>
              <w:t>2-14</w:t>
            </w:r>
            <w:r>
              <w:rPr>
                <w:rFonts w:hint="default"/>
                <w:color w:val="auto"/>
                <w:highlight w:val="none"/>
                <w:lang w:val="en-US" w:eastAsia="zh-CN"/>
              </w:rPr>
              <w:t xml:space="preserve">  </w:t>
            </w:r>
            <w:r>
              <w:rPr>
                <w:rFonts w:hint="eastAsia"/>
                <w:color w:val="auto"/>
                <w:highlight w:val="none"/>
                <w:lang w:val="en-US" w:eastAsia="zh-CN"/>
              </w:rPr>
              <w:t>现有</w:t>
            </w:r>
            <w:r>
              <w:rPr>
                <w:rFonts w:hint="default"/>
                <w:color w:val="auto"/>
                <w:highlight w:val="none"/>
                <w:lang w:val="en-US" w:eastAsia="zh-CN"/>
              </w:rPr>
              <w:t>项目固体废物产生及处置情况</w:t>
            </w:r>
            <w:r>
              <w:rPr>
                <w:rFonts w:hint="eastAsia"/>
                <w:color w:val="auto"/>
                <w:highlight w:val="none"/>
                <w:lang w:val="en-US" w:eastAsia="zh-CN"/>
              </w:rPr>
              <w:t>一览表</w:t>
            </w:r>
          </w:p>
          <w:tbl>
            <w:tblPr>
              <w:tblStyle w:val="24"/>
              <w:tblW w:w="7791"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4"/>
              <w:gridCol w:w="1158"/>
              <w:gridCol w:w="1082"/>
              <w:gridCol w:w="1168"/>
              <w:gridCol w:w="825"/>
              <w:gridCol w:w="29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614" w:type="dxa"/>
                  <w:tcBorders>
                    <w:tl2br w:val="nil"/>
                    <w:tr2bl w:val="nil"/>
                  </w:tcBorders>
                  <w:vAlign w:val="center"/>
                </w:tcPr>
                <w:p>
                  <w:pPr>
                    <w:pStyle w:val="34"/>
                    <w:bidi w:val="0"/>
                    <w:jc w:val="center"/>
                    <w:rPr>
                      <w:rFonts w:hint="eastAsia" w:eastAsia="宋体"/>
                      <w:color w:val="auto"/>
                      <w:highlight w:val="none"/>
                      <w:lang w:val="en-US" w:eastAsia="zh-CN"/>
                    </w:rPr>
                  </w:pPr>
                  <w:r>
                    <w:rPr>
                      <w:rFonts w:hint="eastAsia"/>
                      <w:color w:val="auto"/>
                      <w:highlight w:val="none"/>
                      <w:lang w:val="en-US" w:eastAsia="zh-CN"/>
                    </w:rPr>
                    <w:t>序号</w:t>
                  </w:r>
                </w:p>
              </w:tc>
              <w:tc>
                <w:tcPr>
                  <w:tcW w:w="1158" w:type="dxa"/>
                  <w:tcBorders>
                    <w:tl2br w:val="nil"/>
                    <w:tr2bl w:val="nil"/>
                  </w:tcBorders>
                  <w:vAlign w:val="center"/>
                </w:tcPr>
                <w:p>
                  <w:pPr>
                    <w:pStyle w:val="34"/>
                    <w:bidi w:val="0"/>
                    <w:jc w:val="center"/>
                    <w:rPr>
                      <w:rFonts w:hint="eastAsia" w:eastAsia="宋体"/>
                      <w:color w:val="auto"/>
                      <w:highlight w:val="none"/>
                      <w:lang w:val="en-US" w:eastAsia="zh-CN"/>
                    </w:rPr>
                  </w:pPr>
                  <w:r>
                    <w:rPr>
                      <w:rFonts w:hint="eastAsia"/>
                      <w:color w:val="auto"/>
                      <w:highlight w:val="none"/>
                      <w:lang w:val="en-US" w:eastAsia="zh-CN"/>
                    </w:rPr>
                    <w:t>名称</w:t>
                  </w:r>
                </w:p>
              </w:tc>
              <w:tc>
                <w:tcPr>
                  <w:tcW w:w="1082" w:type="dxa"/>
                  <w:tcBorders>
                    <w:tl2br w:val="nil"/>
                    <w:tr2bl w:val="nil"/>
                  </w:tcBorders>
                  <w:vAlign w:val="center"/>
                </w:tcPr>
                <w:p>
                  <w:pPr>
                    <w:pStyle w:val="34"/>
                    <w:bidi w:val="0"/>
                    <w:jc w:val="center"/>
                    <w:rPr>
                      <w:rFonts w:hint="default" w:eastAsia="宋体"/>
                      <w:color w:val="auto"/>
                      <w:highlight w:val="none"/>
                      <w:lang w:val="en-US" w:eastAsia="zh-CN"/>
                    </w:rPr>
                  </w:pPr>
                  <w:r>
                    <w:rPr>
                      <w:rFonts w:hint="eastAsia"/>
                      <w:color w:val="auto"/>
                      <w:highlight w:val="none"/>
                      <w:lang w:val="en-US" w:eastAsia="zh-CN"/>
                    </w:rPr>
                    <w:t>产生量t/a</w:t>
                  </w:r>
                </w:p>
              </w:tc>
              <w:tc>
                <w:tcPr>
                  <w:tcW w:w="1168" w:type="dxa"/>
                  <w:tcBorders>
                    <w:tl2br w:val="nil"/>
                    <w:tr2bl w:val="nil"/>
                  </w:tcBorders>
                  <w:vAlign w:val="center"/>
                </w:tcPr>
                <w:p>
                  <w:pPr>
                    <w:pStyle w:val="34"/>
                    <w:bidi w:val="0"/>
                    <w:jc w:val="center"/>
                    <w:rPr>
                      <w:rFonts w:hint="eastAsia" w:eastAsia="宋体"/>
                      <w:color w:val="auto"/>
                      <w:highlight w:val="none"/>
                      <w:lang w:val="en-US" w:eastAsia="zh-CN"/>
                    </w:rPr>
                  </w:pPr>
                  <w:r>
                    <w:rPr>
                      <w:rFonts w:hint="eastAsia"/>
                      <w:color w:val="auto"/>
                      <w:highlight w:val="none"/>
                      <w:lang w:val="en-US" w:eastAsia="zh-CN"/>
                    </w:rPr>
                    <w:t>主要成分</w:t>
                  </w:r>
                </w:p>
              </w:tc>
              <w:tc>
                <w:tcPr>
                  <w:tcW w:w="825" w:type="dxa"/>
                  <w:tcBorders>
                    <w:tl2br w:val="nil"/>
                    <w:tr2bl w:val="nil"/>
                  </w:tcBorders>
                  <w:vAlign w:val="center"/>
                </w:tcPr>
                <w:p>
                  <w:pPr>
                    <w:pStyle w:val="34"/>
                    <w:bidi w:val="0"/>
                    <w:jc w:val="center"/>
                    <w:rPr>
                      <w:rFonts w:hint="eastAsia" w:eastAsia="宋体"/>
                      <w:color w:val="auto"/>
                      <w:highlight w:val="none"/>
                      <w:lang w:val="en-US" w:eastAsia="zh-CN"/>
                    </w:rPr>
                  </w:pPr>
                  <w:r>
                    <w:rPr>
                      <w:rFonts w:hint="eastAsia"/>
                      <w:color w:val="auto"/>
                      <w:highlight w:val="none"/>
                      <w:lang w:val="en-US" w:eastAsia="zh-CN"/>
                    </w:rPr>
                    <w:t>属性</w:t>
                  </w:r>
                </w:p>
              </w:tc>
              <w:tc>
                <w:tcPr>
                  <w:tcW w:w="2944" w:type="dxa"/>
                  <w:tcBorders>
                    <w:tl2br w:val="nil"/>
                    <w:tr2bl w:val="nil"/>
                  </w:tcBorders>
                  <w:vAlign w:val="center"/>
                </w:tcPr>
                <w:p>
                  <w:pPr>
                    <w:pStyle w:val="34"/>
                    <w:bidi w:val="0"/>
                    <w:jc w:val="center"/>
                    <w:rPr>
                      <w:rFonts w:hint="default" w:eastAsia="宋体"/>
                      <w:color w:val="auto"/>
                      <w:highlight w:val="none"/>
                      <w:lang w:val="en-US" w:eastAsia="zh-CN"/>
                    </w:rPr>
                  </w:pPr>
                  <w:r>
                    <w:rPr>
                      <w:rFonts w:hint="eastAsia"/>
                      <w:color w:val="auto"/>
                      <w:highlight w:val="none"/>
                      <w:lang w:val="en-US" w:eastAsia="zh-CN"/>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4" w:type="dxa"/>
                  <w:tcBorders>
                    <w:tl2br w:val="nil"/>
                    <w:tr2bl w:val="nil"/>
                  </w:tcBorders>
                  <w:vAlign w:val="center"/>
                </w:tcPr>
                <w:p>
                  <w:pPr>
                    <w:pStyle w:val="34"/>
                    <w:bidi w:val="0"/>
                    <w:jc w:val="center"/>
                    <w:rPr>
                      <w:rFonts w:hint="eastAsia" w:eastAsia="宋体"/>
                      <w:color w:val="auto"/>
                      <w:highlight w:val="none"/>
                      <w:lang w:val="en-US" w:eastAsia="zh-CN"/>
                    </w:rPr>
                  </w:pPr>
                  <w:r>
                    <w:rPr>
                      <w:rFonts w:hint="eastAsia"/>
                      <w:color w:val="auto"/>
                      <w:highlight w:val="none"/>
                      <w:lang w:val="en-US" w:eastAsia="zh-CN"/>
                    </w:rPr>
                    <w:t>1</w:t>
                  </w:r>
                </w:p>
              </w:tc>
              <w:tc>
                <w:tcPr>
                  <w:tcW w:w="1158" w:type="dxa"/>
                  <w:tcBorders>
                    <w:tl2br w:val="nil"/>
                    <w:tr2bl w:val="nil"/>
                  </w:tcBorders>
                  <w:vAlign w:val="center"/>
                </w:tcPr>
                <w:p>
                  <w:pPr>
                    <w:pStyle w:val="34"/>
                    <w:bidi w:val="0"/>
                    <w:jc w:val="center"/>
                    <w:rPr>
                      <w:rFonts w:hint="eastAsia" w:eastAsia="宋体"/>
                      <w:color w:val="auto"/>
                      <w:highlight w:val="none"/>
                      <w:lang w:val="en-US" w:eastAsia="zh-CN"/>
                    </w:rPr>
                  </w:pPr>
                  <w:r>
                    <w:rPr>
                      <w:rFonts w:hint="eastAsia"/>
                      <w:color w:val="auto"/>
                      <w:highlight w:val="none"/>
                      <w:lang w:val="en-US" w:eastAsia="zh-CN"/>
                    </w:rPr>
                    <w:t>生活垃圾</w:t>
                  </w:r>
                </w:p>
              </w:tc>
              <w:tc>
                <w:tcPr>
                  <w:tcW w:w="1082" w:type="dxa"/>
                  <w:tcBorders>
                    <w:tl2br w:val="nil"/>
                    <w:tr2bl w:val="nil"/>
                  </w:tcBorders>
                  <w:vAlign w:val="center"/>
                </w:tcPr>
                <w:p>
                  <w:pPr>
                    <w:pStyle w:val="34"/>
                    <w:bidi w:val="0"/>
                    <w:jc w:val="center"/>
                    <w:rPr>
                      <w:rFonts w:hint="default" w:eastAsia="宋体"/>
                      <w:color w:val="auto"/>
                      <w:highlight w:val="none"/>
                      <w:lang w:val="en-US" w:eastAsia="zh-CN"/>
                    </w:rPr>
                  </w:pPr>
                  <w:r>
                    <w:rPr>
                      <w:rFonts w:hint="eastAsia"/>
                      <w:color w:val="auto"/>
                      <w:highlight w:val="none"/>
                      <w:lang w:val="en-US" w:eastAsia="zh-CN"/>
                    </w:rPr>
                    <w:t>1.65</w:t>
                  </w:r>
                </w:p>
              </w:tc>
              <w:tc>
                <w:tcPr>
                  <w:tcW w:w="1168" w:type="dxa"/>
                  <w:tcBorders>
                    <w:tl2br w:val="nil"/>
                    <w:tr2bl w:val="nil"/>
                  </w:tcBorders>
                  <w:vAlign w:val="center"/>
                </w:tcPr>
                <w:p>
                  <w:pPr>
                    <w:pStyle w:val="34"/>
                    <w:bidi w:val="0"/>
                    <w:jc w:val="center"/>
                    <w:rPr>
                      <w:rFonts w:hint="eastAsia" w:eastAsia="宋体"/>
                      <w:color w:val="auto"/>
                      <w:highlight w:val="none"/>
                      <w:lang w:val="en-US" w:eastAsia="zh-CN"/>
                    </w:rPr>
                  </w:pPr>
                  <w:r>
                    <w:rPr>
                      <w:rFonts w:hint="eastAsia"/>
                      <w:color w:val="auto"/>
                      <w:highlight w:val="none"/>
                      <w:lang w:val="en-US" w:eastAsia="zh-CN"/>
                    </w:rPr>
                    <w:t>/</w:t>
                  </w:r>
                </w:p>
              </w:tc>
              <w:tc>
                <w:tcPr>
                  <w:tcW w:w="825" w:type="dxa"/>
                  <w:tcBorders>
                    <w:tl2br w:val="nil"/>
                    <w:tr2bl w:val="nil"/>
                  </w:tcBorders>
                  <w:vAlign w:val="center"/>
                </w:tcPr>
                <w:p>
                  <w:pPr>
                    <w:pStyle w:val="34"/>
                    <w:bidi w:val="0"/>
                    <w:jc w:val="center"/>
                    <w:rPr>
                      <w:rFonts w:hint="eastAsia" w:eastAsia="宋体"/>
                      <w:color w:val="auto"/>
                      <w:highlight w:val="none"/>
                      <w:lang w:val="en-US" w:eastAsia="zh-CN"/>
                    </w:rPr>
                  </w:pPr>
                  <w:r>
                    <w:rPr>
                      <w:rFonts w:hint="eastAsia"/>
                      <w:color w:val="auto"/>
                      <w:highlight w:val="none"/>
                      <w:lang w:val="en-US" w:eastAsia="zh-CN"/>
                    </w:rPr>
                    <w:t>/</w:t>
                  </w:r>
                </w:p>
              </w:tc>
              <w:tc>
                <w:tcPr>
                  <w:tcW w:w="2944" w:type="dxa"/>
                  <w:tcBorders>
                    <w:tl2br w:val="nil"/>
                    <w:tr2bl w:val="nil"/>
                  </w:tcBorders>
                  <w:vAlign w:val="center"/>
                </w:tcPr>
                <w:p>
                  <w:pPr>
                    <w:pStyle w:val="34"/>
                    <w:bidi w:val="0"/>
                    <w:jc w:val="center"/>
                    <w:rPr>
                      <w:rFonts w:hint="default"/>
                      <w:color w:val="auto"/>
                      <w:highlight w:val="none"/>
                    </w:rPr>
                  </w:pPr>
                  <w:r>
                    <w:rPr>
                      <w:rFonts w:hint="default"/>
                      <w:color w:val="auto"/>
                      <w:highlight w:val="none"/>
                      <w:lang w:val="en-US" w:eastAsia="zh-CN"/>
                    </w:rPr>
                    <w:t>依托易门铜业有限公司设置的生活垃圾收集设施统一收集后定期外运至工业园区生活垃圾集中收集点，由环卫部门集中处理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4" w:type="dxa"/>
                  <w:tcBorders>
                    <w:tl2br w:val="nil"/>
                    <w:tr2bl w:val="nil"/>
                  </w:tcBorders>
                  <w:vAlign w:val="center"/>
                </w:tcPr>
                <w:p>
                  <w:pPr>
                    <w:pStyle w:val="34"/>
                    <w:bidi w:val="0"/>
                    <w:jc w:val="center"/>
                    <w:rPr>
                      <w:rFonts w:hint="eastAsia" w:eastAsia="宋体"/>
                      <w:color w:val="auto"/>
                      <w:highlight w:val="none"/>
                      <w:lang w:val="en-US" w:eastAsia="zh-CN"/>
                    </w:rPr>
                  </w:pPr>
                  <w:r>
                    <w:rPr>
                      <w:rFonts w:hint="eastAsia"/>
                      <w:color w:val="auto"/>
                      <w:highlight w:val="none"/>
                      <w:lang w:val="en-US" w:eastAsia="zh-CN"/>
                    </w:rPr>
                    <w:t>2</w:t>
                  </w:r>
                </w:p>
              </w:tc>
              <w:tc>
                <w:tcPr>
                  <w:tcW w:w="1158" w:type="dxa"/>
                  <w:tcBorders>
                    <w:tl2br w:val="nil"/>
                    <w:tr2bl w:val="nil"/>
                  </w:tcBorders>
                  <w:vAlign w:val="center"/>
                </w:tcPr>
                <w:p>
                  <w:pPr>
                    <w:pStyle w:val="34"/>
                    <w:bidi w:val="0"/>
                    <w:jc w:val="center"/>
                    <w:rPr>
                      <w:rFonts w:hint="default"/>
                      <w:color w:val="auto"/>
                      <w:highlight w:val="none"/>
                    </w:rPr>
                  </w:pPr>
                  <w:r>
                    <w:rPr>
                      <w:rFonts w:hint="default"/>
                      <w:color w:val="auto"/>
                      <w:highlight w:val="none"/>
                    </w:rPr>
                    <w:t>废分子筛</w:t>
                  </w:r>
                </w:p>
              </w:tc>
              <w:tc>
                <w:tcPr>
                  <w:tcW w:w="1082" w:type="dxa"/>
                  <w:tcBorders>
                    <w:tl2br w:val="nil"/>
                    <w:tr2bl w:val="nil"/>
                  </w:tcBorders>
                  <w:vAlign w:val="center"/>
                </w:tcPr>
                <w:p>
                  <w:pPr>
                    <w:pStyle w:val="34"/>
                    <w:bidi w:val="0"/>
                    <w:jc w:val="center"/>
                    <w:rPr>
                      <w:rFonts w:hint="default" w:eastAsia="宋体"/>
                      <w:color w:val="auto"/>
                      <w:highlight w:val="none"/>
                      <w:lang w:val="en-US" w:eastAsia="zh-CN"/>
                    </w:rPr>
                  </w:pPr>
                  <w:r>
                    <w:rPr>
                      <w:rFonts w:hint="eastAsia"/>
                      <w:color w:val="auto"/>
                      <w:highlight w:val="none"/>
                      <w:lang w:val="en-US" w:eastAsia="zh-CN"/>
                    </w:rPr>
                    <w:t>5</w:t>
                  </w:r>
                </w:p>
              </w:tc>
              <w:tc>
                <w:tcPr>
                  <w:tcW w:w="1168" w:type="dxa"/>
                  <w:tcBorders>
                    <w:tl2br w:val="nil"/>
                    <w:tr2bl w:val="nil"/>
                  </w:tcBorders>
                  <w:vAlign w:val="center"/>
                </w:tcPr>
                <w:p>
                  <w:pPr>
                    <w:pStyle w:val="34"/>
                    <w:bidi w:val="0"/>
                    <w:jc w:val="center"/>
                    <w:rPr>
                      <w:rFonts w:hint="eastAsia" w:eastAsia="宋体"/>
                      <w:color w:val="auto"/>
                      <w:highlight w:val="none"/>
                      <w:lang w:val="en-US" w:eastAsia="zh-CN"/>
                    </w:rPr>
                  </w:pPr>
                  <w:r>
                    <w:rPr>
                      <w:rFonts w:hint="eastAsia"/>
                      <w:color w:val="auto"/>
                      <w:highlight w:val="none"/>
                      <w:lang w:val="en-US" w:eastAsia="zh-CN"/>
                    </w:rPr>
                    <w:t>吸附剂，硅铝酸盐</w:t>
                  </w:r>
                </w:p>
              </w:tc>
              <w:tc>
                <w:tcPr>
                  <w:tcW w:w="825" w:type="dxa"/>
                  <w:vMerge w:val="restart"/>
                  <w:tcBorders>
                    <w:tl2br w:val="nil"/>
                    <w:tr2bl w:val="nil"/>
                  </w:tcBorders>
                  <w:vAlign w:val="center"/>
                </w:tcPr>
                <w:p>
                  <w:pPr>
                    <w:pStyle w:val="34"/>
                    <w:bidi w:val="0"/>
                    <w:jc w:val="center"/>
                    <w:rPr>
                      <w:rFonts w:hint="default"/>
                      <w:color w:val="auto"/>
                      <w:highlight w:val="none"/>
                    </w:rPr>
                  </w:pPr>
                  <w:r>
                    <w:rPr>
                      <w:rFonts w:hint="default"/>
                      <w:color w:val="auto"/>
                      <w:highlight w:val="none"/>
                    </w:rPr>
                    <w:t>一般工业固废</w:t>
                  </w:r>
                </w:p>
              </w:tc>
              <w:tc>
                <w:tcPr>
                  <w:tcW w:w="2944" w:type="dxa"/>
                  <w:tcBorders>
                    <w:tl2br w:val="nil"/>
                    <w:tr2bl w:val="nil"/>
                  </w:tcBorders>
                  <w:vAlign w:val="center"/>
                </w:tcPr>
                <w:p>
                  <w:pPr>
                    <w:pStyle w:val="34"/>
                    <w:bidi w:val="0"/>
                    <w:jc w:val="center"/>
                    <w:rPr>
                      <w:rFonts w:hint="default"/>
                      <w:color w:val="auto"/>
                      <w:highlight w:val="none"/>
                    </w:rPr>
                  </w:pPr>
                  <w:r>
                    <w:rPr>
                      <w:rFonts w:hint="default"/>
                      <w:color w:val="auto"/>
                      <w:highlight w:val="none"/>
                    </w:rPr>
                    <w:t>由厂家</w:t>
                  </w:r>
                  <w:r>
                    <w:rPr>
                      <w:rFonts w:hint="eastAsia"/>
                      <w:color w:val="auto"/>
                      <w:highlight w:val="none"/>
                      <w:lang w:val="en-US" w:eastAsia="zh-CN"/>
                    </w:rPr>
                    <w:t>自行带走</w:t>
                  </w:r>
                  <w:r>
                    <w:rPr>
                      <w:rFonts w:hint="default"/>
                      <w:color w:val="auto"/>
                      <w:highlight w:val="none"/>
                    </w:rPr>
                    <w:t>处置</w:t>
                  </w:r>
                  <w:r>
                    <w:rPr>
                      <w:rFonts w:hint="eastAsia"/>
                      <w:color w:val="auto"/>
                      <w:highlight w:val="none"/>
                      <w:lang w:eastAsia="zh-CN"/>
                    </w:rPr>
                    <w:t>，</w:t>
                  </w:r>
                  <w:r>
                    <w:rPr>
                      <w:rFonts w:hint="eastAsia"/>
                      <w:color w:val="auto"/>
                      <w:highlight w:val="none"/>
                      <w:lang w:val="en-US" w:eastAsia="zh-CN"/>
                    </w:rPr>
                    <w:t>不在厂区内贮存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4" w:type="dxa"/>
                  <w:tcBorders>
                    <w:tl2br w:val="nil"/>
                    <w:tr2bl w:val="nil"/>
                  </w:tcBorders>
                  <w:vAlign w:val="center"/>
                </w:tcPr>
                <w:p>
                  <w:pPr>
                    <w:pStyle w:val="34"/>
                    <w:bidi w:val="0"/>
                    <w:jc w:val="center"/>
                    <w:rPr>
                      <w:rFonts w:hint="eastAsia" w:eastAsia="宋体"/>
                      <w:color w:val="auto"/>
                      <w:highlight w:val="none"/>
                      <w:lang w:val="en-US" w:eastAsia="zh-CN"/>
                    </w:rPr>
                  </w:pPr>
                  <w:r>
                    <w:rPr>
                      <w:rFonts w:hint="eastAsia"/>
                      <w:color w:val="auto"/>
                      <w:highlight w:val="none"/>
                      <w:lang w:val="en-US" w:eastAsia="zh-CN"/>
                    </w:rPr>
                    <w:t>3</w:t>
                  </w:r>
                </w:p>
              </w:tc>
              <w:tc>
                <w:tcPr>
                  <w:tcW w:w="1158" w:type="dxa"/>
                  <w:tcBorders>
                    <w:tl2br w:val="nil"/>
                    <w:tr2bl w:val="nil"/>
                  </w:tcBorders>
                  <w:vAlign w:val="center"/>
                </w:tcPr>
                <w:p>
                  <w:pPr>
                    <w:pStyle w:val="34"/>
                    <w:bidi w:val="0"/>
                    <w:jc w:val="center"/>
                    <w:rPr>
                      <w:rFonts w:hint="default"/>
                      <w:color w:val="auto"/>
                      <w:highlight w:val="none"/>
                    </w:rPr>
                  </w:pPr>
                  <w:r>
                    <w:rPr>
                      <w:rFonts w:hint="eastAsia"/>
                      <w:color w:val="auto"/>
                      <w:highlight w:val="none"/>
                      <w:lang w:val="en-US" w:eastAsia="zh-CN"/>
                    </w:rPr>
                    <w:t>废氧化铝</w:t>
                  </w:r>
                </w:p>
              </w:tc>
              <w:tc>
                <w:tcPr>
                  <w:tcW w:w="1082" w:type="dxa"/>
                  <w:tcBorders>
                    <w:tl2br w:val="nil"/>
                    <w:tr2bl w:val="nil"/>
                  </w:tcBorders>
                  <w:vAlign w:val="center"/>
                </w:tcPr>
                <w:p>
                  <w:pPr>
                    <w:pStyle w:val="34"/>
                    <w:bidi w:val="0"/>
                    <w:jc w:val="center"/>
                    <w:rPr>
                      <w:rFonts w:hint="default" w:eastAsia="宋体"/>
                      <w:color w:val="auto"/>
                      <w:highlight w:val="none"/>
                      <w:lang w:val="en-US" w:eastAsia="zh-CN"/>
                    </w:rPr>
                  </w:pPr>
                  <w:r>
                    <w:rPr>
                      <w:rFonts w:hint="eastAsia"/>
                      <w:color w:val="auto"/>
                      <w:highlight w:val="none"/>
                      <w:lang w:val="en-US" w:eastAsia="zh-CN"/>
                    </w:rPr>
                    <w:t>1.5</w:t>
                  </w:r>
                </w:p>
              </w:tc>
              <w:tc>
                <w:tcPr>
                  <w:tcW w:w="1168" w:type="dxa"/>
                  <w:tcBorders>
                    <w:tl2br w:val="nil"/>
                    <w:tr2bl w:val="nil"/>
                  </w:tcBorders>
                  <w:vAlign w:val="center"/>
                </w:tcPr>
                <w:p>
                  <w:pPr>
                    <w:pStyle w:val="34"/>
                    <w:bidi w:val="0"/>
                    <w:jc w:val="center"/>
                    <w:rPr>
                      <w:rFonts w:hint="default"/>
                      <w:color w:val="auto"/>
                      <w:highlight w:val="none"/>
                    </w:rPr>
                  </w:pPr>
                  <w:r>
                    <w:rPr>
                      <w:rFonts w:hint="default"/>
                      <w:color w:val="auto"/>
                      <w:highlight w:val="none"/>
                    </w:rPr>
                    <w:t>废活性氧化铝</w:t>
                  </w:r>
                </w:p>
              </w:tc>
              <w:tc>
                <w:tcPr>
                  <w:tcW w:w="825" w:type="dxa"/>
                  <w:vMerge w:val="continue"/>
                  <w:tcBorders>
                    <w:tl2br w:val="nil"/>
                    <w:tr2bl w:val="nil"/>
                  </w:tcBorders>
                  <w:vAlign w:val="center"/>
                </w:tcPr>
                <w:p>
                  <w:pPr>
                    <w:pStyle w:val="34"/>
                    <w:bidi w:val="0"/>
                    <w:jc w:val="center"/>
                    <w:rPr>
                      <w:rFonts w:hint="default"/>
                      <w:color w:val="auto"/>
                      <w:highlight w:val="none"/>
                    </w:rPr>
                  </w:pPr>
                </w:p>
              </w:tc>
              <w:tc>
                <w:tcPr>
                  <w:tcW w:w="2944" w:type="dxa"/>
                  <w:tcBorders>
                    <w:tl2br w:val="nil"/>
                    <w:tr2bl w:val="nil"/>
                  </w:tcBorders>
                  <w:vAlign w:val="center"/>
                </w:tcPr>
                <w:p>
                  <w:pPr>
                    <w:pStyle w:val="34"/>
                    <w:bidi w:val="0"/>
                    <w:jc w:val="center"/>
                    <w:rPr>
                      <w:rFonts w:hint="default"/>
                      <w:color w:val="auto"/>
                      <w:highlight w:val="none"/>
                    </w:rPr>
                  </w:pPr>
                  <w:r>
                    <w:rPr>
                      <w:rFonts w:hint="default"/>
                      <w:color w:val="auto"/>
                      <w:highlight w:val="none"/>
                    </w:rPr>
                    <w:t>由厂家</w:t>
                  </w:r>
                  <w:r>
                    <w:rPr>
                      <w:rFonts w:hint="eastAsia"/>
                      <w:color w:val="auto"/>
                      <w:highlight w:val="none"/>
                      <w:lang w:val="en-US" w:eastAsia="zh-CN"/>
                    </w:rPr>
                    <w:t>自行带走</w:t>
                  </w:r>
                  <w:r>
                    <w:rPr>
                      <w:rFonts w:hint="default"/>
                      <w:color w:val="auto"/>
                      <w:highlight w:val="none"/>
                    </w:rPr>
                    <w:t>处置</w:t>
                  </w:r>
                  <w:r>
                    <w:rPr>
                      <w:rFonts w:hint="eastAsia"/>
                      <w:color w:val="auto"/>
                      <w:highlight w:val="none"/>
                      <w:lang w:eastAsia="zh-CN"/>
                    </w:rPr>
                    <w:t>，</w:t>
                  </w:r>
                  <w:r>
                    <w:rPr>
                      <w:rFonts w:hint="eastAsia"/>
                      <w:color w:val="auto"/>
                      <w:highlight w:val="none"/>
                      <w:lang w:val="en-US" w:eastAsia="zh-CN"/>
                    </w:rPr>
                    <w:t>不在厂区内贮存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4" w:type="dxa"/>
                  <w:tcBorders>
                    <w:tl2br w:val="nil"/>
                    <w:tr2bl w:val="nil"/>
                  </w:tcBorders>
                  <w:vAlign w:val="center"/>
                </w:tcPr>
                <w:p>
                  <w:pPr>
                    <w:pStyle w:val="34"/>
                    <w:bidi w:val="0"/>
                    <w:jc w:val="center"/>
                    <w:rPr>
                      <w:rFonts w:hint="eastAsia" w:eastAsia="宋体"/>
                      <w:color w:val="auto"/>
                      <w:highlight w:val="none"/>
                      <w:lang w:val="en-US" w:eastAsia="zh-CN"/>
                    </w:rPr>
                  </w:pPr>
                  <w:r>
                    <w:rPr>
                      <w:rFonts w:hint="eastAsia"/>
                      <w:color w:val="auto"/>
                      <w:highlight w:val="none"/>
                      <w:lang w:val="en-US" w:eastAsia="zh-CN"/>
                    </w:rPr>
                    <w:t>4</w:t>
                  </w:r>
                </w:p>
              </w:tc>
              <w:tc>
                <w:tcPr>
                  <w:tcW w:w="1158" w:type="dxa"/>
                  <w:tcBorders>
                    <w:tl2br w:val="nil"/>
                    <w:tr2bl w:val="nil"/>
                  </w:tcBorders>
                  <w:vAlign w:val="center"/>
                </w:tcPr>
                <w:p>
                  <w:pPr>
                    <w:pStyle w:val="34"/>
                    <w:bidi w:val="0"/>
                    <w:jc w:val="center"/>
                    <w:rPr>
                      <w:rFonts w:hint="eastAsia" w:eastAsia="宋体"/>
                      <w:color w:val="auto"/>
                      <w:highlight w:val="none"/>
                      <w:lang w:val="en-US" w:eastAsia="zh-CN"/>
                    </w:rPr>
                  </w:pPr>
                  <w:r>
                    <w:rPr>
                      <w:rFonts w:hint="eastAsia"/>
                      <w:color w:val="auto"/>
                      <w:highlight w:val="none"/>
                      <w:lang w:val="en-US" w:eastAsia="zh-CN"/>
                    </w:rPr>
                    <w:t>废滤芯</w:t>
                  </w:r>
                </w:p>
              </w:tc>
              <w:tc>
                <w:tcPr>
                  <w:tcW w:w="1082" w:type="dxa"/>
                  <w:tcBorders>
                    <w:tl2br w:val="nil"/>
                    <w:tr2bl w:val="nil"/>
                  </w:tcBorders>
                  <w:vAlign w:val="center"/>
                </w:tcPr>
                <w:p>
                  <w:pPr>
                    <w:pStyle w:val="34"/>
                    <w:bidi w:val="0"/>
                    <w:jc w:val="center"/>
                    <w:rPr>
                      <w:rFonts w:hint="default" w:eastAsia="宋体"/>
                      <w:color w:val="auto"/>
                      <w:highlight w:val="none"/>
                      <w:lang w:val="en-US" w:eastAsia="zh-CN"/>
                    </w:rPr>
                  </w:pPr>
                  <w:r>
                    <w:rPr>
                      <w:rFonts w:hint="eastAsia"/>
                      <w:color w:val="auto"/>
                      <w:highlight w:val="none"/>
                      <w:lang w:val="en-US" w:eastAsia="zh-CN"/>
                    </w:rPr>
                    <w:t>0.5</w:t>
                  </w:r>
                </w:p>
              </w:tc>
              <w:tc>
                <w:tcPr>
                  <w:tcW w:w="1168" w:type="dxa"/>
                  <w:tcBorders>
                    <w:tl2br w:val="nil"/>
                    <w:tr2bl w:val="nil"/>
                  </w:tcBorders>
                  <w:vAlign w:val="center"/>
                </w:tcPr>
                <w:p>
                  <w:pPr>
                    <w:pStyle w:val="34"/>
                    <w:bidi w:val="0"/>
                    <w:jc w:val="center"/>
                    <w:rPr>
                      <w:rFonts w:hint="default" w:eastAsia="宋体"/>
                      <w:color w:val="auto"/>
                      <w:highlight w:val="none"/>
                      <w:lang w:val="en-US" w:eastAsia="zh-CN"/>
                    </w:rPr>
                  </w:pPr>
                  <w:r>
                    <w:rPr>
                      <w:rFonts w:hint="eastAsia"/>
                      <w:color w:val="auto"/>
                      <w:highlight w:val="none"/>
                      <w:lang w:val="en-US" w:eastAsia="zh-CN"/>
                    </w:rPr>
                    <w:t>滤纸</w:t>
                  </w:r>
                </w:p>
              </w:tc>
              <w:tc>
                <w:tcPr>
                  <w:tcW w:w="825" w:type="dxa"/>
                  <w:vMerge w:val="continue"/>
                  <w:tcBorders>
                    <w:tl2br w:val="nil"/>
                    <w:tr2bl w:val="nil"/>
                  </w:tcBorders>
                  <w:vAlign w:val="center"/>
                </w:tcPr>
                <w:p>
                  <w:pPr>
                    <w:pStyle w:val="34"/>
                    <w:bidi w:val="0"/>
                    <w:jc w:val="center"/>
                    <w:rPr>
                      <w:rFonts w:hint="default"/>
                      <w:color w:val="auto"/>
                      <w:highlight w:val="none"/>
                    </w:rPr>
                  </w:pPr>
                </w:p>
              </w:tc>
              <w:tc>
                <w:tcPr>
                  <w:tcW w:w="2944" w:type="dxa"/>
                  <w:tcBorders>
                    <w:tl2br w:val="nil"/>
                    <w:tr2bl w:val="nil"/>
                  </w:tcBorders>
                  <w:vAlign w:val="center"/>
                </w:tcPr>
                <w:p>
                  <w:pPr>
                    <w:pStyle w:val="34"/>
                    <w:bidi w:val="0"/>
                    <w:jc w:val="center"/>
                    <w:rPr>
                      <w:rFonts w:hint="default"/>
                      <w:color w:val="auto"/>
                      <w:highlight w:val="none"/>
                    </w:rPr>
                  </w:pPr>
                  <w:r>
                    <w:rPr>
                      <w:rFonts w:hint="default"/>
                      <w:color w:val="auto"/>
                      <w:highlight w:val="none"/>
                    </w:rPr>
                    <w:t>由厂家</w:t>
                  </w:r>
                  <w:r>
                    <w:rPr>
                      <w:rFonts w:hint="eastAsia"/>
                      <w:color w:val="auto"/>
                      <w:highlight w:val="none"/>
                      <w:lang w:val="en-US" w:eastAsia="zh-CN"/>
                    </w:rPr>
                    <w:t>自行带走</w:t>
                  </w:r>
                  <w:r>
                    <w:rPr>
                      <w:rFonts w:hint="default"/>
                      <w:color w:val="auto"/>
                      <w:highlight w:val="none"/>
                    </w:rPr>
                    <w:t>处置</w:t>
                  </w:r>
                  <w:r>
                    <w:rPr>
                      <w:rFonts w:hint="eastAsia"/>
                      <w:color w:val="auto"/>
                      <w:highlight w:val="none"/>
                      <w:lang w:eastAsia="zh-CN"/>
                    </w:rPr>
                    <w:t>，</w:t>
                  </w:r>
                  <w:r>
                    <w:rPr>
                      <w:rFonts w:hint="eastAsia"/>
                      <w:color w:val="auto"/>
                      <w:highlight w:val="none"/>
                      <w:lang w:val="en-US" w:eastAsia="zh-CN"/>
                    </w:rPr>
                    <w:t>不在厂区内贮存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14" w:type="dxa"/>
                  <w:vMerge w:val="restart"/>
                  <w:tcBorders>
                    <w:tl2br w:val="nil"/>
                    <w:tr2bl w:val="nil"/>
                  </w:tcBorders>
                  <w:vAlign w:val="center"/>
                </w:tcPr>
                <w:p>
                  <w:pPr>
                    <w:pStyle w:val="34"/>
                    <w:bidi w:val="0"/>
                    <w:jc w:val="center"/>
                    <w:rPr>
                      <w:rFonts w:hint="eastAsia" w:eastAsia="宋体"/>
                      <w:color w:val="auto"/>
                      <w:highlight w:val="none"/>
                      <w:lang w:val="en-US" w:eastAsia="zh-CN"/>
                    </w:rPr>
                  </w:pPr>
                  <w:r>
                    <w:rPr>
                      <w:rFonts w:hint="eastAsia"/>
                      <w:color w:val="auto"/>
                      <w:highlight w:val="none"/>
                      <w:lang w:val="en-US" w:eastAsia="zh-CN"/>
                    </w:rPr>
                    <w:t>5</w:t>
                  </w:r>
                </w:p>
              </w:tc>
              <w:tc>
                <w:tcPr>
                  <w:tcW w:w="1158" w:type="dxa"/>
                  <w:tcBorders>
                    <w:tl2br w:val="nil"/>
                    <w:tr2bl w:val="nil"/>
                  </w:tcBorders>
                  <w:vAlign w:val="center"/>
                </w:tcPr>
                <w:p>
                  <w:pPr>
                    <w:pStyle w:val="34"/>
                    <w:bidi w:val="0"/>
                    <w:jc w:val="center"/>
                    <w:rPr>
                      <w:rFonts w:hint="default"/>
                      <w:color w:val="auto"/>
                      <w:highlight w:val="none"/>
                    </w:rPr>
                  </w:pPr>
                  <w:r>
                    <w:rPr>
                      <w:rFonts w:hint="default"/>
                      <w:color w:val="auto"/>
                      <w:highlight w:val="none"/>
                    </w:rPr>
                    <w:t>废润滑油</w:t>
                  </w:r>
                </w:p>
              </w:tc>
              <w:tc>
                <w:tcPr>
                  <w:tcW w:w="1082" w:type="dxa"/>
                  <w:tcBorders>
                    <w:tl2br w:val="nil"/>
                    <w:tr2bl w:val="nil"/>
                  </w:tcBorders>
                  <w:vAlign w:val="center"/>
                </w:tcPr>
                <w:p>
                  <w:pPr>
                    <w:pStyle w:val="34"/>
                    <w:bidi w:val="0"/>
                    <w:jc w:val="center"/>
                    <w:rPr>
                      <w:rFonts w:hint="default" w:eastAsia="宋体"/>
                      <w:color w:val="auto"/>
                      <w:highlight w:val="none"/>
                      <w:lang w:val="en-US" w:eastAsia="zh-CN"/>
                    </w:rPr>
                  </w:pPr>
                  <w:r>
                    <w:rPr>
                      <w:rFonts w:hint="eastAsia"/>
                      <w:color w:val="auto"/>
                      <w:highlight w:val="none"/>
                      <w:lang w:val="en-US" w:eastAsia="zh-CN"/>
                    </w:rPr>
                    <w:t>0.3</w:t>
                  </w:r>
                </w:p>
              </w:tc>
              <w:tc>
                <w:tcPr>
                  <w:tcW w:w="1168" w:type="dxa"/>
                  <w:tcBorders>
                    <w:tl2br w:val="nil"/>
                    <w:tr2bl w:val="nil"/>
                  </w:tcBorders>
                  <w:vAlign w:val="center"/>
                </w:tcPr>
                <w:p>
                  <w:pPr>
                    <w:pStyle w:val="34"/>
                    <w:bidi w:val="0"/>
                    <w:jc w:val="center"/>
                    <w:rPr>
                      <w:rFonts w:hint="eastAsia" w:eastAsia="宋体"/>
                      <w:color w:val="auto"/>
                      <w:highlight w:val="none"/>
                      <w:lang w:val="en-US" w:eastAsia="zh-CN"/>
                    </w:rPr>
                  </w:pPr>
                  <w:r>
                    <w:rPr>
                      <w:rFonts w:hint="eastAsia"/>
                      <w:color w:val="auto"/>
                      <w:highlight w:val="none"/>
                      <w:lang w:val="en-US" w:eastAsia="zh-CN"/>
                    </w:rPr>
                    <w:t>废矿物油</w:t>
                  </w:r>
                </w:p>
              </w:tc>
              <w:tc>
                <w:tcPr>
                  <w:tcW w:w="825" w:type="dxa"/>
                  <w:vMerge w:val="restart"/>
                  <w:tcBorders>
                    <w:tl2br w:val="nil"/>
                    <w:tr2bl w:val="nil"/>
                  </w:tcBorders>
                  <w:vAlign w:val="center"/>
                </w:tcPr>
                <w:p>
                  <w:pPr>
                    <w:pStyle w:val="34"/>
                    <w:bidi w:val="0"/>
                    <w:jc w:val="center"/>
                    <w:rPr>
                      <w:rFonts w:hint="default" w:eastAsia="宋体"/>
                      <w:color w:val="auto"/>
                      <w:highlight w:val="none"/>
                      <w:lang w:val="en-US" w:eastAsia="zh-CN"/>
                    </w:rPr>
                  </w:pPr>
                  <w:r>
                    <w:rPr>
                      <w:rFonts w:hint="eastAsia"/>
                      <w:color w:val="auto"/>
                      <w:highlight w:val="none"/>
                      <w:lang w:val="en-US" w:eastAsia="zh-CN"/>
                    </w:rPr>
                    <w:t>危险废物</w:t>
                  </w:r>
                </w:p>
              </w:tc>
              <w:tc>
                <w:tcPr>
                  <w:tcW w:w="2944" w:type="dxa"/>
                  <w:vMerge w:val="restart"/>
                  <w:tcBorders>
                    <w:tl2br w:val="nil"/>
                    <w:tr2bl w:val="nil"/>
                  </w:tcBorders>
                  <w:vAlign w:val="center"/>
                </w:tcPr>
                <w:p>
                  <w:pPr>
                    <w:pStyle w:val="34"/>
                    <w:bidi w:val="0"/>
                    <w:jc w:val="center"/>
                    <w:rPr>
                      <w:rFonts w:hint="default"/>
                      <w:color w:val="auto"/>
                      <w:highlight w:val="none"/>
                    </w:rPr>
                  </w:pPr>
                  <w:r>
                    <w:rPr>
                      <w:rFonts w:hint="default"/>
                      <w:color w:val="auto"/>
                      <w:highlight w:val="none"/>
                      <w:lang w:val="en-US" w:eastAsia="zh-CN"/>
                    </w:rPr>
                    <w:t>依托易门铜业有限公司已建</w:t>
                  </w:r>
                  <w:r>
                    <w:rPr>
                      <w:rFonts w:hint="eastAsia"/>
                      <w:color w:val="auto"/>
                      <w:highlight w:val="none"/>
                      <w:lang w:val="en-US" w:eastAsia="zh-CN"/>
                    </w:rPr>
                    <w:t>5#危险废物贮存库</w:t>
                  </w:r>
                  <w:r>
                    <w:rPr>
                      <w:rFonts w:hint="default"/>
                      <w:color w:val="auto"/>
                      <w:highlight w:val="none"/>
                      <w:lang w:val="en-US" w:eastAsia="zh-CN"/>
                    </w:rPr>
                    <w:t>进行暂存，然后委托</w:t>
                  </w:r>
                  <w:r>
                    <w:rPr>
                      <w:rFonts w:hint="eastAsia"/>
                      <w:color w:val="auto"/>
                      <w:highlight w:val="none"/>
                      <w:lang w:val="en-US" w:eastAsia="zh-CN"/>
                    </w:rPr>
                    <w:t>云南广莱再生资源回收有限公司</w:t>
                  </w:r>
                  <w:r>
                    <w:rPr>
                      <w:rFonts w:hint="default"/>
                      <w:color w:val="auto"/>
                      <w:highlight w:val="none"/>
                      <w:lang w:val="en-US" w:eastAsia="zh-CN"/>
                    </w:rPr>
                    <w:t>定期进行清运处置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14" w:type="dxa"/>
                  <w:vMerge w:val="continue"/>
                  <w:tcBorders>
                    <w:tl2br w:val="nil"/>
                    <w:tr2bl w:val="nil"/>
                  </w:tcBorders>
                  <w:vAlign w:val="center"/>
                </w:tcPr>
                <w:p>
                  <w:pPr>
                    <w:pStyle w:val="34"/>
                    <w:bidi w:val="0"/>
                    <w:jc w:val="center"/>
                    <w:rPr>
                      <w:color w:val="auto"/>
                      <w:highlight w:val="none"/>
                    </w:rPr>
                  </w:pPr>
                </w:p>
              </w:tc>
              <w:tc>
                <w:tcPr>
                  <w:tcW w:w="1158" w:type="dxa"/>
                  <w:tcBorders>
                    <w:tl2br w:val="nil"/>
                    <w:tr2bl w:val="nil"/>
                  </w:tcBorders>
                  <w:vAlign w:val="center"/>
                </w:tcPr>
                <w:p>
                  <w:pPr>
                    <w:pStyle w:val="34"/>
                    <w:bidi w:val="0"/>
                    <w:jc w:val="center"/>
                    <w:rPr>
                      <w:rFonts w:hint="default"/>
                      <w:color w:val="auto"/>
                      <w:highlight w:val="none"/>
                    </w:rPr>
                  </w:pPr>
                  <w:r>
                    <w:rPr>
                      <w:rFonts w:hint="eastAsia"/>
                      <w:color w:val="auto"/>
                      <w:highlight w:val="none"/>
                      <w:lang w:val="en-US" w:eastAsia="zh-CN"/>
                    </w:rPr>
                    <w:t>废油桶</w:t>
                  </w:r>
                </w:p>
              </w:tc>
              <w:tc>
                <w:tcPr>
                  <w:tcW w:w="1082" w:type="dxa"/>
                  <w:tcBorders>
                    <w:tl2br w:val="nil"/>
                    <w:tr2bl w:val="nil"/>
                  </w:tcBorders>
                  <w:vAlign w:val="center"/>
                </w:tcPr>
                <w:p>
                  <w:pPr>
                    <w:pStyle w:val="34"/>
                    <w:bidi w:val="0"/>
                    <w:jc w:val="center"/>
                    <w:rPr>
                      <w:rFonts w:hint="default" w:eastAsia="宋体"/>
                      <w:color w:val="auto"/>
                      <w:highlight w:val="none"/>
                      <w:lang w:val="en-US" w:eastAsia="zh-CN"/>
                    </w:rPr>
                  </w:pPr>
                  <w:r>
                    <w:rPr>
                      <w:rFonts w:hint="eastAsia"/>
                      <w:color w:val="auto"/>
                      <w:highlight w:val="none"/>
                      <w:lang w:val="en-US" w:eastAsia="zh-CN"/>
                    </w:rPr>
                    <w:t>0.5</w:t>
                  </w:r>
                </w:p>
              </w:tc>
              <w:tc>
                <w:tcPr>
                  <w:tcW w:w="1168" w:type="dxa"/>
                  <w:tcBorders>
                    <w:tl2br w:val="nil"/>
                    <w:tr2bl w:val="nil"/>
                  </w:tcBorders>
                  <w:vAlign w:val="center"/>
                </w:tcPr>
                <w:p>
                  <w:pPr>
                    <w:pStyle w:val="34"/>
                    <w:bidi w:val="0"/>
                    <w:jc w:val="center"/>
                    <w:rPr>
                      <w:rFonts w:hint="default" w:eastAsia="宋体"/>
                      <w:color w:val="auto"/>
                      <w:highlight w:val="none"/>
                      <w:lang w:val="en-US" w:eastAsia="zh-CN"/>
                    </w:rPr>
                  </w:pPr>
                  <w:r>
                    <w:rPr>
                      <w:rFonts w:hint="eastAsia"/>
                      <w:color w:val="auto"/>
                      <w:highlight w:val="none"/>
                      <w:lang w:val="en-US" w:eastAsia="zh-CN"/>
                    </w:rPr>
                    <w:t>含矿物油废物</w:t>
                  </w:r>
                </w:p>
              </w:tc>
              <w:tc>
                <w:tcPr>
                  <w:tcW w:w="825" w:type="dxa"/>
                  <w:vMerge w:val="continue"/>
                  <w:tcBorders>
                    <w:tl2br w:val="nil"/>
                    <w:tr2bl w:val="nil"/>
                  </w:tcBorders>
                  <w:vAlign w:val="center"/>
                </w:tcPr>
                <w:p>
                  <w:pPr>
                    <w:pStyle w:val="34"/>
                    <w:bidi w:val="0"/>
                    <w:jc w:val="center"/>
                    <w:rPr>
                      <w:rFonts w:hint="default"/>
                      <w:color w:val="auto"/>
                      <w:highlight w:val="none"/>
                    </w:rPr>
                  </w:pPr>
                </w:p>
              </w:tc>
              <w:tc>
                <w:tcPr>
                  <w:tcW w:w="2944" w:type="dxa"/>
                  <w:vMerge w:val="continue"/>
                  <w:tcBorders>
                    <w:tl2br w:val="nil"/>
                    <w:tr2bl w:val="nil"/>
                  </w:tcBorders>
                  <w:vAlign w:val="center"/>
                </w:tcPr>
                <w:p>
                  <w:pPr>
                    <w:pStyle w:val="34"/>
                    <w:bidi w:val="0"/>
                    <w:jc w:val="center"/>
                    <w:rPr>
                      <w:rFonts w:hint="default"/>
                      <w:color w:val="auto"/>
                      <w:highlight w:val="none"/>
                    </w:rPr>
                  </w:pP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三、现有项目存在的主要环境问题</w:t>
            </w:r>
          </w:p>
          <w:p>
            <w:pPr>
              <w:bidi w:val="0"/>
              <w:rPr>
                <w:rFonts w:hint="default"/>
                <w:color w:val="auto"/>
                <w:highlight w:val="none"/>
              </w:rPr>
            </w:pPr>
            <w:r>
              <w:rPr>
                <w:rFonts w:hint="default"/>
                <w:color w:val="auto"/>
                <w:highlight w:val="none"/>
              </w:rPr>
              <w:t>现有</w:t>
            </w:r>
            <w:r>
              <w:rPr>
                <w:rFonts w:hint="eastAsia"/>
                <w:color w:val="auto"/>
                <w:highlight w:val="none"/>
                <w:lang w:val="en-US" w:eastAsia="zh-CN"/>
              </w:rPr>
              <w:t>项目</w:t>
            </w:r>
            <w:r>
              <w:rPr>
                <w:rFonts w:hint="default"/>
                <w:color w:val="auto"/>
                <w:highlight w:val="none"/>
              </w:rPr>
              <w:t>循环冷却排污水已纳入厂区废水处理系统处理后回用，实现零外排，不存在废水污染问题</w:t>
            </w:r>
            <w:r>
              <w:rPr>
                <w:rFonts w:hint="eastAsia"/>
                <w:color w:val="auto"/>
                <w:highlight w:val="none"/>
                <w:lang w:eastAsia="zh-CN"/>
              </w:rPr>
              <w:t>；</w:t>
            </w:r>
            <w:r>
              <w:rPr>
                <w:rFonts w:hint="default"/>
                <w:color w:val="auto"/>
                <w:highlight w:val="none"/>
              </w:rPr>
              <w:t>现有</w:t>
            </w:r>
            <w:r>
              <w:rPr>
                <w:rFonts w:hint="eastAsia"/>
                <w:color w:val="auto"/>
                <w:highlight w:val="none"/>
                <w:lang w:val="en-US" w:eastAsia="zh-CN"/>
              </w:rPr>
              <w:t>项目</w:t>
            </w:r>
            <w:r>
              <w:rPr>
                <w:rFonts w:hint="default"/>
                <w:color w:val="auto"/>
                <w:highlight w:val="none"/>
              </w:rPr>
              <w:t>工艺废气（污氮）为空气组分，</w:t>
            </w:r>
            <w:r>
              <w:rPr>
                <w:rFonts w:hint="eastAsia"/>
                <w:color w:val="auto"/>
                <w:highlight w:val="none"/>
                <w:lang w:val="en-US" w:eastAsia="zh-CN"/>
              </w:rPr>
              <w:t>不属于废气污染物，生产过程中</w:t>
            </w:r>
            <w:r>
              <w:rPr>
                <w:rFonts w:hint="default"/>
                <w:color w:val="auto"/>
                <w:highlight w:val="none"/>
              </w:rPr>
              <w:t>无有毒有害污染物排放，不存在废气污染问题</w:t>
            </w:r>
            <w:r>
              <w:rPr>
                <w:rFonts w:hint="eastAsia"/>
                <w:color w:val="auto"/>
                <w:highlight w:val="none"/>
                <w:lang w:eastAsia="zh-CN"/>
              </w:rPr>
              <w:t>；</w:t>
            </w:r>
            <w:r>
              <w:rPr>
                <w:rFonts w:hint="default"/>
                <w:color w:val="auto"/>
                <w:highlight w:val="none"/>
              </w:rPr>
              <w:t>现有</w:t>
            </w:r>
            <w:r>
              <w:rPr>
                <w:rFonts w:hint="eastAsia"/>
                <w:color w:val="auto"/>
                <w:highlight w:val="none"/>
                <w:lang w:val="en-US" w:eastAsia="zh-CN"/>
              </w:rPr>
              <w:t>项目运营过程中</w:t>
            </w:r>
            <w:r>
              <w:rPr>
                <w:rFonts w:hint="default"/>
                <w:color w:val="auto"/>
                <w:highlight w:val="none"/>
              </w:rPr>
              <w:t>厂界噪声可达标排放，不存在噪声</w:t>
            </w:r>
            <w:r>
              <w:rPr>
                <w:rFonts w:hint="eastAsia"/>
                <w:color w:val="auto"/>
                <w:highlight w:val="none"/>
                <w:lang w:val="en-US" w:eastAsia="zh-CN"/>
              </w:rPr>
              <w:t>影响</w:t>
            </w:r>
            <w:r>
              <w:rPr>
                <w:rFonts w:hint="default"/>
                <w:color w:val="auto"/>
                <w:highlight w:val="none"/>
              </w:rPr>
              <w:t>问题</w:t>
            </w:r>
            <w:r>
              <w:rPr>
                <w:rFonts w:hint="eastAsia"/>
                <w:color w:val="auto"/>
                <w:highlight w:val="none"/>
                <w:lang w:eastAsia="zh-CN"/>
              </w:rPr>
              <w:t>；</w:t>
            </w:r>
            <w:r>
              <w:rPr>
                <w:rFonts w:hint="default"/>
                <w:color w:val="auto"/>
                <w:highlight w:val="none"/>
              </w:rPr>
              <w:t>现有</w:t>
            </w:r>
            <w:r>
              <w:rPr>
                <w:rFonts w:hint="eastAsia"/>
                <w:color w:val="auto"/>
                <w:highlight w:val="none"/>
                <w:lang w:val="en-US" w:eastAsia="zh-CN"/>
              </w:rPr>
              <w:t>项目</w:t>
            </w:r>
            <w:r>
              <w:rPr>
                <w:rFonts w:hint="default"/>
                <w:color w:val="auto"/>
                <w:highlight w:val="none"/>
              </w:rPr>
              <w:t>固体废物分类收集、规范暂存、合规处置，</w:t>
            </w:r>
            <w:r>
              <w:rPr>
                <w:rFonts w:hint="eastAsia"/>
                <w:color w:val="auto"/>
                <w:highlight w:val="none"/>
                <w:lang w:val="en-US" w:eastAsia="zh-CN"/>
              </w:rPr>
              <w:t>处置率100%，</w:t>
            </w:r>
            <w:r>
              <w:rPr>
                <w:rFonts w:hint="default"/>
                <w:color w:val="auto"/>
                <w:highlight w:val="none"/>
              </w:rPr>
              <w:t>不存在固废污染问题。</w:t>
            </w:r>
          </w:p>
          <w:p>
            <w:pPr>
              <w:bidi w:val="0"/>
              <w:rPr>
                <w:rFonts w:hint="default"/>
                <w:color w:val="auto"/>
                <w:highlight w:val="none"/>
                <w:lang w:val="en-US" w:eastAsia="zh-CN"/>
              </w:rPr>
            </w:pPr>
            <w:r>
              <w:rPr>
                <w:rFonts w:hint="eastAsia"/>
                <w:color w:val="auto"/>
                <w:highlight w:val="none"/>
                <w:lang w:val="en-US" w:eastAsia="zh-CN"/>
              </w:rPr>
              <w:t>现有项目运营过程中未收到过相关环保投诉情况，未发生过任何环境污染事故，项目现状稳定运营。</w:t>
            </w:r>
          </w:p>
          <w:p>
            <w:pPr>
              <w:bidi w:val="0"/>
              <w:rPr>
                <w:rFonts w:hint="default"/>
                <w:color w:val="auto"/>
                <w:highlight w:val="none"/>
                <w:lang w:val="en-US" w:eastAsia="zh-CN"/>
              </w:rPr>
            </w:pPr>
            <w:r>
              <w:rPr>
                <w:rFonts w:hint="eastAsia"/>
                <w:color w:val="auto"/>
                <w:highlight w:val="none"/>
                <w:lang w:val="en-US" w:eastAsia="zh-CN"/>
              </w:rPr>
              <w:t>综上，现有工程不存在与项目有关的原有环境污染问题。</w:t>
            </w:r>
          </w:p>
          <w:p>
            <w:pPr>
              <w:bidi w:val="0"/>
              <w:rPr>
                <w:rFonts w:hint="default"/>
                <w:color w:val="auto"/>
                <w:highlight w:val="none"/>
              </w:rPr>
            </w:pPr>
          </w:p>
          <w:p>
            <w:pPr>
              <w:bidi w:val="0"/>
              <w:rPr>
                <w:rFonts w:hint="default"/>
                <w:color w:val="auto"/>
                <w:highlight w:val="none"/>
                <w:lang w:val="en-US" w:eastAsia="zh-CN"/>
              </w:rPr>
            </w:pPr>
          </w:p>
          <w:p>
            <w:pPr>
              <w:bidi w:val="0"/>
              <w:rPr>
                <w:rFonts w:hint="default"/>
                <w:color w:val="auto"/>
                <w:highlight w:val="none"/>
                <w:lang w:val="en-US" w:eastAsia="zh-CN"/>
              </w:rPr>
            </w:pPr>
          </w:p>
          <w:p>
            <w:pPr>
              <w:bidi w:val="0"/>
              <w:rPr>
                <w:rFonts w:hint="default"/>
                <w:color w:val="auto"/>
                <w:highlight w:val="none"/>
                <w:lang w:val="en-US" w:eastAsia="zh-CN"/>
              </w:rPr>
            </w:pPr>
          </w:p>
          <w:p>
            <w:pPr>
              <w:bidi w:val="0"/>
              <w:ind w:left="0" w:leftChars="0" w:firstLine="0" w:firstLineChars="0"/>
              <w:rPr>
                <w:rFonts w:hint="default"/>
                <w:color w:val="auto"/>
                <w:highlight w:val="none"/>
                <w:lang w:val="en-US" w:eastAsia="zh-CN"/>
              </w:rPr>
            </w:pPr>
          </w:p>
          <w:p>
            <w:pPr>
              <w:bidi w:val="0"/>
              <w:ind w:left="0" w:leftChars="0" w:firstLine="0" w:firstLineChars="0"/>
              <w:rPr>
                <w:rFonts w:hint="default"/>
                <w:color w:val="auto"/>
                <w:highlight w:val="none"/>
                <w:lang w:val="en-US" w:eastAsia="zh-CN"/>
              </w:rPr>
            </w:pPr>
          </w:p>
          <w:p>
            <w:pPr>
              <w:bidi w:val="0"/>
              <w:ind w:left="0" w:leftChars="0" w:firstLine="0" w:firstLineChars="0"/>
              <w:rPr>
                <w:rFonts w:hint="default"/>
                <w:color w:val="auto"/>
                <w:highlight w:val="none"/>
                <w:lang w:val="en-US" w:eastAsia="zh-CN"/>
              </w:rPr>
            </w:pPr>
          </w:p>
          <w:p>
            <w:pPr>
              <w:bidi w:val="0"/>
              <w:ind w:left="0" w:leftChars="0" w:firstLine="0" w:firstLineChars="0"/>
              <w:rPr>
                <w:rFonts w:hint="default"/>
                <w:color w:val="auto"/>
                <w:highlight w:val="none"/>
                <w:lang w:val="en-US" w:eastAsia="zh-CN"/>
              </w:rPr>
            </w:pPr>
            <w:r>
              <w:rPr>
                <w:rFonts w:hint="default"/>
                <w:color w:val="auto"/>
                <w:highlight w:val="none"/>
                <w:lang w:val="en-US" w:eastAsia="zh-CN"/>
              </w:rPr>
              <w:br w:type="textWrapping"/>
            </w:r>
          </w:p>
          <w:p>
            <w:pPr>
              <w:bidi w:val="0"/>
              <w:ind w:left="0" w:leftChars="0" w:firstLine="0" w:firstLineChars="0"/>
              <w:rPr>
                <w:rFonts w:hint="default"/>
                <w:color w:val="auto"/>
                <w:highlight w:val="none"/>
                <w:lang w:val="en-US" w:eastAsia="zh-CN"/>
              </w:rPr>
            </w:pPr>
          </w:p>
          <w:p>
            <w:pPr>
              <w:bidi w:val="0"/>
              <w:ind w:left="0" w:leftChars="0" w:firstLine="0" w:firstLineChars="0"/>
              <w:rPr>
                <w:rFonts w:hint="default"/>
                <w:color w:val="auto"/>
                <w:highlight w:val="none"/>
                <w:lang w:val="en-US" w:eastAsia="zh-CN"/>
              </w:rPr>
            </w:pPr>
          </w:p>
        </w:tc>
      </w:tr>
    </w:tbl>
    <w:p>
      <w:pPr>
        <w:pStyle w:val="2"/>
        <w:bidi w:val="0"/>
        <w:rPr>
          <w:rFonts w:hint="default" w:ascii="Times New Roman" w:hAnsi="Times New Roman"/>
          <w:color w:val="auto"/>
          <w:highlight w:val="none"/>
          <w:lang w:val="en-US" w:eastAsia="zh-CN"/>
        </w:rPr>
      </w:pPr>
      <w:bookmarkStart w:id="243" w:name="_Toc2353"/>
      <w:r>
        <w:rPr>
          <w:rFonts w:hint="default"/>
          <w:color w:val="auto"/>
          <w:highlight w:val="none"/>
          <w:lang w:eastAsia="zh-CN"/>
        </w:rPr>
        <w:t>三、区域环境质量现状、环境保护目标及评价标准</w:t>
      </w:r>
      <w:bookmarkEnd w:id="242"/>
      <w:bookmarkEnd w:id="243"/>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7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13" w:hRule="atLeast"/>
        </w:trPr>
        <w:tc>
          <w:tcPr>
            <w:tcW w:w="590" w:type="dxa"/>
            <w:vAlign w:val="center"/>
          </w:tcPr>
          <w:p>
            <w:pPr>
              <w:pStyle w:val="41"/>
              <w:bidi w:val="0"/>
              <w:rPr>
                <w:rFonts w:hint="default"/>
                <w:color w:val="auto"/>
                <w:highlight w:val="none"/>
                <w:lang w:val="en-US" w:eastAsia="zh-CN"/>
              </w:rPr>
            </w:pPr>
            <w:r>
              <w:rPr>
                <w:rFonts w:hint="default"/>
                <w:color w:val="auto"/>
                <w:highlight w:val="none"/>
                <w:lang w:eastAsia="zh-CN"/>
              </w:rPr>
              <w:t>区域环境质量现状</w:t>
            </w:r>
          </w:p>
        </w:tc>
        <w:tc>
          <w:tcPr>
            <w:tcW w:w="7938" w:type="dxa"/>
          </w:tcPr>
          <w:p>
            <w:pPr>
              <w:bidi w:val="0"/>
              <w:rPr>
                <w:rFonts w:hint="eastAsia"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（一）环境空气质量现状</w:t>
            </w:r>
          </w:p>
          <w:p>
            <w:pPr>
              <w:bidi w:val="0"/>
              <w:rPr>
                <w:rFonts w:hint="eastAsia"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 xml:space="preserve">1、环境空气质量标准 </w:t>
            </w:r>
          </w:p>
          <w:p>
            <w:pPr>
              <w:bidi w:val="0"/>
              <w:rPr>
                <w:rFonts w:hint="default" w:ascii="Times New Roman" w:hAnsi="Times New Roman" w:cs="Times New Roman"/>
                <w:color w:val="auto"/>
                <w:highlight w:val="none"/>
                <w:lang w:val="en-US" w:eastAsia="zh-CN"/>
              </w:rPr>
            </w:pPr>
            <w:r>
              <w:rPr>
                <w:rFonts w:hint="eastAsia"/>
                <w:color w:val="auto"/>
                <w:highlight w:val="none"/>
                <w:lang w:val="en-US" w:eastAsia="zh-CN"/>
              </w:rPr>
              <w:t>本项目位于</w:t>
            </w:r>
            <w:r>
              <w:rPr>
                <w:rFonts w:hint="eastAsia" w:cs="Times New Roman"/>
                <w:i w:val="0"/>
                <w:iCs w:val="0"/>
                <w:color w:val="auto"/>
                <w:sz w:val="24"/>
                <w:szCs w:val="24"/>
                <w:highlight w:val="none"/>
                <w:u w:val="none"/>
                <w:lang w:val="en-US" w:eastAsia="zh-CN"/>
              </w:rPr>
              <w:t>云南易门产业园区大椿树片区</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根据</w:t>
            </w:r>
            <w:r>
              <w:rPr>
                <w:rFonts w:hint="default" w:ascii="Times New Roman" w:hAnsi="Times New Roman" w:cs="Times New Roman"/>
                <w:color w:val="auto"/>
                <w:highlight w:val="none"/>
                <w:lang w:val="en-US" w:eastAsia="zh-CN"/>
              </w:rPr>
              <w:t>大气环境功能区划</w:t>
            </w:r>
            <w:r>
              <w:rPr>
                <w:rFonts w:hint="eastAsia" w:cs="Times New Roman"/>
                <w:color w:val="auto"/>
                <w:highlight w:val="none"/>
                <w:lang w:val="en-US" w:eastAsia="zh-CN"/>
              </w:rPr>
              <w:t>可</w:t>
            </w:r>
            <w:r>
              <w:rPr>
                <w:rFonts w:hint="default" w:ascii="Times New Roman" w:hAnsi="Times New Roman" w:cs="Times New Roman"/>
                <w:color w:val="auto"/>
                <w:highlight w:val="none"/>
                <w:lang w:val="en-US" w:eastAsia="zh-CN"/>
              </w:rPr>
              <w:t>知，项目</w:t>
            </w:r>
            <w:r>
              <w:rPr>
                <w:rFonts w:hint="eastAsia" w:cs="Times New Roman"/>
                <w:color w:val="auto"/>
                <w:highlight w:val="none"/>
                <w:lang w:val="en-US" w:eastAsia="zh-CN"/>
              </w:rPr>
              <w:t>所在区域</w:t>
            </w:r>
            <w:r>
              <w:rPr>
                <w:rFonts w:hint="default" w:ascii="Times New Roman" w:hAnsi="Times New Roman" w:cs="Times New Roman"/>
                <w:color w:val="auto"/>
                <w:highlight w:val="none"/>
                <w:lang w:val="en-US" w:eastAsia="zh-CN"/>
              </w:rPr>
              <w:t>属</w:t>
            </w:r>
            <w:r>
              <w:rPr>
                <w:rFonts w:hint="eastAsia" w:cs="Times New Roman"/>
                <w:color w:val="auto"/>
                <w:highlight w:val="none"/>
                <w:lang w:val="en-US" w:eastAsia="zh-CN"/>
              </w:rPr>
              <w:t>于</w:t>
            </w:r>
            <w:r>
              <w:rPr>
                <w:rFonts w:hint="default" w:ascii="Times New Roman" w:hAnsi="Times New Roman" w:cs="Times New Roman"/>
                <w:color w:val="auto"/>
                <w:highlight w:val="none"/>
                <w:lang w:val="en-US" w:eastAsia="zh-CN"/>
              </w:rPr>
              <w:t>二类功能区，</w:t>
            </w:r>
            <w:r>
              <w:rPr>
                <w:rFonts w:hint="eastAsia" w:cs="Times New Roman"/>
                <w:color w:val="auto"/>
                <w:highlight w:val="none"/>
                <w:lang w:val="en-US" w:eastAsia="zh-CN"/>
              </w:rPr>
              <w:t>2030年12月31日前，本项目</w:t>
            </w:r>
            <w:r>
              <w:rPr>
                <w:rFonts w:hint="default" w:ascii="Times New Roman" w:hAnsi="Times New Roman" w:cs="Times New Roman"/>
                <w:color w:val="auto"/>
                <w:highlight w:val="none"/>
                <w:lang w:val="en-US" w:eastAsia="zh-CN"/>
              </w:rPr>
              <w:t>执行《环境空气质量标准》（GB3095-2026）中</w:t>
            </w:r>
            <w:r>
              <w:rPr>
                <w:rFonts w:hint="eastAsia"/>
                <w:color w:val="auto"/>
                <w:highlight w:val="none"/>
                <w:lang w:val="en-US" w:eastAsia="zh-CN"/>
              </w:rPr>
              <w:t>过渡阶段</w:t>
            </w:r>
            <w:r>
              <w:rPr>
                <w:rFonts w:hint="default"/>
                <w:color w:val="auto"/>
                <w:highlight w:val="none"/>
                <w:lang w:val="en-US" w:eastAsia="zh-CN"/>
              </w:rPr>
              <w:t>浓度限值</w:t>
            </w:r>
            <w:r>
              <w:rPr>
                <w:rFonts w:hint="default" w:ascii="Times New Roman" w:hAnsi="Times New Roman" w:cs="Times New Roman"/>
                <w:color w:val="auto"/>
                <w:highlight w:val="none"/>
                <w:lang w:val="en-US" w:eastAsia="zh-CN"/>
              </w:rPr>
              <w:t>二级标准</w:t>
            </w:r>
            <w:r>
              <w:rPr>
                <w:rFonts w:hint="eastAsia" w:cs="Times New Roman"/>
                <w:color w:val="auto"/>
                <w:highlight w:val="none"/>
                <w:lang w:val="en-US" w:eastAsia="zh-CN"/>
              </w:rPr>
              <w:t>要求</w:t>
            </w:r>
            <w:r>
              <w:rPr>
                <w:rFonts w:hint="eastAsia"/>
                <w:color w:val="auto"/>
                <w:highlight w:val="none"/>
                <w:lang w:val="en-US" w:eastAsia="zh-CN"/>
              </w:rPr>
              <w:t>；2031年1月1日起，</w:t>
            </w:r>
            <w:r>
              <w:rPr>
                <w:rFonts w:hint="default" w:ascii="Times New Roman" w:hAnsi="Times New Roman" w:cs="Times New Roman"/>
                <w:color w:val="auto"/>
                <w:highlight w:val="none"/>
                <w:lang w:val="en-US" w:eastAsia="zh-CN"/>
              </w:rPr>
              <w:t>执行《环境空气质量标准》（GB3095-2026）中</w:t>
            </w:r>
            <w:r>
              <w:rPr>
                <w:rFonts w:hint="eastAsia" w:ascii="Times New Roman" w:hAnsi="Times New Roman" w:cs="Times New Roman"/>
                <w:color w:val="auto"/>
                <w:highlight w:val="none"/>
                <w:lang w:val="en-US" w:eastAsia="zh-CN"/>
              </w:rPr>
              <w:t>基本项目浓度限值</w:t>
            </w:r>
            <w:r>
              <w:rPr>
                <w:rFonts w:hint="default" w:ascii="Times New Roman" w:hAnsi="Times New Roman" w:cs="Times New Roman"/>
                <w:color w:val="auto"/>
                <w:highlight w:val="none"/>
                <w:lang w:val="en-US" w:eastAsia="zh-CN"/>
              </w:rPr>
              <w:t>二级标准</w:t>
            </w:r>
            <w:r>
              <w:rPr>
                <w:rFonts w:hint="eastAsia" w:cs="Times New Roman"/>
                <w:color w:val="auto"/>
                <w:highlight w:val="none"/>
                <w:lang w:val="en-US" w:eastAsia="zh-CN"/>
              </w:rPr>
              <w:t>要求，</w:t>
            </w:r>
            <w:r>
              <w:rPr>
                <w:rFonts w:hint="default" w:ascii="Times New Roman" w:hAnsi="Times New Roman" w:cs="Times New Roman"/>
                <w:color w:val="auto"/>
                <w:highlight w:val="none"/>
                <w:lang w:val="en-US" w:eastAsia="zh-CN"/>
              </w:rPr>
              <w:t>标准值</w:t>
            </w:r>
            <w:r>
              <w:rPr>
                <w:rFonts w:hint="eastAsia" w:cs="Times New Roman"/>
                <w:color w:val="auto"/>
                <w:highlight w:val="none"/>
                <w:lang w:val="en-US" w:eastAsia="zh-CN"/>
              </w:rPr>
              <w:t>见下表</w:t>
            </w:r>
            <w:r>
              <w:rPr>
                <w:rFonts w:hint="default" w:ascii="Times New Roman" w:hAnsi="Times New Roman" w:cs="Times New Roman"/>
                <w:color w:val="auto"/>
                <w:highlight w:val="none"/>
                <w:lang w:val="en-US" w:eastAsia="zh-CN"/>
              </w:rPr>
              <w:t>。</w:t>
            </w:r>
          </w:p>
          <w:p>
            <w:pPr>
              <w:pStyle w:val="36"/>
              <w:bidi w:val="0"/>
              <w:rPr>
                <w:rFonts w:hint="eastAsia" w:ascii="黑体" w:hAnsi="黑体" w:eastAsia="黑体" w:cs="黑体"/>
                <w:b w:val="0"/>
                <w:bCs w:val="0"/>
                <w:color w:val="auto"/>
                <w:szCs w:val="21"/>
                <w:highlight w:val="none"/>
                <w:lang w:val="en-US" w:eastAsia="zh-CN"/>
              </w:rPr>
            </w:pPr>
            <w:r>
              <w:rPr>
                <w:rFonts w:hint="default"/>
                <w:color w:val="auto"/>
                <w:highlight w:val="none"/>
                <w:lang w:val="en-US" w:eastAsia="zh-CN"/>
              </w:rPr>
              <w:t>表3-1  环境空气质量标准</w:t>
            </w:r>
            <w:r>
              <w:rPr>
                <w:rFonts w:hint="eastAsia"/>
                <w:color w:val="auto"/>
                <w:highlight w:val="none"/>
                <w:lang w:val="en-US" w:eastAsia="zh-CN"/>
              </w:rPr>
              <w:t xml:space="preserve">   单位：</w:t>
            </w:r>
            <w:r>
              <w:rPr>
                <w:rFonts w:hint="eastAsia" w:ascii="黑体" w:hAnsi="黑体" w:eastAsia="黑体" w:cs="黑体"/>
                <w:color w:val="auto"/>
                <w:highlight w:val="none"/>
                <w:lang w:val="en-US" w:eastAsia="zh-CN"/>
              </w:rPr>
              <w:t>μg/m³</w:t>
            </w:r>
          </w:p>
          <w:tbl>
            <w:tblPr>
              <w:tblStyle w:val="23"/>
              <w:tblW w:w="7580"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shd w:val="clear" w:color="auto" w:fill="auto"/>
              <w:tblLayout w:type="fixed"/>
              <w:tblCellMar>
                <w:top w:w="0" w:type="dxa"/>
                <w:left w:w="108" w:type="dxa"/>
                <w:bottom w:w="0" w:type="dxa"/>
                <w:right w:w="108" w:type="dxa"/>
              </w:tblCellMar>
            </w:tblPr>
            <w:tblGrid>
              <w:gridCol w:w="651"/>
              <w:gridCol w:w="992"/>
              <w:gridCol w:w="1535"/>
              <w:gridCol w:w="1425"/>
              <w:gridCol w:w="1425"/>
              <w:gridCol w:w="1552"/>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88" w:hRule="atLeast"/>
                <w:jc w:val="center"/>
              </w:trPr>
              <w:tc>
                <w:tcPr>
                  <w:tcW w:w="651" w:type="dxa"/>
                  <w:tcBorders>
                    <w:tl2br w:val="nil"/>
                    <w:tr2bl w:val="nil"/>
                  </w:tcBorders>
                  <w:shd w:val="clear" w:color="auto" w:fill="auto"/>
                  <w:noWrap/>
                  <w:vAlign w:val="center"/>
                </w:tcPr>
                <w:p>
                  <w:pPr>
                    <w:pStyle w:val="34"/>
                    <w:bidi w:val="0"/>
                    <w:rPr>
                      <w:rFonts w:hint="default"/>
                      <w:color w:val="auto"/>
                      <w:highlight w:val="none"/>
                    </w:rPr>
                  </w:pPr>
                  <w:r>
                    <w:rPr>
                      <w:rFonts w:hint="default"/>
                      <w:color w:val="auto"/>
                      <w:highlight w:val="none"/>
                      <w:lang w:val="en-US" w:eastAsia="zh-CN"/>
                    </w:rPr>
                    <w:t>序号</w:t>
                  </w:r>
                </w:p>
              </w:tc>
              <w:tc>
                <w:tcPr>
                  <w:tcW w:w="992" w:type="dxa"/>
                  <w:tcBorders>
                    <w:tl2br w:val="nil"/>
                    <w:tr2bl w:val="nil"/>
                  </w:tcBorders>
                  <w:shd w:val="clear" w:color="auto" w:fill="auto"/>
                  <w:noWrap/>
                  <w:vAlign w:val="center"/>
                </w:tcPr>
                <w:p>
                  <w:pPr>
                    <w:pStyle w:val="34"/>
                    <w:bidi w:val="0"/>
                    <w:rPr>
                      <w:rFonts w:hint="default"/>
                      <w:color w:val="auto"/>
                      <w:highlight w:val="none"/>
                    </w:rPr>
                  </w:pPr>
                  <w:r>
                    <w:rPr>
                      <w:rFonts w:hint="default"/>
                      <w:color w:val="auto"/>
                      <w:highlight w:val="none"/>
                      <w:lang w:val="en-US" w:eastAsia="zh-CN"/>
                    </w:rPr>
                    <w:t>污染物名称</w:t>
                  </w:r>
                </w:p>
              </w:tc>
              <w:tc>
                <w:tcPr>
                  <w:tcW w:w="1535" w:type="dxa"/>
                  <w:tcBorders>
                    <w:tl2br w:val="nil"/>
                    <w:tr2bl w:val="nil"/>
                  </w:tcBorders>
                  <w:shd w:val="clear" w:color="auto" w:fill="auto"/>
                  <w:noWrap/>
                  <w:vAlign w:val="center"/>
                </w:tcPr>
                <w:p>
                  <w:pPr>
                    <w:pStyle w:val="34"/>
                    <w:bidi w:val="0"/>
                    <w:rPr>
                      <w:rFonts w:hint="default"/>
                      <w:color w:val="auto"/>
                      <w:highlight w:val="none"/>
                    </w:rPr>
                  </w:pPr>
                  <w:r>
                    <w:rPr>
                      <w:rFonts w:hint="default"/>
                      <w:color w:val="auto"/>
                      <w:highlight w:val="none"/>
                      <w:lang w:val="en-US" w:eastAsia="zh-CN"/>
                    </w:rPr>
                    <w:t>平均时间</w:t>
                  </w:r>
                </w:p>
              </w:tc>
              <w:tc>
                <w:tcPr>
                  <w:tcW w:w="1425" w:type="dxa"/>
                  <w:tcBorders>
                    <w:tl2br w:val="nil"/>
                    <w:tr2bl w:val="nil"/>
                  </w:tcBorders>
                  <w:shd w:val="clear" w:color="auto" w:fill="auto"/>
                  <w:noWrap/>
                  <w:vAlign w:val="center"/>
                </w:tcPr>
                <w:p>
                  <w:pPr>
                    <w:pStyle w:val="34"/>
                    <w:bidi w:val="0"/>
                    <w:rPr>
                      <w:rFonts w:hint="default"/>
                      <w:color w:val="auto"/>
                      <w:highlight w:val="none"/>
                      <w:lang w:val="en-US" w:eastAsia="zh-CN"/>
                    </w:rPr>
                  </w:pPr>
                  <w:r>
                    <w:rPr>
                      <w:rFonts w:hint="eastAsia"/>
                      <w:color w:val="auto"/>
                      <w:highlight w:val="none"/>
                      <w:lang w:val="en-US" w:eastAsia="zh-CN"/>
                    </w:rPr>
                    <w:t>过渡阶段</w:t>
                  </w:r>
                  <w:r>
                    <w:rPr>
                      <w:rFonts w:hint="default"/>
                      <w:color w:val="auto"/>
                      <w:highlight w:val="none"/>
                      <w:lang w:val="en-US" w:eastAsia="zh-CN"/>
                    </w:rPr>
                    <w:t>浓度限值</w:t>
                  </w:r>
                  <w:r>
                    <w:rPr>
                      <w:rFonts w:hint="eastAsia"/>
                      <w:color w:val="auto"/>
                      <w:highlight w:val="none"/>
                      <w:lang w:val="en-US" w:eastAsia="zh-CN"/>
                    </w:rPr>
                    <w:t>（二级）</w:t>
                  </w:r>
                </w:p>
              </w:tc>
              <w:tc>
                <w:tcPr>
                  <w:tcW w:w="1425" w:type="dxa"/>
                  <w:tcBorders>
                    <w:tl2br w:val="nil"/>
                    <w:tr2bl w:val="nil"/>
                  </w:tcBorders>
                  <w:shd w:val="clear" w:color="auto" w:fill="auto"/>
                  <w:noWrap/>
                  <w:vAlign w:val="center"/>
                </w:tcPr>
                <w:p>
                  <w:pPr>
                    <w:pStyle w:val="34"/>
                    <w:bidi w:val="0"/>
                    <w:rPr>
                      <w:rFonts w:hint="eastAsia"/>
                      <w:color w:val="auto"/>
                      <w:highlight w:val="none"/>
                      <w:lang w:val="en-US" w:eastAsia="zh-CN"/>
                    </w:rPr>
                  </w:pPr>
                  <w:r>
                    <w:rPr>
                      <w:rFonts w:hint="eastAsia" w:ascii="Times New Roman" w:hAnsi="Times New Roman" w:cs="Times New Roman"/>
                      <w:color w:val="auto"/>
                      <w:highlight w:val="none"/>
                      <w:lang w:val="en-US" w:eastAsia="zh-CN"/>
                    </w:rPr>
                    <w:t>基本项目浓度限值</w:t>
                  </w:r>
                  <w:r>
                    <w:rPr>
                      <w:rFonts w:hint="eastAsia"/>
                      <w:color w:val="auto"/>
                      <w:highlight w:val="none"/>
                      <w:lang w:val="en-US" w:eastAsia="zh-CN"/>
                    </w:rPr>
                    <w:t>（二级）</w:t>
                  </w:r>
                </w:p>
              </w:tc>
              <w:tc>
                <w:tcPr>
                  <w:tcW w:w="1552" w:type="dxa"/>
                  <w:tcBorders>
                    <w:tl2br w:val="nil"/>
                    <w:tr2bl w:val="nil"/>
                  </w:tcBorders>
                  <w:shd w:val="clear" w:color="auto" w:fill="auto"/>
                  <w:noWrap/>
                  <w:vAlign w:val="center"/>
                </w:tcPr>
                <w:p>
                  <w:pPr>
                    <w:pStyle w:val="34"/>
                    <w:bidi w:val="0"/>
                    <w:rPr>
                      <w:rFonts w:hint="default"/>
                      <w:color w:val="auto"/>
                      <w:highlight w:val="none"/>
                      <w:lang w:val="en-US" w:eastAsia="zh-CN"/>
                    </w:rPr>
                  </w:pPr>
                  <w:r>
                    <w:rPr>
                      <w:rFonts w:hint="default"/>
                      <w:color w:val="auto"/>
                      <w:highlight w:val="none"/>
                      <w:lang w:val="en-US" w:eastAsia="zh-CN"/>
                    </w:rPr>
                    <w:t>执行标准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27" w:hRule="atLeast"/>
                <w:jc w:val="center"/>
              </w:trPr>
              <w:tc>
                <w:tcPr>
                  <w:tcW w:w="651" w:type="dxa"/>
                  <w:vMerge w:val="restart"/>
                  <w:tcBorders>
                    <w:tl2br w:val="nil"/>
                    <w:tr2bl w:val="nil"/>
                  </w:tcBorders>
                  <w:shd w:val="clear" w:color="auto" w:fill="auto"/>
                  <w:noWrap/>
                  <w:vAlign w:val="center"/>
                </w:tcPr>
                <w:p>
                  <w:pPr>
                    <w:pStyle w:val="34"/>
                    <w:bidi w:val="0"/>
                    <w:rPr>
                      <w:rFonts w:hint="default"/>
                      <w:color w:val="auto"/>
                      <w:highlight w:val="none"/>
                    </w:rPr>
                  </w:pPr>
                  <w:r>
                    <w:rPr>
                      <w:rFonts w:hint="default"/>
                      <w:color w:val="auto"/>
                      <w:highlight w:val="none"/>
                      <w:lang w:val="en-US" w:eastAsia="zh-CN"/>
                    </w:rPr>
                    <w:t>1</w:t>
                  </w:r>
                </w:p>
              </w:tc>
              <w:tc>
                <w:tcPr>
                  <w:tcW w:w="992" w:type="dxa"/>
                  <w:vMerge w:val="restart"/>
                  <w:tcBorders>
                    <w:tl2br w:val="nil"/>
                    <w:tr2bl w:val="nil"/>
                  </w:tcBorders>
                  <w:shd w:val="clear" w:color="auto" w:fill="auto"/>
                  <w:noWrap/>
                  <w:vAlign w:val="center"/>
                </w:tcPr>
                <w:p>
                  <w:pPr>
                    <w:pStyle w:val="34"/>
                    <w:bidi w:val="0"/>
                    <w:rPr>
                      <w:rFonts w:hint="default"/>
                      <w:color w:val="auto"/>
                      <w:highlight w:val="none"/>
                    </w:rPr>
                  </w:pPr>
                  <w:r>
                    <w:rPr>
                      <w:color w:val="auto"/>
                      <w:highlight w:val="none"/>
                    </w:rPr>
                    <w:t>SO</w:t>
                  </w:r>
                  <w:r>
                    <w:rPr>
                      <w:color w:val="auto"/>
                      <w:highlight w:val="none"/>
                      <w:vertAlign w:val="subscript"/>
                    </w:rPr>
                    <w:t>2</w:t>
                  </w:r>
                </w:p>
              </w:tc>
              <w:tc>
                <w:tcPr>
                  <w:tcW w:w="1535" w:type="dxa"/>
                  <w:tcBorders>
                    <w:tl2br w:val="nil"/>
                    <w:tr2bl w:val="nil"/>
                  </w:tcBorders>
                  <w:shd w:val="clear" w:color="auto" w:fill="auto"/>
                  <w:noWrap/>
                  <w:vAlign w:val="center"/>
                </w:tcPr>
                <w:p>
                  <w:pPr>
                    <w:pStyle w:val="34"/>
                    <w:bidi w:val="0"/>
                    <w:rPr>
                      <w:rFonts w:hint="default"/>
                      <w:color w:val="auto"/>
                      <w:highlight w:val="none"/>
                      <w:lang w:val="en-US" w:eastAsia="zh-CN"/>
                    </w:rPr>
                  </w:pPr>
                  <w:r>
                    <w:rPr>
                      <w:color w:val="auto"/>
                      <w:highlight w:val="none"/>
                    </w:rPr>
                    <w:t>年平均</w:t>
                  </w:r>
                </w:p>
              </w:tc>
              <w:tc>
                <w:tcPr>
                  <w:tcW w:w="1425" w:type="dxa"/>
                  <w:tcBorders>
                    <w:tl2br w:val="nil"/>
                    <w:tr2bl w:val="nil"/>
                  </w:tcBorders>
                  <w:shd w:val="clear" w:color="auto" w:fill="auto"/>
                  <w:noWrap/>
                  <w:vAlign w:val="center"/>
                </w:tcPr>
                <w:p>
                  <w:pPr>
                    <w:pStyle w:val="34"/>
                    <w:bidi w:val="0"/>
                    <w:rPr>
                      <w:rFonts w:hint="default"/>
                      <w:color w:val="auto"/>
                      <w:highlight w:val="none"/>
                      <w:lang w:val="en-US" w:eastAsia="zh-CN"/>
                    </w:rPr>
                  </w:pPr>
                  <w:r>
                    <w:rPr>
                      <w:color w:val="auto"/>
                      <w:highlight w:val="none"/>
                    </w:rPr>
                    <w:t>60</w:t>
                  </w:r>
                </w:p>
              </w:tc>
              <w:tc>
                <w:tcPr>
                  <w:tcW w:w="1425" w:type="dxa"/>
                  <w:tcBorders>
                    <w:tl2br w:val="nil"/>
                    <w:tr2bl w:val="nil"/>
                  </w:tcBorders>
                  <w:shd w:val="clear" w:color="auto" w:fill="auto"/>
                  <w:noWrap/>
                  <w:vAlign w:val="center"/>
                </w:tcPr>
                <w:p>
                  <w:pPr>
                    <w:pStyle w:val="34"/>
                    <w:bidi w:val="0"/>
                    <w:rPr>
                      <w:rFonts w:hint="default" w:eastAsia="宋体"/>
                      <w:color w:val="auto"/>
                      <w:highlight w:val="none"/>
                      <w:lang w:val="en-US" w:eastAsia="zh-CN"/>
                    </w:rPr>
                  </w:pPr>
                  <w:r>
                    <w:rPr>
                      <w:rFonts w:hint="eastAsia"/>
                      <w:color w:val="auto"/>
                      <w:highlight w:val="none"/>
                      <w:lang w:val="en-US" w:eastAsia="zh-CN"/>
                    </w:rPr>
                    <w:t>20</w:t>
                  </w:r>
                </w:p>
              </w:tc>
              <w:tc>
                <w:tcPr>
                  <w:tcW w:w="1552" w:type="dxa"/>
                  <w:vMerge w:val="restart"/>
                  <w:tcBorders>
                    <w:tl2br w:val="nil"/>
                    <w:tr2bl w:val="nil"/>
                  </w:tcBorders>
                  <w:shd w:val="clear" w:color="auto" w:fill="auto"/>
                  <w:noWrap/>
                  <w:vAlign w:val="center"/>
                </w:tcPr>
                <w:p>
                  <w:pPr>
                    <w:pStyle w:val="34"/>
                    <w:bidi w:val="0"/>
                    <w:rPr>
                      <w:rFonts w:hint="default"/>
                      <w:color w:val="auto"/>
                      <w:highlight w:val="none"/>
                      <w:lang w:val="en-US" w:eastAsia="zh-CN"/>
                    </w:rPr>
                  </w:pPr>
                  <w:r>
                    <w:rPr>
                      <w:rFonts w:hint="default"/>
                      <w:color w:val="auto"/>
                      <w:highlight w:val="none"/>
                      <w:lang w:val="en-US" w:eastAsia="zh-CN"/>
                    </w:rPr>
                    <w:t>《环境空气质量标准》（GB3095-20</w:t>
                  </w:r>
                  <w:r>
                    <w:rPr>
                      <w:rFonts w:hint="eastAsia"/>
                      <w:color w:val="auto"/>
                      <w:highlight w:val="none"/>
                      <w:lang w:val="en-US" w:eastAsia="zh-CN"/>
                    </w:rPr>
                    <w:t>26</w:t>
                  </w:r>
                  <w:r>
                    <w:rPr>
                      <w:rFonts w:hint="default"/>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69" w:hRule="atLeast"/>
                <w:jc w:val="center"/>
              </w:trPr>
              <w:tc>
                <w:tcPr>
                  <w:tcW w:w="651" w:type="dxa"/>
                  <w:vMerge w:val="continue"/>
                  <w:tcBorders>
                    <w:tl2br w:val="nil"/>
                    <w:tr2bl w:val="nil"/>
                  </w:tcBorders>
                  <w:shd w:val="clear" w:color="auto" w:fill="auto"/>
                  <w:noWrap/>
                  <w:vAlign w:val="center"/>
                </w:tcPr>
                <w:p>
                  <w:pPr>
                    <w:pStyle w:val="34"/>
                    <w:bidi w:val="0"/>
                    <w:rPr>
                      <w:rFonts w:hint="default"/>
                      <w:color w:val="auto"/>
                      <w:highlight w:val="none"/>
                    </w:rPr>
                  </w:pPr>
                </w:p>
              </w:tc>
              <w:tc>
                <w:tcPr>
                  <w:tcW w:w="992" w:type="dxa"/>
                  <w:vMerge w:val="continue"/>
                  <w:tcBorders>
                    <w:tl2br w:val="nil"/>
                    <w:tr2bl w:val="nil"/>
                  </w:tcBorders>
                  <w:shd w:val="clear" w:color="auto" w:fill="auto"/>
                  <w:noWrap/>
                  <w:vAlign w:val="center"/>
                </w:tcPr>
                <w:p>
                  <w:pPr>
                    <w:pStyle w:val="34"/>
                    <w:bidi w:val="0"/>
                    <w:rPr>
                      <w:rFonts w:hint="default"/>
                      <w:color w:val="auto"/>
                      <w:highlight w:val="none"/>
                    </w:rPr>
                  </w:pPr>
                </w:p>
              </w:tc>
              <w:tc>
                <w:tcPr>
                  <w:tcW w:w="1535" w:type="dxa"/>
                  <w:tcBorders>
                    <w:tl2br w:val="nil"/>
                    <w:tr2bl w:val="nil"/>
                  </w:tcBorders>
                  <w:shd w:val="clear" w:color="auto" w:fill="auto"/>
                  <w:noWrap/>
                  <w:vAlign w:val="center"/>
                </w:tcPr>
                <w:p>
                  <w:pPr>
                    <w:pStyle w:val="34"/>
                    <w:bidi w:val="0"/>
                    <w:rPr>
                      <w:rFonts w:hint="default"/>
                      <w:color w:val="auto"/>
                      <w:highlight w:val="none"/>
                      <w:lang w:val="en-US" w:eastAsia="zh-CN"/>
                    </w:rPr>
                  </w:pPr>
                  <w:r>
                    <w:rPr>
                      <w:color w:val="auto"/>
                      <w:highlight w:val="none"/>
                    </w:rPr>
                    <w:t>24小时平均</w:t>
                  </w:r>
                </w:p>
              </w:tc>
              <w:tc>
                <w:tcPr>
                  <w:tcW w:w="1425" w:type="dxa"/>
                  <w:tcBorders>
                    <w:tl2br w:val="nil"/>
                    <w:tr2bl w:val="nil"/>
                  </w:tcBorders>
                  <w:shd w:val="clear" w:color="auto" w:fill="auto"/>
                  <w:noWrap/>
                  <w:vAlign w:val="center"/>
                </w:tcPr>
                <w:p>
                  <w:pPr>
                    <w:pStyle w:val="34"/>
                    <w:bidi w:val="0"/>
                    <w:rPr>
                      <w:rFonts w:hint="default"/>
                      <w:color w:val="auto"/>
                      <w:highlight w:val="none"/>
                      <w:lang w:val="en-US" w:eastAsia="zh-CN"/>
                    </w:rPr>
                  </w:pPr>
                  <w:r>
                    <w:rPr>
                      <w:color w:val="auto"/>
                      <w:highlight w:val="none"/>
                    </w:rPr>
                    <w:t>150</w:t>
                  </w:r>
                </w:p>
              </w:tc>
              <w:tc>
                <w:tcPr>
                  <w:tcW w:w="1425" w:type="dxa"/>
                  <w:tcBorders>
                    <w:tl2br w:val="nil"/>
                    <w:tr2bl w:val="nil"/>
                  </w:tcBorders>
                  <w:shd w:val="clear" w:color="auto" w:fill="auto"/>
                  <w:noWrap/>
                  <w:vAlign w:val="center"/>
                </w:tcPr>
                <w:p>
                  <w:pPr>
                    <w:pStyle w:val="34"/>
                    <w:bidi w:val="0"/>
                    <w:rPr>
                      <w:rFonts w:hint="default" w:eastAsia="宋体"/>
                      <w:color w:val="auto"/>
                      <w:highlight w:val="none"/>
                      <w:lang w:val="en-US" w:eastAsia="zh-CN"/>
                    </w:rPr>
                  </w:pPr>
                  <w:r>
                    <w:rPr>
                      <w:rFonts w:hint="eastAsia"/>
                      <w:color w:val="auto"/>
                      <w:highlight w:val="none"/>
                      <w:lang w:val="en-US" w:eastAsia="zh-CN"/>
                    </w:rPr>
                    <w:t>50</w:t>
                  </w:r>
                </w:p>
              </w:tc>
              <w:tc>
                <w:tcPr>
                  <w:tcW w:w="1552" w:type="dxa"/>
                  <w:vMerge w:val="continue"/>
                  <w:tcBorders>
                    <w:tl2br w:val="nil"/>
                    <w:tr2bl w:val="nil"/>
                  </w:tcBorders>
                  <w:shd w:val="clear" w:color="auto" w:fill="auto"/>
                  <w:noWrap/>
                  <w:vAlign w:val="center"/>
                </w:tcPr>
                <w:p>
                  <w:pPr>
                    <w:pStyle w:val="34"/>
                    <w:bidi w:val="0"/>
                    <w:rPr>
                      <w:rFonts w:hint="default"/>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72" w:hRule="atLeast"/>
                <w:jc w:val="center"/>
              </w:trPr>
              <w:tc>
                <w:tcPr>
                  <w:tcW w:w="651" w:type="dxa"/>
                  <w:vMerge w:val="continue"/>
                  <w:tcBorders>
                    <w:tl2br w:val="nil"/>
                    <w:tr2bl w:val="nil"/>
                  </w:tcBorders>
                  <w:shd w:val="clear" w:color="auto" w:fill="auto"/>
                  <w:noWrap/>
                  <w:vAlign w:val="center"/>
                </w:tcPr>
                <w:p>
                  <w:pPr>
                    <w:pStyle w:val="34"/>
                    <w:bidi w:val="0"/>
                    <w:rPr>
                      <w:rFonts w:hint="default"/>
                      <w:color w:val="auto"/>
                      <w:highlight w:val="none"/>
                    </w:rPr>
                  </w:pPr>
                </w:p>
              </w:tc>
              <w:tc>
                <w:tcPr>
                  <w:tcW w:w="992" w:type="dxa"/>
                  <w:vMerge w:val="continue"/>
                  <w:tcBorders>
                    <w:tl2br w:val="nil"/>
                    <w:tr2bl w:val="nil"/>
                  </w:tcBorders>
                  <w:shd w:val="clear" w:color="auto" w:fill="auto"/>
                  <w:noWrap/>
                  <w:vAlign w:val="center"/>
                </w:tcPr>
                <w:p>
                  <w:pPr>
                    <w:pStyle w:val="34"/>
                    <w:bidi w:val="0"/>
                    <w:rPr>
                      <w:rFonts w:hint="default"/>
                      <w:color w:val="auto"/>
                      <w:highlight w:val="none"/>
                    </w:rPr>
                  </w:pPr>
                </w:p>
              </w:tc>
              <w:tc>
                <w:tcPr>
                  <w:tcW w:w="1535" w:type="dxa"/>
                  <w:tcBorders>
                    <w:tl2br w:val="nil"/>
                    <w:tr2bl w:val="nil"/>
                  </w:tcBorders>
                  <w:shd w:val="clear" w:color="auto" w:fill="auto"/>
                  <w:noWrap/>
                  <w:vAlign w:val="center"/>
                </w:tcPr>
                <w:p>
                  <w:pPr>
                    <w:pStyle w:val="34"/>
                    <w:bidi w:val="0"/>
                    <w:rPr>
                      <w:rFonts w:hint="default"/>
                      <w:color w:val="auto"/>
                      <w:highlight w:val="none"/>
                      <w:lang w:val="en-US" w:eastAsia="zh-CN"/>
                    </w:rPr>
                  </w:pPr>
                  <w:r>
                    <w:rPr>
                      <w:color w:val="auto"/>
                      <w:highlight w:val="none"/>
                    </w:rPr>
                    <w:t>1小时平均</w:t>
                  </w:r>
                </w:p>
              </w:tc>
              <w:tc>
                <w:tcPr>
                  <w:tcW w:w="1425" w:type="dxa"/>
                  <w:tcBorders>
                    <w:tl2br w:val="nil"/>
                    <w:tr2bl w:val="nil"/>
                  </w:tcBorders>
                  <w:shd w:val="clear" w:color="auto" w:fill="auto"/>
                  <w:noWrap/>
                  <w:vAlign w:val="center"/>
                </w:tcPr>
                <w:p>
                  <w:pPr>
                    <w:pStyle w:val="34"/>
                    <w:bidi w:val="0"/>
                    <w:rPr>
                      <w:rFonts w:hint="default"/>
                      <w:color w:val="auto"/>
                      <w:highlight w:val="none"/>
                      <w:lang w:val="en-US" w:eastAsia="zh-CN"/>
                    </w:rPr>
                  </w:pPr>
                  <w:r>
                    <w:rPr>
                      <w:color w:val="auto"/>
                      <w:highlight w:val="none"/>
                    </w:rPr>
                    <w:t>500</w:t>
                  </w:r>
                </w:p>
              </w:tc>
              <w:tc>
                <w:tcPr>
                  <w:tcW w:w="1425" w:type="dxa"/>
                  <w:tcBorders>
                    <w:tl2br w:val="nil"/>
                    <w:tr2bl w:val="nil"/>
                  </w:tcBorders>
                  <w:shd w:val="clear" w:color="auto" w:fill="auto"/>
                  <w:noWrap/>
                  <w:vAlign w:val="center"/>
                </w:tcPr>
                <w:p>
                  <w:pPr>
                    <w:pStyle w:val="34"/>
                    <w:bidi w:val="0"/>
                    <w:rPr>
                      <w:rFonts w:hint="default" w:eastAsia="宋体"/>
                      <w:color w:val="auto"/>
                      <w:highlight w:val="none"/>
                      <w:lang w:val="en-US" w:eastAsia="zh-CN"/>
                    </w:rPr>
                  </w:pPr>
                  <w:r>
                    <w:rPr>
                      <w:rFonts w:hint="eastAsia"/>
                      <w:color w:val="auto"/>
                      <w:highlight w:val="none"/>
                      <w:lang w:val="en-US" w:eastAsia="zh-CN"/>
                    </w:rPr>
                    <w:t>150</w:t>
                  </w:r>
                </w:p>
              </w:tc>
              <w:tc>
                <w:tcPr>
                  <w:tcW w:w="1552" w:type="dxa"/>
                  <w:vMerge w:val="continue"/>
                  <w:tcBorders>
                    <w:tl2br w:val="nil"/>
                    <w:tr2bl w:val="nil"/>
                  </w:tcBorders>
                  <w:shd w:val="clear" w:color="auto" w:fill="auto"/>
                  <w:noWrap/>
                  <w:vAlign w:val="center"/>
                </w:tcPr>
                <w:p>
                  <w:pPr>
                    <w:pStyle w:val="34"/>
                    <w:bidi w:val="0"/>
                    <w:rPr>
                      <w:rFonts w:hint="default"/>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72" w:hRule="atLeast"/>
                <w:jc w:val="center"/>
              </w:trPr>
              <w:tc>
                <w:tcPr>
                  <w:tcW w:w="651" w:type="dxa"/>
                  <w:vMerge w:val="restart"/>
                  <w:tcBorders>
                    <w:tl2br w:val="nil"/>
                    <w:tr2bl w:val="nil"/>
                  </w:tcBorders>
                  <w:shd w:val="clear" w:color="auto" w:fill="auto"/>
                  <w:noWrap/>
                  <w:vAlign w:val="center"/>
                </w:tcPr>
                <w:p>
                  <w:pPr>
                    <w:pStyle w:val="34"/>
                    <w:bidi w:val="0"/>
                    <w:rPr>
                      <w:rFonts w:hint="default"/>
                      <w:color w:val="auto"/>
                      <w:highlight w:val="none"/>
                    </w:rPr>
                  </w:pPr>
                  <w:r>
                    <w:rPr>
                      <w:rFonts w:hint="default"/>
                      <w:color w:val="auto"/>
                      <w:highlight w:val="none"/>
                      <w:lang w:val="en-US" w:eastAsia="zh-CN"/>
                    </w:rPr>
                    <w:t>2</w:t>
                  </w:r>
                </w:p>
              </w:tc>
              <w:tc>
                <w:tcPr>
                  <w:tcW w:w="992" w:type="dxa"/>
                  <w:vMerge w:val="restart"/>
                  <w:tcBorders>
                    <w:tl2br w:val="nil"/>
                    <w:tr2bl w:val="nil"/>
                  </w:tcBorders>
                  <w:shd w:val="clear" w:color="auto" w:fill="auto"/>
                  <w:noWrap/>
                  <w:vAlign w:val="center"/>
                </w:tcPr>
                <w:p>
                  <w:pPr>
                    <w:pStyle w:val="34"/>
                    <w:bidi w:val="0"/>
                    <w:rPr>
                      <w:rFonts w:hint="default"/>
                      <w:color w:val="auto"/>
                      <w:highlight w:val="none"/>
                    </w:rPr>
                  </w:pPr>
                  <w:r>
                    <w:rPr>
                      <w:color w:val="auto"/>
                      <w:highlight w:val="none"/>
                    </w:rPr>
                    <w:t>NO</w:t>
                  </w:r>
                  <w:r>
                    <w:rPr>
                      <w:color w:val="auto"/>
                      <w:highlight w:val="none"/>
                      <w:vertAlign w:val="subscript"/>
                    </w:rPr>
                    <w:t>2</w:t>
                  </w:r>
                </w:p>
              </w:tc>
              <w:tc>
                <w:tcPr>
                  <w:tcW w:w="1535" w:type="dxa"/>
                  <w:tcBorders>
                    <w:tl2br w:val="nil"/>
                    <w:tr2bl w:val="nil"/>
                  </w:tcBorders>
                  <w:shd w:val="clear" w:color="auto" w:fill="auto"/>
                  <w:noWrap/>
                  <w:vAlign w:val="center"/>
                </w:tcPr>
                <w:p>
                  <w:pPr>
                    <w:pStyle w:val="34"/>
                    <w:bidi w:val="0"/>
                    <w:rPr>
                      <w:rFonts w:hint="default"/>
                      <w:color w:val="auto"/>
                      <w:highlight w:val="none"/>
                      <w:lang w:val="en-US" w:eastAsia="zh-CN"/>
                    </w:rPr>
                  </w:pPr>
                  <w:r>
                    <w:rPr>
                      <w:color w:val="auto"/>
                      <w:highlight w:val="none"/>
                    </w:rPr>
                    <w:t>年平均</w:t>
                  </w:r>
                </w:p>
              </w:tc>
              <w:tc>
                <w:tcPr>
                  <w:tcW w:w="1425" w:type="dxa"/>
                  <w:tcBorders>
                    <w:tl2br w:val="nil"/>
                    <w:tr2bl w:val="nil"/>
                  </w:tcBorders>
                  <w:shd w:val="clear" w:color="auto" w:fill="auto"/>
                  <w:noWrap/>
                  <w:vAlign w:val="center"/>
                </w:tcPr>
                <w:p>
                  <w:pPr>
                    <w:pStyle w:val="34"/>
                    <w:bidi w:val="0"/>
                    <w:rPr>
                      <w:rFonts w:hint="default"/>
                      <w:color w:val="auto"/>
                      <w:highlight w:val="none"/>
                      <w:lang w:val="en-US" w:eastAsia="zh-CN"/>
                    </w:rPr>
                  </w:pPr>
                  <w:r>
                    <w:rPr>
                      <w:color w:val="auto"/>
                      <w:highlight w:val="none"/>
                    </w:rPr>
                    <w:t>40</w:t>
                  </w:r>
                </w:p>
              </w:tc>
              <w:tc>
                <w:tcPr>
                  <w:tcW w:w="1425" w:type="dxa"/>
                  <w:tcBorders>
                    <w:tl2br w:val="nil"/>
                    <w:tr2bl w:val="nil"/>
                  </w:tcBorders>
                  <w:shd w:val="clear" w:color="auto" w:fill="auto"/>
                  <w:noWrap/>
                  <w:vAlign w:val="center"/>
                </w:tcPr>
                <w:p>
                  <w:pPr>
                    <w:pStyle w:val="34"/>
                    <w:bidi w:val="0"/>
                    <w:rPr>
                      <w:rFonts w:hint="default" w:eastAsia="宋体"/>
                      <w:color w:val="auto"/>
                      <w:highlight w:val="none"/>
                      <w:lang w:val="en-US" w:eastAsia="zh-CN"/>
                    </w:rPr>
                  </w:pPr>
                  <w:r>
                    <w:rPr>
                      <w:rFonts w:hint="eastAsia"/>
                      <w:color w:val="auto"/>
                      <w:highlight w:val="none"/>
                      <w:lang w:val="en-US" w:eastAsia="zh-CN"/>
                    </w:rPr>
                    <w:t>30</w:t>
                  </w:r>
                </w:p>
              </w:tc>
              <w:tc>
                <w:tcPr>
                  <w:tcW w:w="1552" w:type="dxa"/>
                  <w:vMerge w:val="continue"/>
                  <w:tcBorders>
                    <w:tl2br w:val="nil"/>
                    <w:tr2bl w:val="nil"/>
                  </w:tcBorders>
                  <w:shd w:val="clear" w:color="auto" w:fill="auto"/>
                  <w:noWrap/>
                  <w:vAlign w:val="center"/>
                </w:tcPr>
                <w:p>
                  <w:pPr>
                    <w:pStyle w:val="34"/>
                    <w:bidi w:val="0"/>
                    <w:rPr>
                      <w:rFonts w:hint="default"/>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72" w:hRule="atLeast"/>
                <w:jc w:val="center"/>
              </w:trPr>
              <w:tc>
                <w:tcPr>
                  <w:tcW w:w="651" w:type="dxa"/>
                  <w:vMerge w:val="continue"/>
                  <w:tcBorders>
                    <w:tl2br w:val="nil"/>
                    <w:tr2bl w:val="nil"/>
                  </w:tcBorders>
                  <w:shd w:val="clear" w:color="auto" w:fill="auto"/>
                  <w:noWrap/>
                  <w:vAlign w:val="center"/>
                </w:tcPr>
                <w:p>
                  <w:pPr>
                    <w:pStyle w:val="34"/>
                    <w:bidi w:val="0"/>
                    <w:rPr>
                      <w:rFonts w:hint="default"/>
                      <w:color w:val="auto"/>
                      <w:highlight w:val="none"/>
                    </w:rPr>
                  </w:pPr>
                </w:p>
              </w:tc>
              <w:tc>
                <w:tcPr>
                  <w:tcW w:w="992" w:type="dxa"/>
                  <w:vMerge w:val="continue"/>
                  <w:tcBorders>
                    <w:tl2br w:val="nil"/>
                    <w:tr2bl w:val="nil"/>
                  </w:tcBorders>
                  <w:shd w:val="clear" w:color="auto" w:fill="auto"/>
                  <w:noWrap/>
                  <w:vAlign w:val="center"/>
                </w:tcPr>
                <w:p>
                  <w:pPr>
                    <w:pStyle w:val="34"/>
                    <w:bidi w:val="0"/>
                    <w:rPr>
                      <w:rFonts w:hint="default"/>
                      <w:color w:val="auto"/>
                      <w:highlight w:val="none"/>
                    </w:rPr>
                  </w:pPr>
                </w:p>
              </w:tc>
              <w:tc>
                <w:tcPr>
                  <w:tcW w:w="1535" w:type="dxa"/>
                  <w:tcBorders>
                    <w:tl2br w:val="nil"/>
                    <w:tr2bl w:val="nil"/>
                  </w:tcBorders>
                  <w:shd w:val="clear" w:color="auto" w:fill="auto"/>
                  <w:noWrap/>
                  <w:vAlign w:val="center"/>
                </w:tcPr>
                <w:p>
                  <w:pPr>
                    <w:pStyle w:val="34"/>
                    <w:bidi w:val="0"/>
                    <w:rPr>
                      <w:rFonts w:hint="default"/>
                      <w:color w:val="auto"/>
                      <w:highlight w:val="none"/>
                      <w:lang w:val="en-US" w:eastAsia="zh-CN"/>
                    </w:rPr>
                  </w:pPr>
                  <w:r>
                    <w:rPr>
                      <w:color w:val="auto"/>
                      <w:highlight w:val="none"/>
                    </w:rPr>
                    <w:t>24小时平均</w:t>
                  </w:r>
                </w:p>
              </w:tc>
              <w:tc>
                <w:tcPr>
                  <w:tcW w:w="1425" w:type="dxa"/>
                  <w:tcBorders>
                    <w:tl2br w:val="nil"/>
                    <w:tr2bl w:val="nil"/>
                  </w:tcBorders>
                  <w:shd w:val="clear" w:color="auto" w:fill="auto"/>
                  <w:noWrap/>
                  <w:vAlign w:val="center"/>
                </w:tcPr>
                <w:p>
                  <w:pPr>
                    <w:pStyle w:val="34"/>
                    <w:bidi w:val="0"/>
                    <w:rPr>
                      <w:rFonts w:hint="default"/>
                      <w:color w:val="auto"/>
                      <w:highlight w:val="none"/>
                      <w:lang w:val="en-US" w:eastAsia="zh-CN"/>
                    </w:rPr>
                  </w:pPr>
                  <w:r>
                    <w:rPr>
                      <w:color w:val="auto"/>
                      <w:highlight w:val="none"/>
                    </w:rPr>
                    <w:t>80</w:t>
                  </w:r>
                </w:p>
              </w:tc>
              <w:tc>
                <w:tcPr>
                  <w:tcW w:w="1425" w:type="dxa"/>
                  <w:tcBorders>
                    <w:tl2br w:val="nil"/>
                    <w:tr2bl w:val="nil"/>
                  </w:tcBorders>
                  <w:shd w:val="clear" w:color="auto" w:fill="auto"/>
                  <w:noWrap/>
                  <w:vAlign w:val="center"/>
                </w:tcPr>
                <w:p>
                  <w:pPr>
                    <w:pStyle w:val="34"/>
                    <w:bidi w:val="0"/>
                    <w:rPr>
                      <w:rFonts w:hint="default" w:eastAsia="宋体"/>
                      <w:color w:val="auto"/>
                      <w:highlight w:val="none"/>
                      <w:lang w:val="en-US" w:eastAsia="zh-CN"/>
                    </w:rPr>
                  </w:pPr>
                  <w:r>
                    <w:rPr>
                      <w:rFonts w:hint="eastAsia"/>
                      <w:color w:val="auto"/>
                      <w:highlight w:val="none"/>
                      <w:lang w:val="en-US" w:eastAsia="zh-CN"/>
                    </w:rPr>
                    <w:t>50</w:t>
                  </w:r>
                </w:p>
              </w:tc>
              <w:tc>
                <w:tcPr>
                  <w:tcW w:w="1552" w:type="dxa"/>
                  <w:vMerge w:val="continue"/>
                  <w:tcBorders>
                    <w:tl2br w:val="nil"/>
                    <w:tr2bl w:val="nil"/>
                  </w:tcBorders>
                  <w:shd w:val="clear" w:color="auto" w:fill="auto"/>
                  <w:noWrap/>
                  <w:vAlign w:val="center"/>
                </w:tcPr>
                <w:p>
                  <w:pPr>
                    <w:pStyle w:val="34"/>
                    <w:bidi w:val="0"/>
                    <w:rPr>
                      <w:rFonts w:hint="default"/>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72" w:hRule="atLeast"/>
                <w:jc w:val="center"/>
              </w:trPr>
              <w:tc>
                <w:tcPr>
                  <w:tcW w:w="651" w:type="dxa"/>
                  <w:vMerge w:val="continue"/>
                  <w:tcBorders>
                    <w:tl2br w:val="nil"/>
                    <w:tr2bl w:val="nil"/>
                  </w:tcBorders>
                  <w:shd w:val="clear" w:color="auto" w:fill="auto"/>
                  <w:noWrap/>
                  <w:vAlign w:val="center"/>
                </w:tcPr>
                <w:p>
                  <w:pPr>
                    <w:pStyle w:val="34"/>
                    <w:bidi w:val="0"/>
                    <w:rPr>
                      <w:rFonts w:hint="default"/>
                      <w:color w:val="auto"/>
                      <w:highlight w:val="none"/>
                    </w:rPr>
                  </w:pPr>
                </w:p>
              </w:tc>
              <w:tc>
                <w:tcPr>
                  <w:tcW w:w="992" w:type="dxa"/>
                  <w:vMerge w:val="continue"/>
                  <w:tcBorders>
                    <w:tl2br w:val="nil"/>
                    <w:tr2bl w:val="nil"/>
                  </w:tcBorders>
                  <w:shd w:val="clear" w:color="auto" w:fill="auto"/>
                  <w:noWrap/>
                  <w:vAlign w:val="center"/>
                </w:tcPr>
                <w:p>
                  <w:pPr>
                    <w:pStyle w:val="34"/>
                    <w:bidi w:val="0"/>
                    <w:rPr>
                      <w:rFonts w:hint="default"/>
                      <w:color w:val="auto"/>
                      <w:highlight w:val="none"/>
                    </w:rPr>
                  </w:pPr>
                </w:p>
              </w:tc>
              <w:tc>
                <w:tcPr>
                  <w:tcW w:w="1535" w:type="dxa"/>
                  <w:tcBorders>
                    <w:tl2br w:val="nil"/>
                    <w:tr2bl w:val="nil"/>
                  </w:tcBorders>
                  <w:shd w:val="clear" w:color="auto" w:fill="auto"/>
                  <w:noWrap/>
                  <w:vAlign w:val="center"/>
                </w:tcPr>
                <w:p>
                  <w:pPr>
                    <w:pStyle w:val="34"/>
                    <w:bidi w:val="0"/>
                    <w:rPr>
                      <w:rFonts w:hint="default"/>
                      <w:color w:val="auto"/>
                      <w:highlight w:val="none"/>
                      <w:lang w:val="en-US" w:eastAsia="zh-CN"/>
                    </w:rPr>
                  </w:pPr>
                  <w:r>
                    <w:rPr>
                      <w:color w:val="auto"/>
                      <w:highlight w:val="none"/>
                    </w:rPr>
                    <w:t>1小时平均</w:t>
                  </w:r>
                </w:p>
              </w:tc>
              <w:tc>
                <w:tcPr>
                  <w:tcW w:w="1425" w:type="dxa"/>
                  <w:tcBorders>
                    <w:tl2br w:val="nil"/>
                    <w:tr2bl w:val="nil"/>
                  </w:tcBorders>
                  <w:shd w:val="clear" w:color="auto" w:fill="auto"/>
                  <w:noWrap/>
                  <w:vAlign w:val="center"/>
                </w:tcPr>
                <w:p>
                  <w:pPr>
                    <w:pStyle w:val="34"/>
                    <w:bidi w:val="0"/>
                    <w:rPr>
                      <w:rFonts w:hint="default"/>
                      <w:color w:val="auto"/>
                      <w:highlight w:val="none"/>
                      <w:lang w:val="en-US" w:eastAsia="zh-CN"/>
                    </w:rPr>
                  </w:pPr>
                  <w:r>
                    <w:rPr>
                      <w:color w:val="auto"/>
                      <w:highlight w:val="none"/>
                    </w:rPr>
                    <w:t>200</w:t>
                  </w:r>
                </w:p>
              </w:tc>
              <w:tc>
                <w:tcPr>
                  <w:tcW w:w="1425" w:type="dxa"/>
                  <w:tcBorders>
                    <w:tl2br w:val="nil"/>
                    <w:tr2bl w:val="nil"/>
                  </w:tcBorders>
                  <w:shd w:val="clear" w:color="auto" w:fill="auto"/>
                  <w:noWrap/>
                  <w:vAlign w:val="center"/>
                </w:tcPr>
                <w:p>
                  <w:pPr>
                    <w:pStyle w:val="34"/>
                    <w:bidi w:val="0"/>
                    <w:rPr>
                      <w:rFonts w:hint="default" w:eastAsia="宋体"/>
                      <w:color w:val="auto"/>
                      <w:highlight w:val="none"/>
                      <w:lang w:val="en-US" w:eastAsia="zh-CN"/>
                    </w:rPr>
                  </w:pPr>
                  <w:r>
                    <w:rPr>
                      <w:rFonts w:hint="eastAsia"/>
                      <w:color w:val="auto"/>
                      <w:highlight w:val="none"/>
                      <w:lang w:val="en-US" w:eastAsia="zh-CN"/>
                    </w:rPr>
                    <w:t>200</w:t>
                  </w:r>
                </w:p>
              </w:tc>
              <w:tc>
                <w:tcPr>
                  <w:tcW w:w="1552" w:type="dxa"/>
                  <w:vMerge w:val="continue"/>
                  <w:tcBorders>
                    <w:tl2br w:val="nil"/>
                    <w:tr2bl w:val="nil"/>
                  </w:tcBorders>
                  <w:shd w:val="clear" w:color="auto" w:fill="auto"/>
                  <w:noWrap/>
                  <w:vAlign w:val="center"/>
                </w:tcPr>
                <w:p>
                  <w:pPr>
                    <w:pStyle w:val="34"/>
                    <w:bidi w:val="0"/>
                    <w:rPr>
                      <w:rFonts w:hint="default"/>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72" w:hRule="atLeast"/>
                <w:jc w:val="center"/>
              </w:trPr>
              <w:tc>
                <w:tcPr>
                  <w:tcW w:w="651" w:type="dxa"/>
                  <w:vMerge w:val="restart"/>
                  <w:tcBorders>
                    <w:tl2br w:val="nil"/>
                    <w:tr2bl w:val="nil"/>
                  </w:tcBorders>
                  <w:shd w:val="clear" w:color="auto" w:fill="auto"/>
                  <w:noWrap/>
                  <w:vAlign w:val="center"/>
                </w:tcPr>
                <w:p>
                  <w:pPr>
                    <w:pStyle w:val="34"/>
                    <w:bidi w:val="0"/>
                    <w:rPr>
                      <w:rFonts w:hint="default"/>
                      <w:color w:val="auto"/>
                      <w:highlight w:val="none"/>
                    </w:rPr>
                  </w:pPr>
                  <w:r>
                    <w:rPr>
                      <w:rFonts w:hint="default"/>
                      <w:color w:val="auto"/>
                      <w:highlight w:val="none"/>
                      <w:lang w:val="en-US" w:eastAsia="zh-CN"/>
                    </w:rPr>
                    <w:t>3</w:t>
                  </w:r>
                </w:p>
              </w:tc>
              <w:tc>
                <w:tcPr>
                  <w:tcW w:w="992" w:type="dxa"/>
                  <w:vMerge w:val="restart"/>
                  <w:tcBorders>
                    <w:tl2br w:val="nil"/>
                    <w:tr2bl w:val="nil"/>
                  </w:tcBorders>
                  <w:shd w:val="clear" w:color="auto" w:fill="auto"/>
                  <w:noWrap/>
                  <w:vAlign w:val="center"/>
                </w:tcPr>
                <w:p>
                  <w:pPr>
                    <w:pStyle w:val="34"/>
                    <w:bidi w:val="0"/>
                    <w:rPr>
                      <w:rFonts w:hint="default"/>
                      <w:color w:val="auto"/>
                      <w:highlight w:val="none"/>
                    </w:rPr>
                  </w:pPr>
                  <w:r>
                    <w:rPr>
                      <w:color w:val="auto"/>
                      <w:highlight w:val="none"/>
                    </w:rPr>
                    <w:t>PM</w:t>
                  </w:r>
                  <w:r>
                    <w:rPr>
                      <w:color w:val="auto"/>
                      <w:highlight w:val="none"/>
                      <w:vertAlign w:val="subscript"/>
                    </w:rPr>
                    <w:t>10</w:t>
                  </w:r>
                </w:p>
              </w:tc>
              <w:tc>
                <w:tcPr>
                  <w:tcW w:w="1535" w:type="dxa"/>
                  <w:tcBorders>
                    <w:tl2br w:val="nil"/>
                    <w:tr2bl w:val="nil"/>
                  </w:tcBorders>
                  <w:shd w:val="clear" w:color="auto" w:fill="auto"/>
                  <w:noWrap/>
                  <w:vAlign w:val="center"/>
                </w:tcPr>
                <w:p>
                  <w:pPr>
                    <w:pStyle w:val="34"/>
                    <w:bidi w:val="0"/>
                    <w:rPr>
                      <w:rFonts w:hint="default"/>
                      <w:color w:val="auto"/>
                      <w:highlight w:val="none"/>
                      <w:lang w:val="en-US" w:eastAsia="zh-CN"/>
                    </w:rPr>
                  </w:pPr>
                  <w:r>
                    <w:rPr>
                      <w:color w:val="auto"/>
                      <w:highlight w:val="none"/>
                    </w:rPr>
                    <w:t>年平均</w:t>
                  </w:r>
                </w:p>
              </w:tc>
              <w:tc>
                <w:tcPr>
                  <w:tcW w:w="1425" w:type="dxa"/>
                  <w:tcBorders>
                    <w:tl2br w:val="nil"/>
                    <w:tr2bl w:val="nil"/>
                  </w:tcBorders>
                  <w:shd w:val="clear" w:color="auto" w:fill="auto"/>
                  <w:noWrap/>
                  <w:vAlign w:val="center"/>
                </w:tcPr>
                <w:p>
                  <w:pPr>
                    <w:pStyle w:val="34"/>
                    <w:bidi w:val="0"/>
                    <w:rPr>
                      <w:rFonts w:hint="default" w:eastAsia="宋体"/>
                      <w:color w:val="auto"/>
                      <w:highlight w:val="none"/>
                      <w:lang w:val="en-US" w:eastAsia="zh-CN"/>
                    </w:rPr>
                  </w:pPr>
                  <w:r>
                    <w:rPr>
                      <w:rFonts w:hint="eastAsia"/>
                      <w:color w:val="auto"/>
                      <w:highlight w:val="none"/>
                      <w:lang w:val="en-US" w:eastAsia="zh-CN"/>
                    </w:rPr>
                    <w:t>60</w:t>
                  </w:r>
                </w:p>
              </w:tc>
              <w:tc>
                <w:tcPr>
                  <w:tcW w:w="1425" w:type="dxa"/>
                  <w:tcBorders>
                    <w:tl2br w:val="nil"/>
                    <w:tr2bl w:val="nil"/>
                  </w:tcBorders>
                  <w:shd w:val="clear" w:color="auto" w:fill="auto"/>
                  <w:noWrap/>
                  <w:vAlign w:val="center"/>
                </w:tcPr>
                <w:p>
                  <w:pPr>
                    <w:pStyle w:val="34"/>
                    <w:bidi w:val="0"/>
                    <w:rPr>
                      <w:rFonts w:hint="default"/>
                      <w:color w:val="auto"/>
                      <w:highlight w:val="none"/>
                      <w:lang w:val="en-US" w:eastAsia="zh-CN"/>
                    </w:rPr>
                  </w:pPr>
                  <w:r>
                    <w:rPr>
                      <w:rFonts w:hint="eastAsia"/>
                      <w:color w:val="auto"/>
                      <w:highlight w:val="none"/>
                      <w:lang w:val="en-US" w:eastAsia="zh-CN"/>
                    </w:rPr>
                    <w:t>50</w:t>
                  </w:r>
                </w:p>
              </w:tc>
              <w:tc>
                <w:tcPr>
                  <w:tcW w:w="1552" w:type="dxa"/>
                  <w:vMerge w:val="continue"/>
                  <w:tcBorders>
                    <w:tl2br w:val="nil"/>
                    <w:tr2bl w:val="nil"/>
                  </w:tcBorders>
                  <w:shd w:val="clear" w:color="auto" w:fill="auto"/>
                  <w:noWrap/>
                  <w:vAlign w:val="center"/>
                </w:tcPr>
                <w:p>
                  <w:pPr>
                    <w:pStyle w:val="34"/>
                    <w:bidi w:val="0"/>
                    <w:rPr>
                      <w:rFonts w:hint="default"/>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72" w:hRule="atLeast"/>
                <w:jc w:val="center"/>
              </w:trPr>
              <w:tc>
                <w:tcPr>
                  <w:tcW w:w="651" w:type="dxa"/>
                  <w:vMerge w:val="continue"/>
                  <w:tcBorders>
                    <w:tl2br w:val="nil"/>
                    <w:tr2bl w:val="nil"/>
                  </w:tcBorders>
                  <w:shd w:val="clear" w:color="auto" w:fill="auto"/>
                  <w:noWrap/>
                  <w:vAlign w:val="center"/>
                </w:tcPr>
                <w:p>
                  <w:pPr>
                    <w:pStyle w:val="34"/>
                    <w:bidi w:val="0"/>
                    <w:rPr>
                      <w:rFonts w:hint="default"/>
                      <w:color w:val="auto"/>
                      <w:highlight w:val="none"/>
                    </w:rPr>
                  </w:pPr>
                </w:p>
              </w:tc>
              <w:tc>
                <w:tcPr>
                  <w:tcW w:w="992" w:type="dxa"/>
                  <w:vMerge w:val="continue"/>
                  <w:tcBorders>
                    <w:tl2br w:val="nil"/>
                    <w:tr2bl w:val="nil"/>
                  </w:tcBorders>
                  <w:shd w:val="clear" w:color="auto" w:fill="auto"/>
                  <w:noWrap/>
                  <w:vAlign w:val="center"/>
                </w:tcPr>
                <w:p>
                  <w:pPr>
                    <w:pStyle w:val="34"/>
                    <w:bidi w:val="0"/>
                    <w:rPr>
                      <w:rFonts w:hint="default"/>
                      <w:color w:val="auto"/>
                      <w:highlight w:val="none"/>
                    </w:rPr>
                  </w:pPr>
                </w:p>
              </w:tc>
              <w:tc>
                <w:tcPr>
                  <w:tcW w:w="1535" w:type="dxa"/>
                  <w:tcBorders>
                    <w:tl2br w:val="nil"/>
                    <w:tr2bl w:val="nil"/>
                  </w:tcBorders>
                  <w:shd w:val="clear" w:color="auto" w:fill="auto"/>
                  <w:noWrap/>
                  <w:vAlign w:val="center"/>
                </w:tcPr>
                <w:p>
                  <w:pPr>
                    <w:pStyle w:val="34"/>
                    <w:bidi w:val="0"/>
                    <w:rPr>
                      <w:rFonts w:hint="default"/>
                      <w:color w:val="auto"/>
                      <w:highlight w:val="none"/>
                      <w:lang w:val="en-US" w:eastAsia="zh-CN"/>
                    </w:rPr>
                  </w:pPr>
                  <w:r>
                    <w:rPr>
                      <w:color w:val="auto"/>
                      <w:highlight w:val="none"/>
                    </w:rPr>
                    <w:t>24小时平均</w:t>
                  </w:r>
                </w:p>
              </w:tc>
              <w:tc>
                <w:tcPr>
                  <w:tcW w:w="1425" w:type="dxa"/>
                  <w:tcBorders>
                    <w:tl2br w:val="nil"/>
                    <w:tr2bl w:val="nil"/>
                  </w:tcBorders>
                  <w:shd w:val="clear" w:color="auto" w:fill="auto"/>
                  <w:noWrap/>
                  <w:vAlign w:val="center"/>
                </w:tcPr>
                <w:p>
                  <w:pPr>
                    <w:pStyle w:val="34"/>
                    <w:bidi w:val="0"/>
                    <w:rPr>
                      <w:rFonts w:hint="default" w:eastAsia="宋体"/>
                      <w:color w:val="auto"/>
                      <w:highlight w:val="none"/>
                      <w:lang w:val="en-US" w:eastAsia="zh-CN"/>
                    </w:rPr>
                  </w:pPr>
                  <w:r>
                    <w:rPr>
                      <w:rFonts w:hint="eastAsia"/>
                      <w:color w:val="auto"/>
                      <w:highlight w:val="none"/>
                      <w:lang w:val="en-US" w:eastAsia="zh-CN"/>
                    </w:rPr>
                    <w:t>120</w:t>
                  </w:r>
                </w:p>
              </w:tc>
              <w:tc>
                <w:tcPr>
                  <w:tcW w:w="1425" w:type="dxa"/>
                  <w:tcBorders>
                    <w:tl2br w:val="nil"/>
                    <w:tr2bl w:val="nil"/>
                  </w:tcBorders>
                  <w:shd w:val="clear" w:color="auto" w:fill="auto"/>
                  <w:noWrap/>
                  <w:vAlign w:val="center"/>
                </w:tcPr>
                <w:p>
                  <w:pPr>
                    <w:pStyle w:val="34"/>
                    <w:bidi w:val="0"/>
                    <w:rPr>
                      <w:rFonts w:hint="default"/>
                      <w:color w:val="auto"/>
                      <w:highlight w:val="none"/>
                      <w:lang w:val="en-US" w:eastAsia="zh-CN"/>
                    </w:rPr>
                  </w:pPr>
                  <w:r>
                    <w:rPr>
                      <w:rFonts w:hint="eastAsia"/>
                      <w:color w:val="auto"/>
                      <w:highlight w:val="none"/>
                      <w:lang w:val="en-US" w:eastAsia="zh-CN"/>
                    </w:rPr>
                    <w:t>100</w:t>
                  </w:r>
                </w:p>
              </w:tc>
              <w:tc>
                <w:tcPr>
                  <w:tcW w:w="1552" w:type="dxa"/>
                  <w:vMerge w:val="continue"/>
                  <w:tcBorders>
                    <w:tl2br w:val="nil"/>
                    <w:tr2bl w:val="nil"/>
                  </w:tcBorders>
                  <w:shd w:val="clear" w:color="auto" w:fill="auto"/>
                  <w:noWrap/>
                  <w:vAlign w:val="center"/>
                </w:tcPr>
                <w:p>
                  <w:pPr>
                    <w:pStyle w:val="34"/>
                    <w:bidi w:val="0"/>
                    <w:rPr>
                      <w:rFonts w:hint="default"/>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72" w:hRule="atLeast"/>
                <w:jc w:val="center"/>
              </w:trPr>
              <w:tc>
                <w:tcPr>
                  <w:tcW w:w="651" w:type="dxa"/>
                  <w:vMerge w:val="restart"/>
                  <w:tcBorders>
                    <w:tl2br w:val="nil"/>
                    <w:tr2bl w:val="nil"/>
                  </w:tcBorders>
                  <w:shd w:val="clear" w:color="auto" w:fill="auto"/>
                  <w:noWrap/>
                  <w:vAlign w:val="center"/>
                </w:tcPr>
                <w:p>
                  <w:pPr>
                    <w:pStyle w:val="34"/>
                    <w:bidi w:val="0"/>
                    <w:rPr>
                      <w:rFonts w:hint="default"/>
                      <w:color w:val="auto"/>
                      <w:highlight w:val="none"/>
                    </w:rPr>
                  </w:pPr>
                  <w:r>
                    <w:rPr>
                      <w:rFonts w:hint="default"/>
                      <w:color w:val="auto"/>
                      <w:highlight w:val="none"/>
                      <w:lang w:val="en-US" w:eastAsia="zh-CN"/>
                    </w:rPr>
                    <w:t>4</w:t>
                  </w:r>
                </w:p>
              </w:tc>
              <w:tc>
                <w:tcPr>
                  <w:tcW w:w="992" w:type="dxa"/>
                  <w:vMerge w:val="restart"/>
                  <w:tcBorders>
                    <w:tl2br w:val="nil"/>
                    <w:tr2bl w:val="nil"/>
                  </w:tcBorders>
                  <w:shd w:val="clear" w:color="auto" w:fill="auto"/>
                  <w:noWrap/>
                  <w:vAlign w:val="center"/>
                </w:tcPr>
                <w:p>
                  <w:pPr>
                    <w:pStyle w:val="34"/>
                    <w:bidi w:val="0"/>
                    <w:rPr>
                      <w:rFonts w:hint="default"/>
                      <w:color w:val="auto"/>
                      <w:highlight w:val="none"/>
                    </w:rPr>
                  </w:pPr>
                  <w:r>
                    <w:rPr>
                      <w:color w:val="auto"/>
                      <w:highlight w:val="none"/>
                    </w:rPr>
                    <w:t>PM</w:t>
                  </w:r>
                  <w:r>
                    <w:rPr>
                      <w:color w:val="auto"/>
                      <w:highlight w:val="none"/>
                      <w:vertAlign w:val="subscript"/>
                    </w:rPr>
                    <w:t>2.5</w:t>
                  </w:r>
                </w:p>
              </w:tc>
              <w:tc>
                <w:tcPr>
                  <w:tcW w:w="1535" w:type="dxa"/>
                  <w:tcBorders>
                    <w:tl2br w:val="nil"/>
                    <w:tr2bl w:val="nil"/>
                  </w:tcBorders>
                  <w:shd w:val="clear" w:color="auto" w:fill="auto"/>
                  <w:noWrap/>
                  <w:vAlign w:val="center"/>
                </w:tcPr>
                <w:p>
                  <w:pPr>
                    <w:pStyle w:val="34"/>
                    <w:bidi w:val="0"/>
                    <w:rPr>
                      <w:rFonts w:hint="default"/>
                      <w:color w:val="auto"/>
                      <w:highlight w:val="none"/>
                      <w:lang w:val="en-US" w:eastAsia="zh-CN"/>
                    </w:rPr>
                  </w:pPr>
                  <w:r>
                    <w:rPr>
                      <w:color w:val="auto"/>
                      <w:highlight w:val="none"/>
                    </w:rPr>
                    <w:t>年平均</w:t>
                  </w:r>
                </w:p>
              </w:tc>
              <w:tc>
                <w:tcPr>
                  <w:tcW w:w="1425" w:type="dxa"/>
                  <w:tcBorders>
                    <w:tl2br w:val="nil"/>
                    <w:tr2bl w:val="nil"/>
                  </w:tcBorders>
                  <w:shd w:val="clear" w:color="auto" w:fill="auto"/>
                  <w:noWrap/>
                  <w:vAlign w:val="center"/>
                </w:tcPr>
                <w:p>
                  <w:pPr>
                    <w:pStyle w:val="34"/>
                    <w:bidi w:val="0"/>
                    <w:rPr>
                      <w:rFonts w:hint="default" w:eastAsia="宋体"/>
                      <w:color w:val="auto"/>
                      <w:highlight w:val="none"/>
                      <w:lang w:val="en-US" w:eastAsia="zh-CN"/>
                    </w:rPr>
                  </w:pPr>
                  <w:r>
                    <w:rPr>
                      <w:rFonts w:hint="eastAsia"/>
                      <w:color w:val="auto"/>
                      <w:highlight w:val="none"/>
                      <w:lang w:val="en-US" w:eastAsia="zh-CN"/>
                    </w:rPr>
                    <w:t>30</w:t>
                  </w:r>
                </w:p>
              </w:tc>
              <w:tc>
                <w:tcPr>
                  <w:tcW w:w="1425" w:type="dxa"/>
                  <w:tcBorders>
                    <w:tl2br w:val="nil"/>
                    <w:tr2bl w:val="nil"/>
                  </w:tcBorders>
                  <w:shd w:val="clear" w:color="auto" w:fill="auto"/>
                  <w:noWrap/>
                  <w:vAlign w:val="center"/>
                </w:tcPr>
                <w:p>
                  <w:pPr>
                    <w:pStyle w:val="34"/>
                    <w:bidi w:val="0"/>
                    <w:rPr>
                      <w:rFonts w:hint="default"/>
                      <w:color w:val="auto"/>
                      <w:highlight w:val="none"/>
                      <w:lang w:val="en-US" w:eastAsia="zh-CN"/>
                    </w:rPr>
                  </w:pPr>
                  <w:r>
                    <w:rPr>
                      <w:rFonts w:hint="eastAsia"/>
                      <w:color w:val="auto"/>
                      <w:highlight w:val="none"/>
                      <w:lang w:val="en-US" w:eastAsia="zh-CN"/>
                    </w:rPr>
                    <w:t>25</w:t>
                  </w:r>
                </w:p>
              </w:tc>
              <w:tc>
                <w:tcPr>
                  <w:tcW w:w="1552" w:type="dxa"/>
                  <w:vMerge w:val="continue"/>
                  <w:tcBorders>
                    <w:tl2br w:val="nil"/>
                    <w:tr2bl w:val="nil"/>
                  </w:tcBorders>
                  <w:shd w:val="clear" w:color="auto" w:fill="auto"/>
                  <w:noWrap/>
                  <w:vAlign w:val="center"/>
                </w:tcPr>
                <w:p>
                  <w:pPr>
                    <w:pStyle w:val="34"/>
                    <w:bidi w:val="0"/>
                    <w:rPr>
                      <w:rFonts w:hint="default"/>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72" w:hRule="atLeast"/>
                <w:jc w:val="center"/>
              </w:trPr>
              <w:tc>
                <w:tcPr>
                  <w:tcW w:w="651" w:type="dxa"/>
                  <w:vMerge w:val="continue"/>
                  <w:tcBorders>
                    <w:tl2br w:val="nil"/>
                    <w:tr2bl w:val="nil"/>
                  </w:tcBorders>
                  <w:shd w:val="clear" w:color="auto" w:fill="auto"/>
                  <w:noWrap/>
                  <w:vAlign w:val="center"/>
                </w:tcPr>
                <w:p>
                  <w:pPr>
                    <w:pStyle w:val="34"/>
                    <w:bidi w:val="0"/>
                    <w:rPr>
                      <w:rFonts w:hint="default"/>
                      <w:color w:val="auto"/>
                      <w:highlight w:val="none"/>
                    </w:rPr>
                  </w:pPr>
                </w:p>
              </w:tc>
              <w:tc>
                <w:tcPr>
                  <w:tcW w:w="992" w:type="dxa"/>
                  <w:vMerge w:val="continue"/>
                  <w:tcBorders>
                    <w:tl2br w:val="nil"/>
                    <w:tr2bl w:val="nil"/>
                  </w:tcBorders>
                  <w:shd w:val="clear" w:color="auto" w:fill="auto"/>
                  <w:noWrap/>
                  <w:vAlign w:val="center"/>
                </w:tcPr>
                <w:p>
                  <w:pPr>
                    <w:pStyle w:val="34"/>
                    <w:bidi w:val="0"/>
                    <w:rPr>
                      <w:rFonts w:hint="default"/>
                      <w:color w:val="auto"/>
                      <w:highlight w:val="none"/>
                    </w:rPr>
                  </w:pPr>
                </w:p>
              </w:tc>
              <w:tc>
                <w:tcPr>
                  <w:tcW w:w="1535" w:type="dxa"/>
                  <w:tcBorders>
                    <w:tl2br w:val="nil"/>
                    <w:tr2bl w:val="nil"/>
                  </w:tcBorders>
                  <w:shd w:val="clear" w:color="auto" w:fill="auto"/>
                  <w:noWrap/>
                  <w:vAlign w:val="center"/>
                </w:tcPr>
                <w:p>
                  <w:pPr>
                    <w:pStyle w:val="34"/>
                    <w:bidi w:val="0"/>
                    <w:rPr>
                      <w:rFonts w:hint="default"/>
                      <w:color w:val="auto"/>
                      <w:highlight w:val="none"/>
                      <w:lang w:val="en-US" w:eastAsia="zh-CN"/>
                    </w:rPr>
                  </w:pPr>
                  <w:r>
                    <w:rPr>
                      <w:color w:val="auto"/>
                      <w:highlight w:val="none"/>
                    </w:rPr>
                    <w:t>24小时平均</w:t>
                  </w:r>
                </w:p>
              </w:tc>
              <w:tc>
                <w:tcPr>
                  <w:tcW w:w="1425" w:type="dxa"/>
                  <w:tcBorders>
                    <w:tl2br w:val="nil"/>
                    <w:tr2bl w:val="nil"/>
                  </w:tcBorders>
                  <w:shd w:val="clear" w:color="auto" w:fill="auto"/>
                  <w:noWrap/>
                  <w:vAlign w:val="center"/>
                </w:tcPr>
                <w:p>
                  <w:pPr>
                    <w:pStyle w:val="34"/>
                    <w:bidi w:val="0"/>
                    <w:rPr>
                      <w:rFonts w:hint="default" w:eastAsia="宋体"/>
                      <w:color w:val="auto"/>
                      <w:highlight w:val="none"/>
                      <w:lang w:val="en-US" w:eastAsia="zh-CN"/>
                    </w:rPr>
                  </w:pPr>
                  <w:r>
                    <w:rPr>
                      <w:rFonts w:hint="eastAsia"/>
                      <w:color w:val="auto"/>
                      <w:highlight w:val="none"/>
                      <w:lang w:val="en-US" w:eastAsia="zh-CN"/>
                    </w:rPr>
                    <w:t>60</w:t>
                  </w:r>
                </w:p>
              </w:tc>
              <w:tc>
                <w:tcPr>
                  <w:tcW w:w="1425" w:type="dxa"/>
                  <w:tcBorders>
                    <w:tl2br w:val="nil"/>
                    <w:tr2bl w:val="nil"/>
                  </w:tcBorders>
                  <w:shd w:val="clear" w:color="auto" w:fill="auto"/>
                  <w:noWrap/>
                  <w:vAlign w:val="center"/>
                </w:tcPr>
                <w:p>
                  <w:pPr>
                    <w:pStyle w:val="34"/>
                    <w:bidi w:val="0"/>
                    <w:rPr>
                      <w:rFonts w:hint="default"/>
                      <w:color w:val="auto"/>
                      <w:highlight w:val="none"/>
                      <w:lang w:val="en-US" w:eastAsia="zh-CN"/>
                    </w:rPr>
                  </w:pPr>
                  <w:r>
                    <w:rPr>
                      <w:rFonts w:hint="eastAsia"/>
                      <w:color w:val="auto"/>
                      <w:highlight w:val="none"/>
                      <w:lang w:val="en-US" w:eastAsia="zh-CN"/>
                    </w:rPr>
                    <w:t>50</w:t>
                  </w:r>
                </w:p>
              </w:tc>
              <w:tc>
                <w:tcPr>
                  <w:tcW w:w="1552" w:type="dxa"/>
                  <w:vMerge w:val="continue"/>
                  <w:tcBorders>
                    <w:tl2br w:val="nil"/>
                    <w:tr2bl w:val="nil"/>
                  </w:tcBorders>
                  <w:shd w:val="clear" w:color="auto" w:fill="auto"/>
                  <w:noWrap/>
                  <w:vAlign w:val="center"/>
                </w:tcPr>
                <w:p>
                  <w:pPr>
                    <w:pStyle w:val="34"/>
                    <w:bidi w:val="0"/>
                    <w:rPr>
                      <w:rFonts w:hint="default"/>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72" w:hRule="atLeast"/>
                <w:jc w:val="center"/>
              </w:trPr>
              <w:tc>
                <w:tcPr>
                  <w:tcW w:w="651" w:type="dxa"/>
                  <w:vMerge w:val="restart"/>
                  <w:tcBorders>
                    <w:tl2br w:val="nil"/>
                    <w:tr2bl w:val="nil"/>
                  </w:tcBorders>
                  <w:shd w:val="clear" w:color="auto" w:fill="auto"/>
                  <w:noWrap/>
                  <w:vAlign w:val="center"/>
                </w:tcPr>
                <w:p>
                  <w:pPr>
                    <w:pStyle w:val="34"/>
                    <w:bidi w:val="0"/>
                    <w:rPr>
                      <w:rFonts w:hint="default"/>
                      <w:color w:val="auto"/>
                      <w:highlight w:val="none"/>
                    </w:rPr>
                  </w:pPr>
                  <w:r>
                    <w:rPr>
                      <w:rFonts w:hint="default"/>
                      <w:color w:val="auto"/>
                      <w:highlight w:val="none"/>
                      <w:lang w:val="en-US" w:eastAsia="zh-CN"/>
                    </w:rPr>
                    <w:t>5</w:t>
                  </w:r>
                </w:p>
              </w:tc>
              <w:tc>
                <w:tcPr>
                  <w:tcW w:w="992" w:type="dxa"/>
                  <w:vMerge w:val="restart"/>
                  <w:tcBorders>
                    <w:tl2br w:val="nil"/>
                    <w:tr2bl w:val="nil"/>
                  </w:tcBorders>
                  <w:shd w:val="clear" w:color="auto" w:fill="auto"/>
                  <w:noWrap/>
                  <w:vAlign w:val="center"/>
                </w:tcPr>
                <w:p>
                  <w:pPr>
                    <w:pStyle w:val="34"/>
                    <w:bidi w:val="0"/>
                    <w:rPr>
                      <w:rFonts w:hint="default"/>
                      <w:color w:val="auto"/>
                      <w:highlight w:val="none"/>
                    </w:rPr>
                  </w:pPr>
                  <w:r>
                    <w:rPr>
                      <w:color w:val="auto"/>
                      <w:highlight w:val="none"/>
                    </w:rPr>
                    <w:t>CO</w:t>
                  </w:r>
                </w:p>
              </w:tc>
              <w:tc>
                <w:tcPr>
                  <w:tcW w:w="1535" w:type="dxa"/>
                  <w:tcBorders>
                    <w:tl2br w:val="nil"/>
                    <w:tr2bl w:val="nil"/>
                  </w:tcBorders>
                  <w:shd w:val="clear" w:color="auto" w:fill="auto"/>
                  <w:noWrap/>
                  <w:vAlign w:val="center"/>
                </w:tcPr>
                <w:p>
                  <w:pPr>
                    <w:pStyle w:val="34"/>
                    <w:bidi w:val="0"/>
                    <w:rPr>
                      <w:rFonts w:hint="default"/>
                      <w:color w:val="auto"/>
                      <w:highlight w:val="none"/>
                      <w:lang w:val="en-US" w:eastAsia="zh-CN"/>
                    </w:rPr>
                  </w:pPr>
                  <w:r>
                    <w:rPr>
                      <w:color w:val="auto"/>
                      <w:highlight w:val="none"/>
                    </w:rPr>
                    <w:t>24小时平均</w:t>
                  </w:r>
                </w:p>
              </w:tc>
              <w:tc>
                <w:tcPr>
                  <w:tcW w:w="1425" w:type="dxa"/>
                  <w:tcBorders>
                    <w:tl2br w:val="nil"/>
                    <w:tr2bl w:val="nil"/>
                  </w:tcBorders>
                  <w:shd w:val="clear" w:color="auto" w:fill="auto"/>
                  <w:noWrap/>
                  <w:vAlign w:val="center"/>
                </w:tcPr>
                <w:p>
                  <w:pPr>
                    <w:pStyle w:val="34"/>
                    <w:bidi w:val="0"/>
                    <w:rPr>
                      <w:rFonts w:hint="default"/>
                      <w:color w:val="auto"/>
                      <w:highlight w:val="none"/>
                      <w:lang w:val="en-US" w:eastAsia="zh-CN"/>
                    </w:rPr>
                  </w:pPr>
                  <w:r>
                    <w:rPr>
                      <w:color w:val="auto"/>
                      <w:highlight w:val="none"/>
                    </w:rPr>
                    <w:t>4000</w:t>
                  </w:r>
                </w:p>
              </w:tc>
              <w:tc>
                <w:tcPr>
                  <w:tcW w:w="1425" w:type="dxa"/>
                  <w:tcBorders>
                    <w:tl2br w:val="nil"/>
                    <w:tr2bl w:val="nil"/>
                  </w:tcBorders>
                  <w:shd w:val="clear" w:color="auto" w:fill="auto"/>
                  <w:noWrap/>
                  <w:vAlign w:val="center"/>
                </w:tcPr>
                <w:p>
                  <w:pPr>
                    <w:pStyle w:val="34"/>
                    <w:bidi w:val="0"/>
                    <w:rPr>
                      <w:rFonts w:hint="default" w:eastAsia="宋体"/>
                      <w:color w:val="auto"/>
                      <w:highlight w:val="none"/>
                      <w:lang w:val="en-US" w:eastAsia="zh-CN"/>
                    </w:rPr>
                  </w:pPr>
                  <w:r>
                    <w:rPr>
                      <w:rFonts w:hint="eastAsia"/>
                      <w:color w:val="auto"/>
                      <w:highlight w:val="none"/>
                      <w:lang w:val="en-US" w:eastAsia="zh-CN"/>
                    </w:rPr>
                    <w:t>4000</w:t>
                  </w:r>
                </w:p>
              </w:tc>
              <w:tc>
                <w:tcPr>
                  <w:tcW w:w="1552" w:type="dxa"/>
                  <w:vMerge w:val="continue"/>
                  <w:tcBorders>
                    <w:tl2br w:val="nil"/>
                    <w:tr2bl w:val="nil"/>
                  </w:tcBorders>
                  <w:shd w:val="clear" w:color="auto" w:fill="auto"/>
                  <w:noWrap/>
                  <w:vAlign w:val="center"/>
                </w:tcPr>
                <w:p>
                  <w:pPr>
                    <w:pStyle w:val="34"/>
                    <w:bidi w:val="0"/>
                    <w:rPr>
                      <w:rFonts w:hint="default"/>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72" w:hRule="atLeast"/>
                <w:jc w:val="center"/>
              </w:trPr>
              <w:tc>
                <w:tcPr>
                  <w:tcW w:w="651" w:type="dxa"/>
                  <w:vMerge w:val="continue"/>
                  <w:tcBorders>
                    <w:tl2br w:val="nil"/>
                    <w:tr2bl w:val="nil"/>
                  </w:tcBorders>
                  <w:shd w:val="clear" w:color="auto" w:fill="auto"/>
                  <w:noWrap/>
                  <w:vAlign w:val="center"/>
                </w:tcPr>
                <w:p>
                  <w:pPr>
                    <w:pStyle w:val="34"/>
                    <w:bidi w:val="0"/>
                    <w:rPr>
                      <w:rFonts w:hint="default"/>
                      <w:color w:val="auto"/>
                      <w:highlight w:val="none"/>
                    </w:rPr>
                  </w:pPr>
                </w:p>
              </w:tc>
              <w:tc>
                <w:tcPr>
                  <w:tcW w:w="992" w:type="dxa"/>
                  <w:vMerge w:val="continue"/>
                  <w:tcBorders>
                    <w:tl2br w:val="nil"/>
                    <w:tr2bl w:val="nil"/>
                  </w:tcBorders>
                  <w:shd w:val="clear" w:color="auto" w:fill="auto"/>
                  <w:noWrap/>
                  <w:vAlign w:val="center"/>
                </w:tcPr>
                <w:p>
                  <w:pPr>
                    <w:pStyle w:val="34"/>
                    <w:bidi w:val="0"/>
                    <w:rPr>
                      <w:rFonts w:hint="default"/>
                      <w:color w:val="auto"/>
                      <w:highlight w:val="none"/>
                    </w:rPr>
                  </w:pPr>
                </w:p>
              </w:tc>
              <w:tc>
                <w:tcPr>
                  <w:tcW w:w="1535" w:type="dxa"/>
                  <w:tcBorders>
                    <w:tl2br w:val="nil"/>
                    <w:tr2bl w:val="nil"/>
                  </w:tcBorders>
                  <w:shd w:val="clear" w:color="auto" w:fill="auto"/>
                  <w:noWrap/>
                  <w:vAlign w:val="center"/>
                </w:tcPr>
                <w:p>
                  <w:pPr>
                    <w:pStyle w:val="34"/>
                    <w:bidi w:val="0"/>
                    <w:rPr>
                      <w:rFonts w:hint="default"/>
                      <w:color w:val="auto"/>
                      <w:highlight w:val="none"/>
                      <w:lang w:val="en-US" w:eastAsia="zh-CN"/>
                    </w:rPr>
                  </w:pPr>
                  <w:r>
                    <w:rPr>
                      <w:color w:val="auto"/>
                      <w:highlight w:val="none"/>
                    </w:rPr>
                    <w:t>1小时平均</w:t>
                  </w:r>
                </w:p>
              </w:tc>
              <w:tc>
                <w:tcPr>
                  <w:tcW w:w="1425" w:type="dxa"/>
                  <w:tcBorders>
                    <w:tl2br w:val="nil"/>
                    <w:tr2bl w:val="nil"/>
                  </w:tcBorders>
                  <w:shd w:val="clear" w:color="auto" w:fill="auto"/>
                  <w:noWrap/>
                  <w:vAlign w:val="center"/>
                </w:tcPr>
                <w:p>
                  <w:pPr>
                    <w:pStyle w:val="34"/>
                    <w:bidi w:val="0"/>
                    <w:rPr>
                      <w:rFonts w:hint="default"/>
                      <w:color w:val="auto"/>
                      <w:highlight w:val="none"/>
                      <w:lang w:val="en-US" w:eastAsia="zh-CN"/>
                    </w:rPr>
                  </w:pPr>
                  <w:r>
                    <w:rPr>
                      <w:color w:val="auto"/>
                      <w:highlight w:val="none"/>
                    </w:rPr>
                    <w:t>10000</w:t>
                  </w:r>
                </w:p>
              </w:tc>
              <w:tc>
                <w:tcPr>
                  <w:tcW w:w="1425" w:type="dxa"/>
                  <w:tcBorders>
                    <w:tl2br w:val="nil"/>
                    <w:tr2bl w:val="nil"/>
                  </w:tcBorders>
                  <w:shd w:val="clear" w:color="auto" w:fill="auto"/>
                  <w:noWrap/>
                  <w:vAlign w:val="center"/>
                </w:tcPr>
                <w:p>
                  <w:pPr>
                    <w:pStyle w:val="34"/>
                    <w:bidi w:val="0"/>
                    <w:rPr>
                      <w:rFonts w:hint="default" w:eastAsia="宋体"/>
                      <w:color w:val="auto"/>
                      <w:highlight w:val="none"/>
                      <w:lang w:val="en-US" w:eastAsia="zh-CN"/>
                    </w:rPr>
                  </w:pPr>
                  <w:r>
                    <w:rPr>
                      <w:rFonts w:hint="eastAsia"/>
                      <w:color w:val="auto"/>
                      <w:highlight w:val="none"/>
                      <w:lang w:val="en-US" w:eastAsia="zh-CN"/>
                    </w:rPr>
                    <w:t>10000</w:t>
                  </w:r>
                </w:p>
              </w:tc>
              <w:tc>
                <w:tcPr>
                  <w:tcW w:w="1552" w:type="dxa"/>
                  <w:vMerge w:val="continue"/>
                  <w:tcBorders>
                    <w:tl2br w:val="nil"/>
                    <w:tr2bl w:val="nil"/>
                  </w:tcBorders>
                  <w:shd w:val="clear" w:color="auto" w:fill="auto"/>
                  <w:noWrap/>
                  <w:vAlign w:val="center"/>
                </w:tcPr>
                <w:p>
                  <w:pPr>
                    <w:pStyle w:val="34"/>
                    <w:bidi w:val="0"/>
                    <w:rPr>
                      <w:rFonts w:hint="default"/>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72" w:hRule="atLeast"/>
                <w:jc w:val="center"/>
              </w:trPr>
              <w:tc>
                <w:tcPr>
                  <w:tcW w:w="651" w:type="dxa"/>
                  <w:vMerge w:val="restart"/>
                  <w:tcBorders>
                    <w:tl2br w:val="nil"/>
                    <w:tr2bl w:val="nil"/>
                  </w:tcBorders>
                  <w:shd w:val="clear" w:color="auto" w:fill="auto"/>
                  <w:noWrap/>
                  <w:vAlign w:val="center"/>
                </w:tcPr>
                <w:p>
                  <w:pPr>
                    <w:pStyle w:val="34"/>
                    <w:bidi w:val="0"/>
                    <w:rPr>
                      <w:rFonts w:hint="default"/>
                      <w:color w:val="auto"/>
                      <w:highlight w:val="none"/>
                    </w:rPr>
                  </w:pPr>
                  <w:r>
                    <w:rPr>
                      <w:rFonts w:hint="default"/>
                      <w:color w:val="auto"/>
                      <w:highlight w:val="none"/>
                      <w:lang w:val="en-US" w:eastAsia="zh-CN"/>
                    </w:rPr>
                    <w:t>6</w:t>
                  </w:r>
                </w:p>
              </w:tc>
              <w:tc>
                <w:tcPr>
                  <w:tcW w:w="992" w:type="dxa"/>
                  <w:vMerge w:val="restart"/>
                  <w:tcBorders>
                    <w:tl2br w:val="nil"/>
                    <w:tr2bl w:val="nil"/>
                  </w:tcBorders>
                  <w:shd w:val="clear" w:color="auto" w:fill="auto"/>
                  <w:noWrap/>
                  <w:vAlign w:val="center"/>
                </w:tcPr>
                <w:p>
                  <w:pPr>
                    <w:pStyle w:val="34"/>
                    <w:bidi w:val="0"/>
                    <w:rPr>
                      <w:rFonts w:hint="default"/>
                      <w:color w:val="auto"/>
                      <w:highlight w:val="none"/>
                    </w:rPr>
                  </w:pPr>
                  <w:r>
                    <w:rPr>
                      <w:color w:val="auto"/>
                      <w:highlight w:val="none"/>
                    </w:rPr>
                    <w:t>O</w:t>
                  </w:r>
                  <w:r>
                    <w:rPr>
                      <w:color w:val="auto"/>
                      <w:highlight w:val="none"/>
                      <w:vertAlign w:val="subscript"/>
                    </w:rPr>
                    <w:t>3</w:t>
                  </w:r>
                </w:p>
              </w:tc>
              <w:tc>
                <w:tcPr>
                  <w:tcW w:w="1535" w:type="dxa"/>
                  <w:tcBorders>
                    <w:tl2br w:val="nil"/>
                    <w:tr2bl w:val="nil"/>
                  </w:tcBorders>
                  <w:shd w:val="clear" w:color="auto" w:fill="auto"/>
                  <w:noWrap/>
                  <w:vAlign w:val="center"/>
                </w:tcPr>
                <w:p>
                  <w:pPr>
                    <w:pStyle w:val="34"/>
                    <w:bidi w:val="0"/>
                    <w:rPr>
                      <w:rFonts w:hint="default"/>
                      <w:color w:val="auto"/>
                      <w:highlight w:val="none"/>
                      <w:lang w:val="en-US" w:eastAsia="zh-CN"/>
                    </w:rPr>
                  </w:pPr>
                  <w:r>
                    <w:rPr>
                      <w:color w:val="auto"/>
                      <w:highlight w:val="none"/>
                    </w:rPr>
                    <w:t>日最大8小时平均</w:t>
                  </w:r>
                </w:p>
              </w:tc>
              <w:tc>
                <w:tcPr>
                  <w:tcW w:w="1425" w:type="dxa"/>
                  <w:tcBorders>
                    <w:tl2br w:val="nil"/>
                    <w:tr2bl w:val="nil"/>
                  </w:tcBorders>
                  <w:shd w:val="clear" w:color="auto" w:fill="auto"/>
                  <w:noWrap/>
                  <w:vAlign w:val="center"/>
                </w:tcPr>
                <w:p>
                  <w:pPr>
                    <w:pStyle w:val="34"/>
                    <w:bidi w:val="0"/>
                    <w:rPr>
                      <w:rFonts w:hint="default"/>
                      <w:color w:val="auto"/>
                      <w:highlight w:val="none"/>
                      <w:lang w:val="en-US" w:eastAsia="zh-CN"/>
                    </w:rPr>
                  </w:pPr>
                  <w:r>
                    <w:rPr>
                      <w:color w:val="auto"/>
                      <w:highlight w:val="none"/>
                    </w:rPr>
                    <w:t>160</w:t>
                  </w:r>
                </w:p>
              </w:tc>
              <w:tc>
                <w:tcPr>
                  <w:tcW w:w="1425" w:type="dxa"/>
                  <w:tcBorders>
                    <w:tl2br w:val="nil"/>
                    <w:tr2bl w:val="nil"/>
                  </w:tcBorders>
                  <w:shd w:val="clear" w:color="auto" w:fill="auto"/>
                  <w:noWrap/>
                  <w:vAlign w:val="center"/>
                </w:tcPr>
                <w:p>
                  <w:pPr>
                    <w:pStyle w:val="34"/>
                    <w:bidi w:val="0"/>
                    <w:ind w:left="0" w:leftChars="0" w:firstLine="0" w:firstLineChars="0"/>
                    <w:rPr>
                      <w:rFonts w:hint="default" w:ascii="Times New Roman" w:hAnsi="Times New Roman" w:eastAsia="宋体" w:cstheme="minorBidi"/>
                      <w:color w:val="auto"/>
                      <w:kern w:val="2"/>
                      <w:sz w:val="18"/>
                      <w:szCs w:val="18"/>
                      <w:highlight w:val="none"/>
                      <w:lang w:val="en-US" w:eastAsia="zh-CN" w:bidi="ar-SA"/>
                    </w:rPr>
                  </w:pPr>
                  <w:r>
                    <w:rPr>
                      <w:color w:val="auto"/>
                      <w:highlight w:val="none"/>
                    </w:rPr>
                    <w:t>160</w:t>
                  </w:r>
                </w:p>
              </w:tc>
              <w:tc>
                <w:tcPr>
                  <w:tcW w:w="1552" w:type="dxa"/>
                  <w:vMerge w:val="continue"/>
                  <w:tcBorders>
                    <w:tl2br w:val="nil"/>
                    <w:tr2bl w:val="nil"/>
                  </w:tcBorders>
                  <w:shd w:val="clear" w:color="auto" w:fill="auto"/>
                  <w:noWrap/>
                  <w:vAlign w:val="center"/>
                </w:tcPr>
                <w:p>
                  <w:pPr>
                    <w:pStyle w:val="34"/>
                    <w:bidi w:val="0"/>
                    <w:rPr>
                      <w:rFonts w:hint="default"/>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2" w:hRule="atLeast"/>
                <w:jc w:val="center"/>
              </w:trPr>
              <w:tc>
                <w:tcPr>
                  <w:tcW w:w="651" w:type="dxa"/>
                  <w:vMerge w:val="continue"/>
                  <w:tcBorders>
                    <w:tl2br w:val="nil"/>
                    <w:tr2bl w:val="nil"/>
                  </w:tcBorders>
                  <w:shd w:val="clear" w:color="auto" w:fill="auto"/>
                  <w:noWrap/>
                  <w:vAlign w:val="center"/>
                </w:tcPr>
                <w:p>
                  <w:pPr>
                    <w:pStyle w:val="34"/>
                    <w:bidi w:val="0"/>
                    <w:rPr>
                      <w:rFonts w:hint="default"/>
                      <w:color w:val="auto"/>
                      <w:highlight w:val="none"/>
                    </w:rPr>
                  </w:pPr>
                </w:p>
              </w:tc>
              <w:tc>
                <w:tcPr>
                  <w:tcW w:w="992" w:type="dxa"/>
                  <w:vMerge w:val="continue"/>
                  <w:tcBorders>
                    <w:tl2br w:val="nil"/>
                    <w:tr2bl w:val="nil"/>
                  </w:tcBorders>
                  <w:shd w:val="clear" w:color="auto" w:fill="auto"/>
                  <w:noWrap/>
                  <w:vAlign w:val="center"/>
                </w:tcPr>
                <w:p>
                  <w:pPr>
                    <w:pStyle w:val="34"/>
                    <w:bidi w:val="0"/>
                    <w:rPr>
                      <w:rFonts w:hint="default"/>
                      <w:color w:val="auto"/>
                      <w:highlight w:val="none"/>
                    </w:rPr>
                  </w:pPr>
                </w:p>
              </w:tc>
              <w:tc>
                <w:tcPr>
                  <w:tcW w:w="1535" w:type="dxa"/>
                  <w:tcBorders>
                    <w:tl2br w:val="nil"/>
                    <w:tr2bl w:val="nil"/>
                  </w:tcBorders>
                  <w:shd w:val="clear" w:color="auto" w:fill="auto"/>
                  <w:noWrap/>
                  <w:vAlign w:val="center"/>
                </w:tcPr>
                <w:p>
                  <w:pPr>
                    <w:pStyle w:val="34"/>
                    <w:bidi w:val="0"/>
                    <w:rPr>
                      <w:rFonts w:hint="default"/>
                      <w:color w:val="auto"/>
                      <w:highlight w:val="none"/>
                      <w:lang w:val="en-US" w:eastAsia="zh-CN"/>
                    </w:rPr>
                  </w:pPr>
                  <w:r>
                    <w:rPr>
                      <w:color w:val="auto"/>
                      <w:highlight w:val="none"/>
                    </w:rPr>
                    <w:t>1小时平均</w:t>
                  </w:r>
                </w:p>
              </w:tc>
              <w:tc>
                <w:tcPr>
                  <w:tcW w:w="1425" w:type="dxa"/>
                  <w:tcBorders>
                    <w:tl2br w:val="nil"/>
                    <w:tr2bl w:val="nil"/>
                  </w:tcBorders>
                  <w:shd w:val="clear" w:color="auto" w:fill="auto"/>
                  <w:noWrap/>
                  <w:vAlign w:val="center"/>
                </w:tcPr>
                <w:p>
                  <w:pPr>
                    <w:pStyle w:val="34"/>
                    <w:bidi w:val="0"/>
                    <w:rPr>
                      <w:rFonts w:hint="default"/>
                      <w:color w:val="auto"/>
                      <w:highlight w:val="none"/>
                      <w:lang w:val="en-US" w:eastAsia="zh-CN"/>
                    </w:rPr>
                  </w:pPr>
                  <w:r>
                    <w:rPr>
                      <w:color w:val="auto"/>
                      <w:highlight w:val="none"/>
                    </w:rPr>
                    <w:t>200</w:t>
                  </w:r>
                </w:p>
              </w:tc>
              <w:tc>
                <w:tcPr>
                  <w:tcW w:w="1425" w:type="dxa"/>
                  <w:tcBorders>
                    <w:tl2br w:val="nil"/>
                    <w:tr2bl w:val="nil"/>
                  </w:tcBorders>
                  <w:shd w:val="clear" w:color="auto" w:fill="auto"/>
                  <w:noWrap/>
                  <w:vAlign w:val="center"/>
                </w:tcPr>
                <w:p>
                  <w:pPr>
                    <w:pStyle w:val="34"/>
                    <w:bidi w:val="0"/>
                    <w:ind w:left="0" w:leftChars="0" w:firstLine="0" w:firstLineChars="0"/>
                    <w:rPr>
                      <w:rFonts w:hint="default" w:ascii="Times New Roman" w:hAnsi="Times New Roman" w:eastAsia="宋体" w:cstheme="minorBidi"/>
                      <w:color w:val="auto"/>
                      <w:kern w:val="2"/>
                      <w:sz w:val="18"/>
                      <w:szCs w:val="18"/>
                      <w:highlight w:val="none"/>
                      <w:lang w:val="en-US" w:eastAsia="zh-CN" w:bidi="ar-SA"/>
                    </w:rPr>
                  </w:pPr>
                  <w:r>
                    <w:rPr>
                      <w:color w:val="auto"/>
                      <w:highlight w:val="none"/>
                    </w:rPr>
                    <w:t>200</w:t>
                  </w:r>
                </w:p>
              </w:tc>
              <w:tc>
                <w:tcPr>
                  <w:tcW w:w="1552" w:type="dxa"/>
                  <w:vMerge w:val="continue"/>
                  <w:tcBorders>
                    <w:tl2br w:val="nil"/>
                    <w:tr2bl w:val="nil"/>
                  </w:tcBorders>
                  <w:shd w:val="clear" w:color="auto" w:fill="auto"/>
                  <w:noWrap/>
                  <w:vAlign w:val="center"/>
                </w:tcPr>
                <w:p>
                  <w:pPr>
                    <w:pStyle w:val="34"/>
                    <w:bidi w:val="0"/>
                    <w:rPr>
                      <w:rFonts w:hint="default"/>
                      <w:color w:val="auto"/>
                      <w:highlight w:val="none"/>
                      <w:lang w:val="en-US" w:eastAsia="zh-CN"/>
                    </w:rPr>
                  </w:pP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2、达标区判定</w:t>
            </w:r>
          </w:p>
          <w:p>
            <w:pPr>
              <w:bidi w:val="0"/>
              <w:rPr>
                <w:color w:val="auto"/>
                <w:highlight w:val="none"/>
              </w:rPr>
            </w:pPr>
            <w:r>
              <w:rPr>
                <w:rFonts w:hint="default" w:ascii="Times New Roman" w:hAnsi="Times New Roman" w:cs="Times New Roman" w:eastAsiaTheme="minorEastAsia"/>
                <w:color w:val="auto"/>
                <w:highlight w:val="none"/>
              </w:rPr>
              <w:t>根据《环境影响</w:t>
            </w:r>
            <w:r>
              <w:rPr>
                <w:rFonts w:hint="eastAsia" w:cs="Times New Roman" w:eastAsiaTheme="minorEastAsia"/>
                <w:color w:val="auto"/>
                <w:highlight w:val="none"/>
                <w:lang w:val="en-US" w:eastAsia="zh-CN"/>
              </w:rPr>
              <w:t>评价</w:t>
            </w:r>
            <w:r>
              <w:rPr>
                <w:rFonts w:hint="default" w:ascii="Times New Roman" w:hAnsi="Times New Roman" w:cs="Times New Roman" w:eastAsiaTheme="minorEastAsia"/>
                <w:color w:val="auto"/>
                <w:highlight w:val="none"/>
              </w:rPr>
              <w:t>技术导则 大气环境》（HJ2.2-2018）相关要求，项目所在区域达标判定，优先采用国家或地方生态环境主管部门公开发布的评价基准年环境质量公告或环境质量报告中的数据或结论。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color w:val="auto"/>
                <w:highlight w:val="none"/>
              </w:rPr>
            </w:pPr>
            <w:r>
              <w:rPr>
                <w:color w:val="auto"/>
                <w:highlight w:val="none"/>
              </w:rPr>
              <w:t>根据《</w:t>
            </w:r>
            <w:r>
              <w:rPr>
                <w:rFonts w:hint="default"/>
                <w:color w:val="auto"/>
                <w:highlight w:val="none"/>
                <w:lang w:val="en-US" w:eastAsia="zh-CN"/>
              </w:rPr>
              <w:t>2024</w:t>
            </w:r>
            <w:r>
              <w:rPr>
                <w:color w:val="auto"/>
                <w:highlight w:val="none"/>
                <w:lang w:val="en-US" w:eastAsia="zh-CN"/>
              </w:rPr>
              <w:t>年</w:t>
            </w:r>
            <w:r>
              <w:rPr>
                <w:rFonts w:hint="default"/>
                <w:color w:val="auto"/>
                <w:highlight w:val="none"/>
                <w:lang w:val="en-US" w:eastAsia="zh-CN"/>
              </w:rPr>
              <w:t>玉溪市生态环境状况公报</w:t>
            </w:r>
            <w:r>
              <w:rPr>
                <w:color w:val="auto"/>
                <w:highlight w:val="none"/>
              </w:rPr>
              <w:t>》，</w:t>
            </w:r>
            <w:r>
              <w:rPr>
                <w:rFonts w:hint="default"/>
                <w:color w:val="auto"/>
                <w:highlight w:val="none"/>
                <w:lang w:val="en-US" w:eastAsia="zh-CN"/>
              </w:rPr>
              <w:t>2024</w:t>
            </w:r>
            <w:r>
              <w:rPr>
                <w:color w:val="auto"/>
                <w:highlight w:val="none"/>
                <w:lang w:val="en-US" w:eastAsia="zh-CN"/>
              </w:rPr>
              <w:t>年，中心城区环境空气质量一级</w:t>
            </w:r>
            <w:r>
              <w:rPr>
                <w:rFonts w:hint="default"/>
                <w:color w:val="auto"/>
                <w:highlight w:val="none"/>
                <w:lang w:val="en-US" w:eastAsia="zh-CN"/>
              </w:rPr>
              <w:t>240</w:t>
            </w:r>
            <w:r>
              <w:rPr>
                <w:rFonts w:hint="eastAsia"/>
                <w:color w:val="auto"/>
                <w:highlight w:val="none"/>
                <w:lang w:val="en-US" w:eastAsia="zh-CN"/>
              </w:rPr>
              <w:t>天，二级</w:t>
            </w:r>
            <w:r>
              <w:rPr>
                <w:rFonts w:hint="default"/>
                <w:color w:val="auto"/>
                <w:highlight w:val="none"/>
                <w:lang w:val="en-US" w:eastAsia="zh-CN"/>
              </w:rPr>
              <w:t>124</w:t>
            </w:r>
            <w:r>
              <w:rPr>
                <w:rFonts w:hint="eastAsia"/>
                <w:color w:val="auto"/>
                <w:highlight w:val="none"/>
                <w:lang w:val="en-US" w:eastAsia="zh-CN"/>
              </w:rPr>
              <w:t>天，超标</w:t>
            </w:r>
            <w:r>
              <w:rPr>
                <w:rFonts w:hint="default"/>
                <w:color w:val="auto"/>
                <w:highlight w:val="none"/>
                <w:lang w:val="en-US" w:eastAsia="zh-CN"/>
              </w:rPr>
              <w:t>2</w:t>
            </w:r>
            <w:r>
              <w:rPr>
                <w:rFonts w:hint="eastAsia"/>
                <w:color w:val="auto"/>
                <w:highlight w:val="none"/>
                <w:lang w:val="en-US" w:eastAsia="zh-CN"/>
              </w:rPr>
              <w:t>天。与去年同期相比，一级天数增加</w:t>
            </w:r>
            <w:r>
              <w:rPr>
                <w:rFonts w:hint="default"/>
                <w:color w:val="auto"/>
                <w:highlight w:val="none"/>
                <w:lang w:val="en-US" w:eastAsia="zh-CN"/>
              </w:rPr>
              <w:t>29</w:t>
            </w:r>
            <w:r>
              <w:rPr>
                <w:rFonts w:hint="eastAsia"/>
                <w:color w:val="auto"/>
                <w:highlight w:val="none"/>
                <w:lang w:val="en-US" w:eastAsia="zh-CN"/>
              </w:rPr>
              <w:t>天，二级天数减少</w:t>
            </w:r>
            <w:r>
              <w:rPr>
                <w:rFonts w:hint="default"/>
                <w:color w:val="auto"/>
                <w:highlight w:val="none"/>
                <w:lang w:val="en-US" w:eastAsia="zh-CN"/>
              </w:rPr>
              <w:t>18</w:t>
            </w:r>
            <w:r>
              <w:rPr>
                <w:rFonts w:hint="eastAsia"/>
                <w:color w:val="auto"/>
                <w:highlight w:val="none"/>
                <w:lang w:val="en-US" w:eastAsia="zh-CN"/>
              </w:rPr>
              <w:t>天，超标天数减少了</w:t>
            </w:r>
            <w:r>
              <w:rPr>
                <w:rFonts w:hint="default"/>
                <w:color w:val="auto"/>
                <w:highlight w:val="none"/>
                <w:lang w:val="en-US" w:eastAsia="zh-CN"/>
              </w:rPr>
              <w:t>10</w:t>
            </w:r>
            <w:r>
              <w:rPr>
                <w:rFonts w:hint="eastAsia"/>
                <w:color w:val="auto"/>
                <w:highlight w:val="none"/>
                <w:lang w:val="en-US" w:eastAsia="zh-CN"/>
              </w:rPr>
              <w:t>天。其中，细颗粒物（</w:t>
            </w:r>
            <w:r>
              <w:rPr>
                <w:rFonts w:hint="default"/>
                <w:color w:val="auto"/>
                <w:highlight w:val="none"/>
                <w:lang w:val="en-US" w:eastAsia="zh-CN"/>
              </w:rPr>
              <w:t>PM</w:t>
            </w:r>
            <w:r>
              <w:rPr>
                <w:rFonts w:hint="default"/>
                <w:color w:val="auto"/>
                <w:highlight w:val="none"/>
                <w:vertAlign w:val="subscript"/>
                <w:lang w:val="en-US" w:eastAsia="zh-CN"/>
              </w:rPr>
              <w:t>2.5</w:t>
            </w:r>
            <w:r>
              <w:rPr>
                <w:rFonts w:hint="eastAsia"/>
                <w:color w:val="auto"/>
                <w:highlight w:val="none"/>
                <w:lang w:val="en-US" w:eastAsia="zh-CN"/>
              </w:rPr>
              <w:t>）平均浓度为</w:t>
            </w:r>
            <w:r>
              <w:rPr>
                <w:rFonts w:hint="default"/>
                <w:color w:val="auto"/>
                <w:highlight w:val="none"/>
                <w:lang w:val="en-US" w:eastAsia="zh-CN"/>
              </w:rPr>
              <w:t>19.6μg/m</w:t>
            </w:r>
            <w:r>
              <w:rPr>
                <w:rFonts w:hint="default"/>
                <w:color w:val="auto"/>
                <w:highlight w:val="none"/>
                <w:vertAlign w:val="superscript"/>
                <w:lang w:val="en-US" w:eastAsia="zh-CN"/>
              </w:rPr>
              <w:t>3</w:t>
            </w:r>
            <w:r>
              <w:rPr>
                <w:rFonts w:hint="eastAsia"/>
                <w:color w:val="auto"/>
                <w:highlight w:val="none"/>
                <w:lang w:val="en-US" w:eastAsia="zh-CN"/>
              </w:rPr>
              <w:t xml:space="preserve">，中心城区环境空气质量优良天数比率为 </w:t>
            </w:r>
            <w:r>
              <w:rPr>
                <w:rFonts w:hint="default"/>
                <w:color w:val="auto"/>
                <w:highlight w:val="none"/>
                <w:lang w:val="en-US" w:eastAsia="zh-CN"/>
              </w:rPr>
              <w:t>99.5%</w:t>
            </w:r>
            <w:r>
              <w:rPr>
                <w:rFonts w:hint="eastAsia"/>
                <w:color w:val="auto"/>
                <w:highlight w:val="none"/>
                <w:lang w:val="en-US" w:eastAsia="zh-CN"/>
              </w:rPr>
              <w:t>，较上年同期上升</w:t>
            </w:r>
            <w:r>
              <w:rPr>
                <w:rFonts w:hint="default"/>
                <w:color w:val="auto"/>
                <w:highlight w:val="none"/>
                <w:lang w:val="en-US" w:eastAsia="zh-CN"/>
              </w:rPr>
              <w:t>2.8</w:t>
            </w:r>
            <w:r>
              <w:rPr>
                <w:rFonts w:hint="eastAsia"/>
                <w:color w:val="auto"/>
                <w:highlight w:val="none"/>
                <w:lang w:val="en-US" w:eastAsia="zh-CN"/>
              </w:rPr>
              <w:t>个百分点；江川区、澄江市、通海县、华宁县、易门县、峨山县、新平县、元江县空气质量优良天数比率分别为</w:t>
            </w:r>
            <w:r>
              <w:rPr>
                <w:rFonts w:hint="default"/>
                <w:color w:val="auto"/>
                <w:highlight w:val="none"/>
                <w:lang w:val="en-US" w:eastAsia="zh-CN"/>
              </w:rPr>
              <w:t>99.4%</w:t>
            </w:r>
            <w:r>
              <w:rPr>
                <w:rFonts w:hint="eastAsia"/>
                <w:color w:val="auto"/>
                <w:highlight w:val="none"/>
                <w:lang w:val="en-US" w:eastAsia="zh-CN"/>
              </w:rPr>
              <w:t>、</w:t>
            </w:r>
            <w:r>
              <w:rPr>
                <w:rFonts w:hint="default"/>
                <w:color w:val="auto"/>
                <w:highlight w:val="none"/>
                <w:lang w:val="en-US" w:eastAsia="zh-CN"/>
              </w:rPr>
              <w:t>100%</w:t>
            </w:r>
            <w:r>
              <w:rPr>
                <w:rFonts w:hint="eastAsia"/>
                <w:color w:val="auto"/>
                <w:highlight w:val="none"/>
                <w:lang w:val="en-US" w:eastAsia="zh-CN"/>
              </w:rPr>
              <w:t>、</w:t>
            </w:r>
            <w:r>
              <w:rPr>
                <w:rFonts w:hint="default"/>
                <w:color w:val="auto"/>
                <w:highlight w:val="none"/>
                <w:lang w:val="en-US" w:eastAsia="zh-CN"/>
              </w:rPr>
              <w:t>99.4%</w:t>
            </w:r>
            <w:r>
              <w:rPr>
                <w:rFonts w:hint="eastAsia"/>
                <w:color w:val="auto"/>
                <w:highlight w:val="none"/>
                <w:lang w:val="en-US" w:eastAsia="zh-CN"/>
              </w:rPr>
              <w:t>、</w:t>
            </w:r>
            <w:r>
              <w:rPr>
                <w:rFonts w:hint="default"/>
                <w:color w:val="auto"/>
                <w:highlight w:val="none"/>
                <w:lang w:val="en-US" w:eastAsia="zh-CN"/>
              </w:rPr>
              <w:t>99.7%</w:t>
            </w:r>
            <w:r>
              <w:rPr>
                <w:rFonts w:hint="eastAsia"/>
                <w:color w:val="auto"/>
                <w:highlight w:val="none"/>
                <w:lang w:val="en-US" w:eastAsia="zh-CN"/>
              </w:rPr>
              <w:t>、</w:t>
            </w:r>
            <w:r>
              <w:rPr>
                <w:rFonts w:hint="default"/>
                <w:color w:val="auto"/>
                <w:highlight w:val="none"/>
                <w:lang w:val="en-US" w:eastAsia="zh-CN"/>
              </w:rPr>
              <w:t>99.7%</w:t>
            </w:r>
            <w:r>
              <w:rPr>
                <w:rFonts w:hint="eastAsia"/>
                <w:color w:val="auto"/>
                <w:highlight w:val="none"/>
                <w:lang w:val="en-US" w:eastAsia="zh-CN"/>
              </w:rPr>
              <w:t>、</w:t>
            </w:r>
            <w:r>
              <w:rPr>
                <w:rFonts w:hint="default"/>
                <w:color w:val="auto"/>
                <w:highlight w:val="none"/>
                <w:lang w:val="en-US" w:eastAsia="zh-CN"/>
              </w:rPr>
              <w:t>99.4%</w:t>
            </w:r>
            <w:r>
              <w:rPr>
                <w:rFonts w:hint="eastAsia"/>
                <w:color w:val="auto"/>
                <w:highlight w:val="none"/>
                <w:lang w:val="en-US" w:eastAsia="zh-CN"/>
              </w:rPr>
              <w:t>、</w:t>
            </w:r>
            <w:r>
              <w:rPr>
                <w:rFonts w:hint="default"/>
                <w:color w:val="auto"/>
                <w:highlight w:val="none"/>
                <w:lang w:val="en-US" w:eastAsia="zh-CN"/>
              </w:rPr>
              <w:t>99.7%</w:t>
            </w:r>
            <w:r>
              <w:rPr>
                <w:rFonts w:hint="eastAsia"/>
                <w:color w:val="auto"/>
                <w:highlight w:val="none"/>
                <w:lang w:val="en-US" w:eastAsia="zh-CN"/>
              </w:rPr>
              <w:t>、</w:t>
            </w:r>
            <w:r>
              <w:rPr>
                <w:rFonts w:hint="default"/>
                <w:color w:val="auto"/>
                <w:highlight w:val="none"/>
                <w:lang w:val="en-US" w:eastAsia="zh-CN"/>
              </w:rPr>
              <w:t>99.4%</w:t>
            </w:r>
            <w:r>
              <w:rPr>
                <w:rFonts w:hint="eastAsia"/>
                <w:color w:val="auto"/>
                <w:highlight w:val="none"/>
                <w:lang w:val="en-US" w:eastAsia="zh-CN"/>
              </w:rPr>
              <w:t>。</w:t>
            </w:r>
            <w:r>
              <w:rPr>
                <w:rFonts w:hint="eastAsia" w:cs="Times New Roman"/>
                <w:sz w:val="24"/>
                <w:szCs w:val="24"/>
                <w:lang w:val="en-US" w:eastAsia="zh-CN"/>
              </w:rPr>
              <w:t>综上所述，2024年，易门县环境空气质量达标，项目所在区域属于环境空气质量现状达标区。</w:t>
            </w:r>
            <w:bookmarkStart w:id="252" w:name="_GoBack"/>
            <w:bookmarkEnd w:id="252"/>
          </w:p>
          <w:p>
            <w:pPr>
              <w:bidi w:val="0"/>
              <w:rPr>
                <w:rFonts w:hint="eastAsia"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（二）地表水环境质量现状</w:t>
            </w:r>
          </w:p>
          <w:p>
            <w:pPr>
              <w:bidi w:val="0"/>
              <w:rPr>
                <w:rFonts w:hint="eastAsia"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1、地表水环境质量标准</w:t>
            </w:r>
          </w:p>
          <w:p>
            <w:pPr>
              <w:pStyle w:val="31"/>
              <w:ind w:firstLine="480"/>
              <w:rPr>
                <w:rFonts w:hint="eastAsia" w:ascii="Times New Roman" w:hAnsi="Times New Roman" w:eastAsia="宋体" w:cs="Times New Roman"/>
                <w:color w:val="auto"/>
                <w:highlight w:val="none"/>
                <w:lang w:eastAsia="zh-CN"/>
              </w:rPr>
            </w:pPr>
            <w:r>
              <w:rPr>
                <w:rFonts w:hint="eastAsia" w:cs="Times New Roman"/>
                <w:color w:val="auto"/>
                <w:highlight w:val="none"/>
                <w:lang w:val="en-US" w:eastAsia="zh-CN"/>
              </w:rPr>
              <w:t>本项目位于</w:t>
            </w:r>
            <w:r>
              <w:rPr>
                <w:rFonts w:hint="eastAsia" w:cs="Times New Roman"/>
                <w:i w:val="0"/>
                <w:iCs w:val="0"/>
                <w:color w:val="auto"/>
                <w:sz w:val="24"/>
                <w:szCs w:val="24"/>
                <w:highlight w:val="none"/>
                <w:u w:val="none"/>
                <w:lang w:val="en-US" w:eastAsia="zh-CN"/>
              </w:rPr>
              <w:t>云南易门产业园区大椿树片区</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根据调查，</w:t>
            </w:r>
            <w:r>
              <w:rPr>
                <w:rFonts w:hint="default" w:ascii="Times New Roman" w:hAnsi="Times New Roman" w:cs="Times New Roman"/>
                <w:color w:val="auto"/>
                <w:highlight w:val="none"/>
                <w:lang w:val="en-US" w:eastAsia="zh-CN"/>
              </w:rPr>
              <w:t>项目周边距离最近的地表水体为项目区东南侧2960m处的双龙河，双龙河自北向东南汇入扒河，最终汇入绿汁江。根据《云南省水功能区划（2014年修订）》（云政复〔2014〕27号），项目所在区域地表水属于“扒河易门工业、农业用水区”，该区域由易门县大谷厂至阿姑水文站，全长11.5km，区内有著名的易门铜矿和水泥、农机、合成氨、制糖等工业用水，沿河有农灌用水。现状水质为Ⅲ类，规划水平年水质目标为Ⅲ类。由于目前未对双龙河进行水环境功能区划分，根据支流保护类别不得低于干流的原则，双龙河水质参照执行《地表水环境质量标准》（GB3838-2002）Ⅲ类标准。</w:t>
            </w:r>
            <w:r>
              <w:rPr>
                <w:rFonts w:hint="default" w:ascii="Times New Roman" w:hAnsi="Times New Roman" w:eastAsia="宋体" w:cs="Times New Roman"/>
                <w:color w:val="auto"/>
                <w:highlight w:val="none"/>
              </w:rPr>
              <w:t>标准值详见下表</w:t>
            </w:r>
            <w:r>
              <w:rPr>
                <w:rFonts w:hint="eastAsia" w:cs="Times New Roman"/>
                <w:color w:val="auto"/>
                <w:highlight w:val="none"/>
                <w:lang w:eastAsia="zh-CN"/>
              </w:rPr>
              <w:t>：</w:t>
            </w:r>
          </w:p>
          <w:p>
            <w:pPr>
              <w:pStyle w:val="36"/>
              <w:bidi w:val="0"/>
              <w:rPr>
                <w:rFonts w:hint="default"/>
                <w:color w:val="auto"/>
                <w:highlight w:val="none"/>
              </w:rPr>
            </w:pPr>
            <w:r>
              <w:rPr>
                <w:rFonts w:hint="default"/>
                <w:color w:val="auto"/>
                <w:highlight w:val="none"/>
              </w:rPr>
              <w:t>表3-</w:t>
            </w:r>
            <w:r>
              <w:rPr>
                <w:rFonts w:hint="eastAsia"/>
                <w:color w:val="auto"/>
                <w:highlight w:val="none"/>
                <w:lang w:val="en-US" w:eastAsia="zh-CN"/>
              </w:rPr>
              <w:t>2</w:t>
            </w:r>
            <w:r>
              <w:rPr>
                <w:rFonts w:hint="default"/>
                <w:color w:val="auto"/>
                <w:highlight w:val="none"/>
              </w:rPr>
              <w:t xml:space="preserve">  地表水环境质量标准   单位：mg/L，pH无量纲</w:t>
            </w:r>
          </w:p>
          <w:tbl>
            <w:tblPr>
              <w:tblStyle w:val="23"/>
              <w:tblW w:w="764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0"/>
              <w:gridCol w:w="688"/>
              <w:gridCol w:w="762"/>
              <w:gridCol w:w="989"/>
              <w:gridCol w:w="1008"/>
              <w:gridCol w:w="1006"/>
              <w:gridCol w:w="632"/>
              <w:gridCol w:w="1229"/>
              <w:gridCol w:w="6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dxa"/>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rPr>
                  </w:pPr>
                  <w:r>
                    <w:rPr>
                      <w:rFonts w:hint="default"/>
                      <w:color w:val="auto"/>
                      <w:highlight w:val="none"/>
                    </w:rPr>
                    <w:t>项目</w:t>
                  </w:r>
                </w:p>
              </w:tc>
              <w:tc>
                <w:tcPr>
                  <w:tcW w:w="688" w:type="dxa"/>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rPr>
                  </w:pPr>
                  <w:r>
                    <w:rPr>
                      <w:rFonts w:hint="default"/>
                      <w:color w:val="auto"/>
                      <w:highlight w:val="none"/>
                    </w:rPr>
                    <w:t>pH值</w:t>
                  </w:r>
                </w:p>
              </w:tc>
              <w:tc>
                <w:tcPr>
                  <w:tcW w:w="762" w:type="dxa"/>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rPr>
                  </w:pPr>
                  <w:r>
                    <w:rPr>
                      <w:rFonts w:hint="default"/>
                      <w:color w:val="auto"/>
                      <w:highlight w:val="none"/>
                    </w:rPr>
                    <w:t>溶解氧</w:t>
                  </w:r>
                </w:p>
              </w:tc>
              <w:tc>
                <w:tcPr>
                  <w:tcW w:w="989" w:type="dxa"/>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rPr>
                  </w:pPr>
                  <w:r>
                    <w:rPr>
                      <w:rFonts w:hint="default"/>
                      <w:color w:val="auto"/>
                      <w:highlight w:val="none"/>
                    </w:rPr>
                    <w:t>高锰酸盐指数</w:t>
                  </w:r>
                </w:p>
              </w:tc>
              <w:tc>
                <w:tcPr>
                  <w:tcW w:w="1008" w:type="dxa"/>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rPr>
                  </w:pPr>
                  <w:r>
                    <w:rPr>
                      <w:rFonts w:hint="default"/>
                      <w:color w:val="auto"/>
                      <w:highlight w:val="none"/>
                    </w:rPr>
                    <w:t>化学需氧量</w:t>
                  </w:r>
                </w:p>
              </w:tc>
              <w:tc>
                <w:tcPr>
                  <w:tcW w:w="1006" w:type="dxa"/>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rPr>
                  </w:pPr>
                  <w:r>
                    <w:rPr>
                      <w:rFonts w:hint="default"/>
                      <w:color w:val="auto"/>
                      <w:highlight w:val="none"/>
                    </w:rPr>
                    <w:t>五日生化需氧量</w:t>
                  </w:r>
                </w:p>
              </w:tc>
              <w:tc>
                <w:tcPr>
                  <w:tcW w:w="632" w:type="dxa"/>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rPr>
                  </w:pPr>
                  <w:r>
                    <w:rPr>
                      <w:rFonts w:hint="default"/>
                      <w:color w:val="auto"/>
                      <w:highlight w:val="none"/>
                    </w:rPr>
                    <w:t>氨氮</w:t>
                  </w:r>
                </w:p>
              </w:tc>
              <w:tc>
                <w:tcPr>
                  <w:tcW w:w="1229" w:type="dxa"/>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rPr>
                  </w:pPr>
                  <w:r>
                    <w:rPr>
                      <w:rFonts w:hint="default"/>
                      <w:color w:val="auto"/>
                      <w:highlight w:val="none"/>
                    </w:rPr>
                    <w:t>总磷</w:t>
                  </w:r>
                </w:p>
              </w:tc>
              <w:tc>
                <w:tcPr>
                  <w:tcW w:w="626" w:type="dxa"/>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rPr>
                  </w:pPr>
                  <w:r>
                    <w:rPr>
                      <w:rFonts w:hint="default"/>
                      <w:color w:val="auto"/>
                      <w:highlight w:val="none"/>
                    </w:rPr>
                    <w:t>总氮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dxa"/>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rPr>
                  </w:pPr>
                  <w:r>
                    <w:rPr>
                      <w:rFonts w:hint="default" w:ascii="Times New Roman" w:hAnsi="Times New Roman" w:cs="Times New Roman"/>
                      <w:color w:val="auto"/>
                      <w:highlight w:val="none"/>
                      <w:lang w:val="en-US" w:eastAsia="zh-CN"/>
                    </w:rPr>
                    <w:t>Ⅲ</w:t>
                  </w:r>
                  <w:r>
                    <w:rPr>
                      <w:rFonts w:hint="default"/>
                      <w:color w:val="auto"/>
                      <w:highlight w:val="none"/>
                    </w:rPr>
                    <w:t>类</w:t>
                  </w:r>
                </w:p>
              </w:tc>
              <w:tc>
                <w:tcPr>
                  <w:tcW w:w="688" w:type="dxa"/>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rPr>
                  </w:pPr>
                  <w:r>
                    <w:rPr>
                      <w:rFonts w:hint="default"/>
                      <w:color w:val="auto"/>
                      <w:highlight w:val="none"/>
                    </w:rPr>
                    <w:t>6~9</w:t>
                  </w:r>
                </w:p>
              </w:tc>
              <w:tc>
                <w:tcPr>
                  <w:tcW w:w="762" w:type="dxa"/>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lang w:val="en-US" w:eastAsia="zh-CN"/>
                    </w:rPr>
                  </w:pPr>
                  <w:r>
                    <w:rPr>
                      <w:rFonts w:hint="default"/>
                      <w:color w:val="auto"/>
                      <w:highlight w:val="none"/>
                    </w:rPr>
                    <w:t>≥</w:t>
                  </w:r>
                  <w:r>
                    <w:rPr>
                      <w:rFonts w:hint="eastAsia"/>
                      <w:color w:val="auto"/>
                      <w:highlight w:val="none"/>
                      <w:lang w:val="en-US" w:eastAsia="zh-CN"/>
                    </w:rPr>
                    <w:t>5</w:t>
                  </w:r>
                </w:p>
              </w:tc>
              <w:tc>
                <w:tcPr>
                  <w:tcW w:w="989" w:type="dxa"/>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lang w:val="en-US" w:eastAsia="zh-CN"/>
                    </w:rPr>
                  </w:pPr>
                  <w:r>
                    <w:rPr>
                      <w:rFonts w:hint="default"/>
                      <w:color w:val="auto"/>
                      <w:highlight w:val="none"/>
                    </w:rPr>
                    <w:t>≤</w:t>
                  </w:r>
                  <w:r>
                    <w:rPr>
                      <w:rFonts w:hint="eastAsia"/>
                      <w:color w:val="auto"/>
                      <w:highlight w:val="none"/>
                      <w:lang w:val="en-US" w:eastAsia="zh-CN"/>
                    </w:rPr>
                    <w:t>6</w:t>
                  </w:r>
                </w:p>
              </w:tc>
              <w:tc>
                <w:tcPr>
                  <w:tcW w:w="1008" w:type="dxa"/>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lang w:val="en-US" w:eastAsia="zh-CN"/>
                    </w:rPr>
                  </w:pPr>
                  <w:r>
                    <w:rPr>
                      <w:rFonts w:hint="default"/>
                      <w:color w:val="auto"/>
                      <w:highlight w:val="none"/>
                    </w:rPr>
                    <w:t>≤</w:t>
                  </w:r>
                  <w:r>
                    <w:rPr>
                      <w:rFonts w:hint="eastAsia"/>
                      <w:color w:val="auto"/>
                      <w:highlight w:val="none"/>
                      <w:lang w:val="en-US" w:eastAsia="zh-CN"/>
                    </w:rPr>
                    <w:t>20</w:t>
                  </w:r>
                </w:p>
              </w:tc>
              <w:tc>
                <w:tcPr>
                  <w:tcW w:w="1006" w:type="dxa"/>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lang w:eastAsia="zh-CN"/>
                    </w:rPr>
                  </w:pPr>
                  <w:r>
                    <w:rPr>
                      <w:rFonts w:hint="default"/>
                      <w:color w:val="auto"/>
                      <w:highlight w:val="none"/>
                    </w:rPr>
                    <w:t>≤</w:t>
                  </w:r>
                  <w:r>
                    <w:rPr>
                      <w:rFonts w:hint="eastAsia"/>
                      <w:color w:val="auto"/>
                      <w:highlight w:val="none"/>
                      <w:lang w:val="en-US" w:eastAsia="zh-CN"/>
                    </w:rPr>
                    <w:t>4</w:t>
                  </w:r>
                </w:p>
              </w:tc>
              <w:tc>
                <w:tcPr>
                  <w:tcW w:w="632" w:type="dxa"/>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lang w:val="en-US" w:eastAsia="zh-CN"/>
                    </w:rPr>
                  </w:pPr>
                  <w:r>
                    <w:rPr>
                      <w:rFonts w:hint="default"/>
                      <w:color w:val="auto"/>
                      <w:highlight w:val="none"/>
                    </w:rPr>
                    <w:t>≤</w:t>
                  </w:r>
                  <w:r>
                    <w:rPr>
                      <w:rFonts w:hint="eastAsia"/>
                      <w:color w:val="auto"/>
                      <w:highlight w:val="none"/>
                      <w:lang w:val="en-US" w:eastAsia="zh-CN"/>
                    </w:rPr>
                    <w:t>1.0</w:t>
                  </w:r>
                </w:p>
              </w:tc>
              <w:tc>
                <w:tcPr>
                  <w:tcW w:w="1229" w:type="dxa"/>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lang w:val="en-US" w:eastAsia="zh-CN"/>
                    </w:rPr>
                  </w:pPr>
                  <w:r>
                    <w:rPr>
                      <w:rFonts w:hint="default"/>
                      <w:color w:val="auto"/>
                      <w:highlight w:val="none"/>
                    </w:rPr>
                    <w:t>≤</w:t>
                  </w:r>
                  <w:r>
                    <w:rPr>
                      <w:rFonts w:hint="eastAsia"/>
                      <w:color w:val="auto"/>
                      <w:highlight w:val="none"/>
                      <w:lang w:val="en-US" w:eastAsia="zh-CN"/>
                    </w:rPr>
                    <w:t>0.2</w:t>
                  </w:r>
                </w:p>
                <w:p>
                  <w:pPr>
                    <w:pStyle w:val="38"/>
                    <w:bidi w:val="0"/>
                    <w:rPr>
                      <w:rFonts w:hint="default"/>
                      <w:color w:val="auto"/>
                      <w:highlight w:val="none"/>
                    </w:rPr>
                  </w:pPr>
                  <w:r>
                    <w:rPr>
                      <w:rFonts w:hint="default"/>
                      <w:color w:val="auto"/>
                      <w:highlight w:val="none"/>
                    </w:rPr>
                    <w:t>≤</w:t>
                  </w:r>
                  <w:r>
                    <w:rPr>
                      <w:rFonts w:hint="eastAsia"/>
                      <w:color w:val="auto"/>
                      <w:highlight w:val="none"/>
                      <w:lang w:val="en-US" w:eastAsia="zh-CN"/>
                    </w:rPr>
                    <w:t>0.025</w:t>
                  </w:r>
                  <w:r>
                    <w:rPr>
                      <w:rFonts w:hint="default"/>
                      <w:color w:val="auto"/>
                      <w:highlight w:val="none"/>
                    </w:rPr>
                    <w:t>（</w:t>
                  </w:r>
                  <w:r>
                    <w:rPr>
                      <w:rFonts w:hint="eastAsia"/>
                      <w:color w:val="auto"/>
                      <w:highlight w:val="none"/>
                      <w:lang w:val="en-US" w:eastAsia="zh-CN"/>
                    </w:rPr>
                    <w:t>湖、</w:t>
                  </w:r>
                  <w:r>
                    <w:rPr>
                      <w:rFonts w:hint="default"/>
                      <w:color w:val="auto"/>
                      <w:highlight w:val="none"/>
                    </w:rPr>
                    <w:t>库）</w:t>
                  </w:r>
                </w:p>
              </w:tc>
              <w:tc>
                <w:tcPr>
                  <w:tcW w:w="626" w:type="dxa"/>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lang w:val="en-US" w:eastAsia="zh-CN"/>
                    </w:rPr>
                  </w:pPr>
                  <w:r>
                    <w:rPr>
                      <w:rFonts w:hint="default"/>
                      <w:color w:val="auto"/>
                      <w:highlight w:val="none"/>
                    </w:rPr>
                    <w:t>≤</w:t>
                  </w:r>
                  <w:r>
                    <w:rPr>
                      <w:rFonts w:hint="eastAsia"/>
                      <w:color w:val="auto"/>
                      <w:highlight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dxa"/>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rPr>
                  </w:pPr>
                  <w:r>
                    <w:rPr>
                      <w:rFonts w:hint="default"/>
                      <w:color w:val="auto"/>
                      <w:highlight w:val="none"/>
                    </w:rPr>
                    <w:t>项目</w:t>
                  </w:r>
                </w:p>
              </w:tc>
              <w:tc>
                <w:tcPr>
                  <w:tcW w:w="688" w:type="dxa"/>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rPr>
                  </w:pPr>
                  <w:r>
                    <w:rPr>
                      <w:rFonts w:hint="default"/>
                      <w:color w:val="auto"/>
                      <w:highlight w:val="none"/>
                    </w:rPr>
                    <w:t>铜</w:t>
                  </w:r>
                </w:p>
              </w:tc>
              <w:tc>
                <w:tcPr>
                  <w:tcW w:w="762" w:type="dxa"/>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rPr>
                  </w:pPr>
                  <w:r>
                    <w:rPr>
                      <w:rFonts w:hint="default"/>
                      <w:color w:val="auto"/>
                      <w:highlight w:val="none"/>
                    </w:rPr>
                    <w:t>锌</w:t>
                  </w:r>
                </w:p>
              </w:tc>
              <w:tc>
                <w:tcPr>
                  <w:tcW w:w="989" w:type="dxa"/>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rPr>
                  </w:pPr>
                  <w:r>
                    <w:rPr>
                      <w:rFonts w:hint="default"/>
                      <w:color w:val="auto"/>
                      <w:highlight w:val="none"/>
                    </w:rPr>
                    <w:t>氟化物</w:t>
                  </w:r>
                </w:p>
              </w:tc>
              <w:tc>
                <w:tcPr>
                  <w:tcW w:w="1008" w:type="dxa"/>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rPr>
                  </w:pPr>
                  <w:r>
                    <w:rPr>
                      <w:rFonts w:hint="default"/>
                      <w:color w:val="auto"/>
                      <w:highlight w:val="none"/>
                    </w:rPr>
                    <w:t>砷</w:t>
                  </w:r>
                </w:p>
              </w:tc>
              <w:tc>
                <w:tcPr>
                  <w:tcW w:w="1006" w:type="dxa"/>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rPr>
                  </w:pPr>
                  <w:r>
                    <w:rPr>
                      <w:rFonts w:hint="default"/>
                      <w:color w:val="auto"/>
                      <w:highlight w:val="none"/>
                    </w:rPr>
                    <w:t>汞</w:t>
                  </w:r>
                </w:p>
              </w:tc>
              <w:tc>
                <w:tcPr>
                  <w:tcW w:w="632" w:type="dxa"/>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rPr>
                  </w:pPr>
                  <w:r>
                    <w:rPr>
                      <w:rFonts w:hint="default"/>
                      <w:color w:val="auto"/>
                      <w:highlight w:val="none"/>
                    </w:rPr>
                    <w:t>镉</w:t>
                  </w:r>
                </w:p>
              </w:tc>
              <w:tc>
                <w:tcPr>
                  <w:tcW w:w="1229" w:type="dxa"/>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rPr>
                  </w:pPr>
                  <w:r>
                    <w:rPr>
                      <w:rFonts w:hint="default"/>
                      <w:color w:val="auto"/>
                      <w:highlight w:val="none"/>
                    </w:rPr>
                    <w:t>铬（六</w:t>
                  </w:r>
                  <w:r>
                    <w:rPr>
                      <w:rFonts w:hint="default"/>
                      <w:color w:val="auto"/>
                      <w:highlight w:val="none"/>
                    </w:rPr>
                    <w:cr/>
                  </w:r>
                  <w:r>
                    <w:rPr>
                      <w:rFonts w:hint="default"/>
                      <w:color w:val="auto"/>
                      <w:highlight w:val="none"/>
                    </w:rPr>
                    <w:t>）</w:t>
                  </w:r>
                </w:p>
              </w:tc>
              <w:tc>
                <w:tcPr>
                  <w:tcW w:w="626" w:type="dxa"/>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rPr>
                  </w:pPr>
                  <w:r>
                    <w:rPr>
                      <w:rFonts w:hint="default"/>
                      <w:color w:val="auto"/>
                      <w:highlight w:val="none"/>
                    </w:rPr>
                    <w:t>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dxa"/>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rPr>
                  </w:pPr>
                  <w:r>
                    <w:rPr>
                      <w:rFonts w:hint="default" w:ascii="Times New Roman" w:hAnsi="Times New Roman" w:cs="Times New Roman"/>
                      <w:color w:val="auto"/>
                      <w:highlight w:val="none"/>
                      <w:lang w:val="en-US" w:eastAsia="zh-CN"/>
                    </w:rPr>
                    <w:t>Ⅲ</w:t>
                  </w:r>
                  <w:r>
                    <w:rPr>
                      <w:rFonts w:hint="default"/>
                      <w:color w:val="auto"/>
                      <w:highlight w:val="none"/>
                    </w:rPr>
                    <w:t>类</w:t>
                  </w:r>
                </w:p>
              </w:tc>
              <w:tc>
                <w:tcPr>
                  <w:tcW w:w="688" w:type="dxa"/>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rPr>
                  </w:pPr>
                  <w:r>
                    <w:rPr>
                      <w:rFonts w:hint="default"/>
                      <w:color w:val="auto"/>
                      <w:highlight w:val="none"/>
                    </w:rPr>
                    <w:t>≤1.</w:t>
                  </w:r>
                  <w:r>
                    <w:rPr>
                      <w:rFonts w:hint="default"/>
                      <w:color w:val="auto"/>
                      <w:highlight w:val="none"/>
                      <w:lang w:val="en-US" w:eastAsia="zh-CN"/>
                    </w:rPr>
                    <w:t>0</w:t>
                  </w:r>
                  <w:r>
                    <w:rPr>
                      <w:rFonts w:hint="default"/>
                      <w:color w:val="auto"/>
                      <w:highlight w:val="none"/>
                    </w:rPr>
                    <w:cr/>
                  </w:r>
                </w:p>
              </w:tc>
              <w:tc>
                <w:tcPr>
                  <w:tcW w:w="762" w:type="dxa"/>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lang w:val="en-US" w:eastAsia="zh-CN"/>
                    </w:rPr>
                  </w:pPr>
                  <w:r>
                    <w:rPr>
                      <w:rFonts w:hint="default"/>
                      <w:color w:val="auto"/>
                      <w:highlight w:val="none"/>
                    </w:rPr>
                    <w:t>≤</w:t>
                  </w:r>
                  <w:r>
                    <w:rPr>
                      <w:rFonts w:hint="eastAsia"/>
                      <w:color w:val="auto"/>
                      <w:highlight w:val="none"/>
                      <w:lang w:val="en-US" w:eastAsia="zh-CN"/>
                    </w:rPr>
                    <w:t>1.0</w:t>
                  </w:r>
                </w:p>
              </w:tc>
              <w:tc>
                <w:tcPr>
                  <w:tcW w:w="989" w:type="dxa"/>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rPr>
                  </w:pPr>
                  <w:r>
                    <w:rPr>
                      <w:rFonts w:hint="default"/>
                      <w:color w:val="auto"/>
                      <w:highlight w:val="none"/>
                    </w:rPr>
                    <w:t>≤</w:t>
                  </w:r>
                  <w:r>
                    <w:rPr>
                      <w:rFonts w:hint="eastAsia"/>
                      <w:color w:val="auto"/>
                      <w:highlight w:val="none"/>
                      <w:lang w:val="en-US" w:eastAsia="zh-CN"/>
                    </w:rPr>
                    <w:t>1.0</w:t>
                  </w:r>
                  <w:r>
                    <w:rPr>
                      <w:rFonts w:hint="default"/>
                      <w:color w:val="auto"/>
                      <w:highlight w:val="none"/>
                    </w:rPr>
                    <w:cr/>
                  </w:r>
                </w:p>
              </w:tc>
              <w:tc>
                <w:tcPr>
                  <w:tcW w:w="1008" w:type="dxa"/>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lang w:val="en-US" w:eastAsia="zh-CN"/>
                    </w:rPr>
                  </w:pPr>
                  <w:r>
                    <w:rPr>
                      <w:rFonts w:hint="default"/>
                      <w:color w:val="auto"/>
                      <w:highlight w:val="none"/>
                    </w:rPr>
                    <w:t>≤</w:t>
                  </w:r>
                  <w:r>
                    <w:rPr>
                      <w:rFonts w:hint="eastAsia"/>
                      <w:color w:val="auto"/>
                      <w:highlight w:val="none"/>
                      <w:lang w:val="en-US" w:eastAsia="zh-CN"/>
                    </w:rPr>
                    <w:t>0.05</w:t>
                  </w:r>
                </w:p>
              </w:tc>
              <w:tc>
                <w:tcPr>
                  <w:tcW w:w="1006" w:type="dxa"/>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lang w:val="en-US" w:eastAsia="zh-CN"/>
                    </w:rPr>
                  </w:pPr>
                  <w:r>
                    <w:rPr>
                      <w:rFonts w:hint="default"/>
                      <w:color w:val="auto"/>
                      <w:highlight w:val="none"/>
                    </w:rPr>
                    <w:t>≤</w:t>
                  </w:r>
                  <w:r>
                    <w:rPr>
                      <w:rFonts w:hint="eastAsia"/>
                      <w:color w:val="auto"/>
                      <w:highlight w:val="none"/>
                      <w:lang w:val="en-US" w:eastAsia="zh-CN"/>
                    </w:rPr>
                    <w:t>0.0001</w:t>
                  </w:r>
                </w:p>
              </w:tc>
              <w:tc>
                <w:tcPr>
                  <w:tcW w:w="632" w:type="dxa"/>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rPr>
                  </w:pPr>
                  <w:r>
                    <w:rPr>
                      <w:rFonts w:hint="default"/>
                      <w:color w:val="auto"/>
                      <w:highlight w:val="none"/>
                    </w:rPr>
                    <w:t>≤0.005</w:t>
                  </w:r>
                </w:p>
              </w:tc>
              <w:tc>
                <w:tcPr>
                  <w:tcW w:w="1229" w:type="dxa"/>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rPr>
                  </w:pPr>
                  <w:r>
                    <w:rPr>
                      <w:rFonts w:hint="default"/>
                      <w:color w:val="auto"/>
                      <w:highlight w:val="none"/>
                    </w:rPr>
                    <w:t>≤0.05</w:t>
                  </w:r>
                </w:p>
              </w:tc>
              <w:tc>
                <w:tcPr>
                  <w:tcW w:w="626" w:type="dxa"/>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rPr>
                  </w:pPr>
                  <w:r>
                    <w:rPr>
                      <w:rFonts w:hint="default"/>
                      <w:color w:val="auto"/>
                      <w:highlight w:val="none"/>
                    </w:rPr>
                    <w:t>≤0.</w:t>
                  </w:r>
                  <w:r>
                    <w:rPr>
                      <w:rFonts w:hint="eastAsia"/>
                      <w:color w:val="auto"/>
                      <w:highlight w:val="none"/>
                      <w:lang w:val="en-US" w:eastAsia="zh-CN"/>
                    </w:rPr>
                    <w:t>05</w:t>
                  </w:r>
                  <w:r>
                    <w:rPr>
                      <w:rFonts w:hint="default"/>
                      <w:color w:val="auto"/>
                      <w:highlight w:val="none"/>
                    </w:rPr>
                    <w:cr/>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dxa"/>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rPr>
                  </w:pPr>
                  <w:r>
                    <w:rPr>
                      <w:rFonts w:hint="default"/>
                      <w:color w:val="auto"/>
                      <w:highlight w:val="none"/>
                    </w:rPr>
                    <w:t>项目</w:t>
                  </w:r>
                </w:p>
              </w:tc>
              <w:tc>
                <w:tcPr>
                  <w:tcW w:w="688" w:type="dxa"/>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lang w:eastAsia="zh-CN"/>
                    </w:rPr>
                  </w:pPr>
                  <w:r>
                    <w:rPr>
                      <w:rFonts w:hint="default"/>
                      <w:color w:val="auto"/>
                      <w:highlight w:val="none"/>
                      <w:lang w:val="en-US" w:eastAsia="zh-CN"/>
                    </w:rPr>
                    <w:t>氰化物</w:t>
                  </w:r>
                </w:p>
              </w:tc>
              <w:tc>
                <w:tcPr>
                  <w:tcW w:w="762" w:type="dxa"/>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rPr>
                  </w:pPr>
                  <w:r>
                    <w:rPr>
                      <w:rFonts w:hint="default"/>
                      <w:color w:val="auto"/>
                      <w:highlight w:val="none"/>
                    </w:rPr>
                    <w:t>挥发酚</w:t>
                  </w:r>
                </w:p>
              </w:tc>
              <w:tc>
                <w:tcPr>
                  <w:tcW w:w="989" w:type="dxa"/>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rPr>
                  </w:pPr>
                  <w:r>
                    <w:rPr>
                      <w:rFonts w:hint="default"/>
                      <w:color w:val="auto"/>
                      <w:highlight w:val="none"/>
                    </w:rPr>
                    <w:t>石油类</w:t>
                  </w:r>
                </w:p>
              </w:tc>
              <w:tc>
                <w:tcPr>
                  <w:tcW w:w="1008" w:type="dxa"/>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rPr>
                  </w:pPr>
                  <w:r>
                    <w:rPr>
                      <w:rFonts w:hint="default"/>
                      <w:color w:val="auto"/>
                      <w:highlight w:val="none"/>
                    </w:rPr>
                    <w:t>硫化物</w:t>
                  </w:r>
                </w:p>
              </w:tc>
              <w:tc>
                <w:tcPr>
                  <w:tcW w:w="1006" w:type="dxa"/>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rPr>
                  </w:pPr>
                  <w:r>
                    <w:rPr>
                      <w:rFonts w:hint="default"/>
                      <w:color w:val="auto"/>
                      <w:highlight w:val="none"/>
                    </w:rPr>
                    <w:t>阴离子表面活性剂</w:t>
                  </w:r>
                </w:p>
              </w:tc>
              <w:tc>
                <w:tcPr>
                  <w:tcW w:w="632" w:type="dxa"/>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lang w:val="en-US" w:eastAsia="zh-CN"/>
                    </w:rPr>
                  </w:pPr>
                  <w:r>
                    <w:rPr>
                      <w:rFonts w:hint="default"/>
                      <w:color w:val="auto"/>
                      <w:highlight w:val="none"/>
                      <w:lang w:val="en-US" w:eastAsia="zh-CN"/>
                    </w:rPr>
                    <w:t>硒</w:t>
                  </w:r>
                </w:p>
              </w:tc>
              <w:tc>
                <w:tcPr>
                  <w:tcW w:w="1855" w:type="dxa"/>
                  <w:gridSpan w:val="2"/>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rPr>
                  </w:pPr>
                  <w:r>
                    <w:rPr>
                      <w:rFonts w:hint="default"/>
                      <w:color w:val="auto"/>
                      <w:highlight w:val="none"/>
                    </w:rPr>
                    <w:t>粪大肠菌群（个/L）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dxa"/>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rPr>
                  </w:pPr>
                  <w:r>
                    <w:rPr>
                      <w:rFonts w:hint="default" w:ascii="Times New Roman" w:hAnsi="Times New Roman" w:cs="Times New Roman"/>
                      <w:color w:val="auto"/>
                      <w:highlight w:val="none"/>
                      <w:lang w:val="en-US" w:eastAsia="zh-CN"/>
                    </w:rPr>
                    <w:t>Ⅲ</w:t>
                  </w:r>
                  <w:r>
                    <w:rPr>
                      <w:rFonts w:hint="default"/>
                      <w:color w:val="auto"/>
                      <w:highlight w:val="none"/>
                    </w:rPr>
                    <w:t>类</w:t>
                  </w:r>
                </w:p>
              </w:tc>
              <w:tc>
                <w:tcPr>
                  <w:tcW w:w="688" w:type="dxa"/>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lang w:val="en-US" w:eastAsia="zh-CN"/>
                    </w:rPr>
                  </w:pPr>
                  <w:r>
                    <w:rPr>
                      <w:rFonts w:hint="default"/>
                      <w:color w:val="auto"/>
                      <w:highlight w:val="none"/>
                    </w:rPr>
                    <w:t>≤</w:t>
                  </w:r>
                  <w:r>
                    <w:rPr>
                      <w:rFonts w:hint="eastAsia"/>
                      <w:color w:val="auto"/>
                      <w:highlight w:val="none"/>
                      <w:lang w:val="en-US" w:eastAsia="zh-CN"/>
                    </w:rPr>
                    <w:t>0.2</w:t>
                  </w:r>
                </w:p>
              </w:tc>
              <w:tc>
                <w:tcPr>
                  <w:tcW w:w="762" w:type="dxa"/>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lang w:val="en-US" w:eastAsia="zh-CN"/>
                    </w:rPr>
                  </w:pPr>
                  <w:r>
                    <w:rPr>
                      <w:rFonts w:hint="default"/>
                      <w:color w:val="auto"/>
                      <w:highlight w:val="none"/>
                    </w:rPr>
                    <w:t>≤</w:t>
                  </w:r>
                  <w:r>
                    <w:rPr>
                      <w:rFonts w:hint="eastAsia"/>
                      <w:color w:val="auto"/>
                      <w:highlight w:val="none"/>
                      <w:lang w:val="en-US" w:eastAsia="zh-CN"/>
                    </w:rPr>
                    <w:t>0.005</w:t>
                  </w:r>
                </w:p>
              </w:tc>
              <w:tc>
                <w:tcPr>
                  <w:tcW w:w="989" w:type="dxa"/>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lang w:val="en-US" w:eastAsia="zh-CN"/>
                    </w:rPr>
                  </w:pPr>
                  <w:r>
                    <w:rPr>
                      <w:rFonts w:hint="default"/>
                      <w:color w:val="auto"/>
                      <w:highlight w:val="none"/>
                    </w:rPr>
                    <w:t>≤</w:t>
                  </w:r>
                  <w:r>
                    <w:rPr>
                      <w:rFonts w:hint="eastAsia"/>
                      <w:color w:val="auto"/>
                      <w:highlight w:val="none"/>
                      <w:lang w:val="en-US" w:eastAsia="zh-CN"/>
                    </w:rPr>
                    <w:t>0.05</w:t>
                  </w:r>
                </w:p>
              </w:tc>
              <w:tc>
                <w:tcPr>
                  <w:tcW w:w="1008" w:type="dxa"/>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lang w:val="en-US" w:eastAsia="zh-CN"/>
                    </w:rPr>
                  </w:pPr>
                  <w:r>
                    <w:rPr>
                      <w:rFonts w:hint="default"/>
                      <w:color w:val="auto"/>
                      <w:highlight w:val="none"/>
                    </w:rPr>
                    <w:t>≤</w:t>
                  </w:r>
                  <w:r>
                    <w:rPr>
                      <w:rFonts w:hint="eastAsia"/>
                      <w:color w:val="auto"/>
                      <w:highlight w:val="none"/>
                      <w:lang w:val="en-US" w:eastAsia="zh-CN"/>
                    </w:rPr>
                    <w:t>0.2</w:t>
                  </w:r>
                </w:p>
              </w:tc>
              <w:tc>
                <w:tcPr>
                  <w:tcW w:w="1006" w:type="dxa"/>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lang w:val="en-US" w:eastAsia="zh-CN"/>
                    </w:rPr>
                  </w:pPr>
                  <w:r>
                    <w:rPr>
                      <w:rFonts w:hint="default"/>
                      <w:color w:val="auto"/>
                      <w:highlight w:val="none"/>
                    </w:rPr>
                    <w:t>≤</w:t>
                  </w:r>
                  <w:r>
                    <w:rPr>
                      <w:rFonts w:hint="eastAsia"/>
                      <w:color w:val="auto"/>
                      <w:highlight w:val="none"/>
                      <w:lang w:val="en-US" w:eastAsia="zh-CN"/>
                    </w:rPr>
                    <w:t>0.2</w:t>
                  </w:r>
                </w:p>
              </w:tc>
              <w:tc>
                <w:tcPr>
                  <w:tcW w:w="632" w:type="dxa"/>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lang w:val="en-US" w:eastAsia="zh-CN"/>
                    </w:rPr>
                  </w:pPr>
                  <w:r>
                    <w:rPr>
                      <w:rFonts w:hint="default"/>
                      <w:color w:val="auto"/>
                      <w:highlight w:val="none"/>
                    </w:rPr>
                    <w:t>≤0.</w:t>
                  </w:r>
                  <w:r>
                    <w:rPr>
                      <w:rFonts w:hint="default"/>
                      <w:color w:val="auto"/>
                      <w:highlight w:val="none"/>
                      <w:lang w:val="en-US" w:eastAsia="zh-CN"/>
                    </w:rPr>
                    <w:t>01</w:t>
                  </w:r>
                </w:p>
              </w:tc>
              <w:tc>
                <w:tcPr>
                  <w:tcW w:w="1855" w:type="dxa"/>
                  <w:gridSpan w:val="2"/>
                  <w:tcBorders>
                    <w:tl2br w:val="nil"/>
                    <w:tr2bl w:val="nil"/>
                  </w:tcBorders>
                  <w:noWrap w:val="0"/>
                  <w:tcMar>
                    <w:top w:w="0" w:type="dxa"/>
                    <w:left w:w="6" w:type="dxa"/>
                    <w:bottom w:w="0" w:type="dxa"/>
                    <w:right w:w="6" w:type="dxa"/>
                  </w:tcMar>
                  <w:vAlign w:val="center"/>
                </w:tcPr>
                <w:p>
                  <w:pPr>
                    <w:pStyle w:val="38"/>
                    <w:bidi w:val="0"/>
                    <w:rPr>
                      <w:rFonts w:hint="default"/>
                      <w:color w:val="auto"/>
                      <w:highlight w:val="none"/>
                      <w:lang w:val="en-US" w:eastAsia="zh-CN"/>
                    </w:rPr>
                  </w:pPr>
                  <w:r>
                    <w:rPr>
                      <w:rFonts w:hint="default"/>
                      <w:color w:val="auto"/>
                      <w:highlight w:val="none"/>
                    </w:rPr>
                    <w:t>≤</w:t>
                  </w:r>
                  <w:r>
                    <w:rPr>
                      <w:rFonts w:hint="eastAsia"/>
                      <w:color w:val="auto"/>
                      <w:highlight w:val="none"/>
                      <w:lang w:val="en-US" w:eastAsia="zh-CN"/>
                    </w:rPr>
                    <w:t>10</w:t>
                  </w:r>
                  <w:r>
                    <w:rPr>
                      <w:rFonts w:hint="default"/>
                      <w:color w:val="auto"/>
                      <w:highlight w:val="none"/>
                      <w:lang w:val="en-US" w:eastAsia="zh-CN"/>
                    </w:rPr>
                    <w:t>000</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2、地表水环境质量现状</w:t>
            </w:r>
          </w:p>
          <w:p>
            <w:pPr>
              <w:bidi w:val="0"/>
              <w:rPr>
                <w:rFonts w:hint="eastAsia"/>
                <w:color w:val="auto"/>
                <w:highlight w:val="none"/>
                <w:lang w:val="en-US" w:eastAsia="zh-CN"/>
              </w:rPr>
            </w:pPr>
            <w:r>
              <w:rPr>
                <w:rFonts w:hint="default" w:ascii="Times New Roman" w:hAnsi="Times New Roman" w:cs="Times New Roman"/>
                <w:color w:val="auto"/>
                <w:highlight w:val="none"/>
                <w:lang w:val="en-US" w:eastAsia="zh-CN"/>
              </w:rPr>
              <w:t>根据《2024年玉溪市生态环境状况公报》，大谷厂水管所监测断面（项目区地表径流汇入口上游</w:t>
            </w:r>
            <w:r>
              <w:rPr>
                <w:rFonts w:hint="eastAsia" w:cs="Times New Roman"/>
                <w:color w:val="auto"/>
                <w:highlight w:val="none"/>
                <w:lang w:val="en-US" w:eastAsia="zh-CN"/>
              </w:rPr>
              <w:t>4km</w:t>
            </w:r>
            <w:r>
              <w:rPr>
                <w:rFonts w:hint="default" w:ascii="Times New Roman" w:hAnsi="Times New Roman" w:cs="Times New Roman"/>
                <w:color w:val="auto"/>
                <w:highlight w:val="none"/>
                <w:lang w:val="en-US" w:eastAsia="zh-CN"/>
              </w:rPr>
              <w:t>）水质类别为Ⅰ类，绿汁江江边（炉房）监测断面（项目区地表径流汇入口下游</w:t>
            </w:r>
            <w:r>
              <w:rPr>
                <w:rFonts w:hint="eastAsia" w:cs="Times New Roman"/>
                <w:color w:val="auto"/>
                <w:highlight w:val="none"/>
                <w:lang w:val="en-US" w:eastAsia="zh-CN"/>
              </w:rPr>
              <w:t>55km</w:t>
            </w:r>
            <w:r>
              <w:rPr>
                <w:rFonts w:hint="default" w:ascii="Times New Roman" w:hAnsi="Times New Roman" w:cs="Times New Roman"/>
                <w:color w:val="auto"/>
                <w:highlight w:val="none"/>
                <w:lang w:val="en-US" w:eastAsia="zh-CN"/>
              </w:rPr>
              <w:t>）水质类别为Ⅱ类，因此，双龙河水质能够达到《地表水环境质量标准》（GB3838-2002）Ⅲ类水质标准要求，项目所在区域属于地表水环境质量达标区。且项目运营期产生的废水经处理</w:t>
            </w:r>
            <w:r>
              <w:rPr>
                <w:rFonts w:hint="eastAsia" w:cs="Times New Roman"/>
                <w:color w:val="auto"/>
                <w:highlight w:val="none"/>
                <w:lang w:val="en-US" w:eastAsia="zh-CN"/>
              </w:rPr>
              <w:t>达标</w:t>
            </w:r>
            <w:r>
              <w:rPr>
                <w:rFonts w:hint="default" w:ascii="Times New Roman" w:hAnsi="Times New Roman" w:cs="Times New Roman"/>
                <w:color w:val="auto"/>
                <w:highlight w:val="none"/>
                <w:lang w:val="en-US" w:eastAsia="zh-CN"/>
              </w:rPr>
              <w:t>后全部回用，不外排，不会改变区域地表水环境功能。</w:t>
            </w:r>
          </w:p>
          <w:p>
            <w:pPr>
              <w:bidi w:val="0"/>
              <w:rPr>
                <w:rFonts w:hint="eastAsia"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（三）声环境质量</w:t>
            </w:r>
          </w:p>
          <w:p>
            <w:pPr>
              <w:bidi w:val="0"/>
              <w:rPr>
                <w:rFonts w:hint="default"/>
                <w:color w:val="auto"/>
                <w:highlight w:val="none"/>
                <w:lang w:val="en-US" w:eastAsia="zh-CN"/>
              </w:rPr>
            </w:pPr>
            <w:r>
              <w:rPr>
                <w:rFonts w:hint="eastAsia" w:ascii="黑体" w:hAnsi="黑体" w:eastAsia="黑体" w:cs="黑体"/>
                <w:color w:val="auto"/>
                <w:highlight w:val="none"/>
                <w:lang w:val="en-US" w:eastAsia="zh-CN"/>
              </w:rPr>
              <w:t>1、声环境质量标准</w:t>
            </w:r>
          </w:p>
          <w:p>
            <w:pPr>
              <w:keepNext w:val="0"/>
              <w:keepLines w:val="0"/>
              <w:pageBreakBefore w:val="0"/>
              <w:widowControl w:val="0"/>
              <w:kinsoku/>
              <w:wordWrap w:val="0"/>
              <w:overflowPunct/>
              <w:topLinePunct w:val="0"/>
              <w:autoSpaceDE/>
              <w:autoSpaceDN/>
              <w:bidi w:val="0"/>
              <w:adjustRightInd/>
              <w:snapToGrid/>
              <w:textAlignment w:val="auto"/>
              <w:rPr>
                <w:rFonts w:hint="default"/>
                <w:color w:val="auto"/>
                <w:highlight w:val="none"/>
                <w:lang w:val="en-US" w:eastAsia="zh-CN"/>
              </w:rPr>
            </w:pPr>
            <w:r>
              <w:rPr>
                <w:rFonts w:hint="default"/>
                <w:color w:val="auto"/>
                <w:highlight w:val="none"/>
                <w:lang w:val="en-US" w:eastAsia="zh-CN"/>
              </w:rPr>
              <w:t>本项目位于</w:t>
            </w:r>
            <w:r>
              <w:rPr>
                <w:rFonts w:hint="eastAsia"/>
                <w:color w:val="auto"/>
                <w:highlight w:val="none"/>
                <w:lang w:val="en-US" w:eastAsia="zh-CN"/>
              </w:rPr>
              <w:t>云南易门产业园区大椿树片区</w:t>
            </w:r>
            <w:r>
              <w:rPr>
                <w:rFonts w:hint="default"/>
                <w:color w:val="auto"/>
                <w:highlight w:val="none"/>
                <w:lang w:val="en-US" w:eastAsia="zh-CN"/>
              </w:rPr>
              <w:t>，项目所在区域声环境质量执行《声环境质量标准》（GB3096-2008）</w:t>
            </w:r>
            <w:r>
              <w:rPr>
                <w:rFonts w:hint="eastAsia"/>
                <w:color w:val="auto"/>
                <w:highlight w:val="none"/>
                <w:lang w:val="en-US" w:eastAsia="zh-CN"/>
              </w:rPr>
              <w:t>中</w:t>
            </w:r>
            <w:r>
              <w:rPr>
                <w:rFonts w:hint="default"/>
                <w:color w:val="auto"/>
                <w:highlight w:val="none"/>
                <w:lang w:val="en-US" w:eastAsia="zh-CN"/>
              </w:rPr>
              <w:t>3类区域标准限值（昼间≤65dB</w:t>
            </w:r>
            <w:r>
              <w:rPr>
                <w:rFonts w:hint="eastAsia"/>
                <w:color w:val="auto"/>
                <w:highlight w:val="none"/>
                <w:lang w:val="en-US" w:eastAsia="zh-CN"/>
              </w:rPr>
              <w:t>（A）</w:t>
            </w:r>
            <w:r>
              <w:rPr>
                <w:rFonts w:hint="default"/>
                <w:color w:val="auto"/>
                <w:highlight w:val="none"/>
                <w:lang w:val="en-US" w:eastAsia="zh-CN"/>
              </w:rPr>
              <w:t>、夜间≤55dB</w:t>
            </w:r>
            <w:r>
              <w:rPr>
                <w:rFonts w:hint="eastAsia"/>
                <w:color w:val="auto"/>
                <w:highlight w:val="none"/>
                <w:lang w:val="en-US" w:eastAsia="zh-CN"/>
              </w:rPr>
              <w:t>（A）</w:t>
            </w:r>
            <w:r>
              <w:rPr>
                <w:rFonts w:hint="default"/>
                <w:color w:val="auto"/>
                <w:highlight w:val="none"/>
                <w:lang w:val="en-US" w:eastAsia="zh-CN"/>
              </w:rPr>
              <w:t>）</w:t>
            </w:r>
            <w:r>
              <w:rPr>
                <w:rFonts w:hint="eastAsia"/>
                <w:color w:val="auto"/>
                <w:highlight w:val="none"/>
                <w:lang w:val="en-US" w:eastAsia="zh-CN"/>
              </w:rPr>
              <w:t>。</w:t>
            </w:r>
            <w:r>
              <w:rPr>
                <w:rFonts w:hint="default"/>
                <w:color w:val="auto"/>
                <w:highlight w:val="none"/>
                <w:lang w:val="en-US" w:eastAsia="zh-CN"/>
              </w:rPr>
              <w:t>具体标准限值</w:t>
            </w:r>
            <w:r>
              <w:rPr>
                <w:rFonts w:hint="eastAsia"/>
                <w:color w:val="auto"/>
                <w:highlight w:val="none"/>
                <w:lang w:val="en-US" w:eastAsia="zh-CN"/>
              </w:rPr>
              <w:t>见下表</w:t>
            </w:r>
            <w:r>
              <w:rPr>
                <w:rFonts w:hint="default"/>
                <w:color w:val="auto"/>
                <w:highlight w:val="none"/>
                <w:lang w:val="en-US" w:eastAsia="zh-CN"/>
              </w:rPr>
              <w:t>。</w:t>
            </w:r>
          </w:p>
          <w:p>
            <w:pPr>
              <w:pStyle w:val="36"/>
              <w:bidi w:val="0"/>
              <w:rPr>
                <w:rFonts w:hint="default"/>
                <w:color w:val="auto"/>
                <w:highlight w:val="none"/>
                <w:lang w:val="en-US" w:eastAsia="zh-CN"/>
              </w:rPr>
            </w:pPr>
            <w:r>
              <w:rPr>
                <w:rFonts w:hint="default"/>
                <w:color w:val="auto"/>
                <w:highlight w:val="none"/>
                <w:lang w:val="en-US" w:eastAsia="zh-CN"/>
              </w:rPr>
              <w:t>表3-</w:t>
            </w:r>
            <w:r>
              <w:rPr>
                <w:rFonts w:hint="eastAsia"/>
                <w:color w:val="auto"/>
                <w:highlight w:val="none"/>
                <w:lang w:val="en-US" w:eastAsia="zh-CN"/>
              </w:rPr>
              <w:t>3</w:t>
            </w:r>
            <w:r>
              <w:rPr>
                <w:rFonts w:hint="default"/>
                <w:color w:val="auto"/>
                <w:highlight w:val="none"/>
                <w:lang w:val="en-US" w:eastAsia="zh-CN"/>
              </w:rPr>
              <w:t xml:space="preserve"> </w:t>
            </w:r>
            <w:r>
              <w:rPr>
                <w:rFonts w:hint="eastAsia"/>
                <w:color w:val="auto"/>
                <w:highlight w:val="none"/>
                <w:lang w:val="en-US" w:eastAsia="zh-CN"/>
              </w:rPr>
              <w:t xml:space="preserve"> </w:t>
            </w:r>
            <w:r>
              <w:rPr>
                <w:rFonts w:hint="default"/>
                <w:color w:val="auto"/>
                <w:highlight w:val="none"/>
                <w:lang w:val="en-US" w:eastAsia="zh-CN"/>
              </w:rPr>
              <w:t>声环境质量标准限值</w:t>
            </w:r>
          </w:p>
          <w:tbl>
            <w:tblPr>
              <w:tblStyle w:val="24"/>
              <w:tblW w:w="757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26"/>
              <w:gridCol w:w="2526"/>
              <w:gridCol w:w="25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26" w:type="dxa"/>
                  <w:vMerge w:val="restart"/>
                  <w:tcBorders>
                    <w:tl2br w:val="nil"/>
                    <w:tr2bl w:val="nil"/>
                  </w:tcBorders>
                  <w:vAlign w:val="center"/>
                </w:tcPr>
                <w:p>
                  <w:pPr>
                    <w:pStyle w:val="34"/>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声环境功能区类别</w:t>
                  </w:r>
                </w:p>
              </w:tc>
              <w:tc>
                <w:tcPr>
                  <w:tcW w:w="5053" w:type="dxa"/>
                  <w:gridSpan w:val="2"/>
                  <w:tcBorders>
                    <w:tl2br w:val="nil"/>
                    <w:tr2bl w:val="nil"/>
                  </w:tcBorders>
                  <w:vAlign w:val="center"/>
                </w:tcPr>
                <w:p>
                  <w:pPr>
                    <w:pStyle w:val="34"/>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标准限值（dB（A））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26" w:type="dxa"/>
                  <w:vMerge w:val="continue"/>
                  <w:tcBorders>
                    <w:tl2br w:val="nil"/>
                    <w:tr2bl w:val="nil"/>
                  </w:tcBorders>
                  <w:vAlign w:val="center"/>
                </w:tcPr>
                <w:p>
                  <w:pPr>
                    <w:pStyle w:val="34"/>
                    <w:bidi w:val="0"/>
                    <w:rPr>
                      <w:rFonts w:hint="default" w:ascii="Times New Roman" w:hAnsi="Times New Roman" w:cs="Times New Roman"/>
                      <w:color w:val="auto"/>
                      <w:highlight w:val="none"/>
                      <w:lang w:val="en-US" w:eastAsia="zh-CN"/>
                    </w:rPr>
                  </w:pPr>
                </w:p>
              </w:tc>
              <w:tc>
                <w:tcPr>
                  <w:tcW w:w="2526" w:type="dxa"/>
                  <w:tcBorders>
                    <w:tl2br w:val="nil"/>
                    <w:tr2bl w:val="nil"/>
                  </w:tcBorders>
                  <w:vAlign w:val="center"/>
                </w:tcPr>
                <w:p>
                  <w:pPr>
                    <w:pStyle w:val="34"/>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昼间</w:t>
                  </w:r>
                </w:p>
              </w:tc>
              <w:tc>
                <w:tcPr>
                  <w:tcW w:w="2527" w:type="dxa"/>
                  <w:tcBorders>
                    <w:tl2br w:val="nil"/>
                    <w:tr2bl w:val="nil"/>
                  </w:tcBorders>
                  <w:vAlign w:val="center"/>
                </w:tcPr>
                <w:p>
                  <w:pPr>
                    <w:pStyle w:val="34"/>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26" w:type="dxa"/>
                  <w:tcBorders>
                    <w:tl2br w:val="nil"/>
                    <w:tr2bl w:val="nil"/>
                  </w:tcBorders>
                  <w:vAlign w:val="center"/>
                </w:tcPr>
                <w:p>
                  <w:pPr>
                    <w:pStyle w:val="34"/>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3类</w:t>
                  </w:r>
                </w:p>
              </w:tc>
              <w:tc>
                <w:tcPr>
                  <w:tcW w:w="2526" w:type="dxa"/>
                  <w:tcBorders>
                    <w:tl2br w:val="nil"/>
                    <w:tr2bl w:val="nil"/>
                  </w:tcBorders>
                  <w:vAlign w:val="center"/>
                </w:tcPr>
                <w:p>
                  <w:pPr>
                    <w:pStyle w:val="34"/>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65</w:t>
                  </w:r>
                </w:p>
              </w:tc>
              <w:tc>
                <w:tcPr>
                  <w:tcW w:w="2527" w:type="dxa"/>
                  <w:tcBorders>
                    <w:tl2br w:val="nil"/>
                    <w:tr2bl w:val="nil"/>
                  </w:tcBorders>
                  <w:vAlign w:val="center"/>
                </w:tcPr>
                <w:p>
                  <w:pPr>
                    <w:pStyle w:val="34"/>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55</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color w:val="auto"/>
                <w:highlight w:val="none"/>
                <w:lang w:val="en-US" w:eastAsia="zh-CN"/>
              </w:rPr>
            </w:pPr>
            <w:r>
              <w:rPr>
                <w:rFonts w:hint="eastAsia" w:ascii="黑体" w:hAnsi="黑体" w:eastAsia="黑体" w:cs="黑体"/>
                <w:color w:val="auto"/>
                <w:highlight w:val="none"/>
                <w:lang w:val="en-US" w:eastAsia="zh-CN"/>
              </w:rPr>
              <w:t>2、声环境质量现状</w:t>
            </w:r>
          </w:p>
          <w:p>
            <w:pPr>
              <w:bidi w:val="0"/>
              <w:rPr>
                <w:rFonts w:hint="default"/>
                <w:color w:val="auto"/>
                <w:highlight w:val="none"/>
                <w:lang w:val="en-US" w:eastAsia="zh-CN"/>
              </w:rPr>
            </w:pPr>
            <w:r>
              <w:rPr>
                <w:rFonts w:hint="eastAsia"/>
                <w:color w:val="auto"/>
                <w:highlight w:val="none"/>
                <w:lang w:val="en-US" w:eastAsia="zh-CN"/>
              </w:rPr>
              <w:t>根据现场踏勘，</w:t>
            </w:r>
            <w:r>
              <w:rPr>
                <w:color w:val="auto"/>
                <w:highlight w:val="none"/>
              </w:rPr>
              <w:t>项目所在地周围主要为工业企业、工业园区规划建设用地、自然山体等，</w:t>
            </w:r>
            <w:r>
              <w:rPr>
                <w:rFonts w:hint="eastAsia"/>
                <w:color w:val="auto"/>
                <w:highlight w:val="none"/>
              </w:rPr>
              <w:t>厂界外</w:t>
            </w:r>
            <w:r>
              <w:rPr>
                <w:color w:val="auto"/>
                <w:highlight w:val="none"/>
              </w:rPr>
              <w:t>50</w:t>
            </w:r>
            <w:r>
              <w:rPr>
                <w:rFonts w:hint="eastAsia"/>
                <w:color w:val="auto"/>
                <w:highlight w:val="none"/>
              </w:rPr>
              <w:t>m范围内无声环境保护目标，区域声环境质量主要受所处</w:t>
            </w:r>
            <w:r>
              <w:rPr>
                <w:rFonts w:hint="eastAsia"/>
                <w:color w:val="auto"/>
                <w:highlight w:val="none"/>
                <w:lang w:val="en-US" w:eastAsia="zh-CN"/>
              </w:rPr>
              <w:t>易门产业园区大椿树片区</w:t>
            </w:r>
            <w:r>
              <w:rPr>
                <w:rFonts w:hint="eastAsia"/>
                <w:color w:val="auto"/>
                <w:highlight w:val="none"/>
              </w:rPr>
              <w:t>内其他企业运营以及园区道路来往机动车噪声的影响，目前项目所处区域声环境质量一般。</w:t>
            </w:r>
          </w:p>
          <w:p>
            <w:pPr>
              <w:bidi w:val="0"/>
              <w:rPr>
                <w:rFonts w:hint="eastAsia"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（四）生态环境</w:t>
            </w:r>
          </w:p>
          <w:p>
            <w:pPr>
              <w:bidi w:val="0"/>
              <w:rPr>
                <w:rFonts w:hint="default"/>
                <w:color w:val="auto"/>
                <w:highlight w:val="none"/>
                <w:lang w:val="en-US" w:eastAsia="zh-CN"/>
              </w:rPr>
            </w:pPr>
            <w:r>
              <w:rPr>
                <w:rFonts w:hint="default"/>
                <w:color w:val="auto"/>
                <w:highlight w:val="none"/>
                <w:lang w:val="en-US" w:eastAsia="zh-CN"/>
              </w:rPr>
              <w:t>本项目位于</w:t>
            </w:r>
            <w:r>
              <w:rPr>
                <w:rFonts w:hint="eastAsia"/>
                <w:color w:val="auto"/>
                <w:highlight w:val="none"/>
                <w:lang w:val="en-US" w:eastAsia="zh-CN"/>
              </w:rPr>
              <w:t>云南易门产业园区大椿树片区</w:t>
            </w:r>
            <w:r>
              <w:rPr>
                <w:rFonts w:hint="default"/>
                <w:color w:val="auto"/>
                <w:highlight w:val="none"/>
                <w:lang w:val="en-US" w:eastAsia="zh-CN"/>
              </w:rPr>
              <w:t>，</w:t>
            </w:r>
            <w:r>
              <w:rPr>
                <w:rFonts w:hint="eastAsia"/>
                <w:color w:val="auto"/>
                <w:highlight w:val="none"/>
                <w:lang w:val="en-US" w:eastAsia="zh-CN"/>
              </w:rPr>
              <w:t>本次项目改建仅在易门铜业有限公司既有厂区范围内进行改造，不新增占地。</w:t>
            </w:r>
            <w:r>
              <w:rPr>
                <w:color w:val="auto"/>
                <w:szCs w:val="21"/>
                <w:highlight w:val="none"/>
              </w:rPr>
              <w:t>项目所在地周围主要为工业企业、工业园区规划建设用地、自然山体等，</w:t>
            </w:r>
            <w:r>
              <w:rPr>
                <w:rFonts w:hint="default"/>
                <w:color w:val="auto"/>
                <w:highlight w:val="none"/>
                <w:lang w:val="en-US" w:eastAsia="zh-CN"/>
              </w:rPr>
              <w:t>项目区内人类活动较多，植被单一，</w:t>
            </w:r>
            <w:r>
              <w:rPr>
                <w:rFonts w:hint="default"/>
                <w:color w:val="auto"/>
                <w:highlight w:val="none"/>
              </w:rPr>
              <w:t>隐蔽程度低</w:t>
            </w:r>
            <w:r>
              <w:rPr>
                <w:rFonts w:hint="eastAsia"/>
                <w:color w:val="auto"/>
                <w:highlight w:val="none"/>
                <w:lang w:eastAsia="zh-CN"/>
              </w:rPr>
              <w:t>，</w:t>
            </w:r>
            <w:r>
              <w:rPr>
                <w:rFonts w:hint="default"/>
                <w:color w:val="auto"/>
                <w:highlight w:val="none"/>
              </w:rPr>
              <w:t>因此野生动物的适宜生境较少，动物资源受到限制，种类不多，且种群数量较小，以爬行类、鸟类和昆虫类等活动性较强的种类为主，都是常见的物种。项目所在区域无国家和省级重点保护的珍稀濒危保护物种和古树名木，未见有国家、省级、市级重点保护野生动物分布，未发现有狭域特有种分布，亦不涉及野生动物的迁徙通道</w:t>
            </w:r>
            <w:r>
              <w:rPr>
                <w:rFonts w:hint="eastAsia"/>
                <w:color w:val="auto"/>
                <w:highlight w:val="none"/>
                <w:lang w:eastAsia="zh-CN"/>
              </w:rPr>
              <w:t>，</w:t>
            </w:r>
            <w:r>
              <w:rPr>
                <w:rFonts w:hint="eastAsia"/>
                <w:color w:val="auto"/>
                <w:highlight w:val="none"/>
                <w:lang w:val="en-US" w:eastAsia="zh-CN"/>
              </w:rPr>
              <w:t>综合来看，</w:t>
            </w:r>
            <w:r>
              <w:rPr>
                <w:rFonts w:hint="default"/>
                <w:color w:val="auto"/>
                <w:highlight w:val="none"/>
              </w:rPr>
              <w:t>项目所在区域生物多样性一般</w:t>
            </w:r>
            <w:r>
              <w:rPr>
                <w:rFonts w:hint="default"/>
                <w:color w:val="auto"/>
                <w:highlight w:val="none"/>
                <w:lang w:val="en-US" w:eastAsia="zh-CN"/>
              </w:rPr>
              <w:t>。</w:t>
            </w:r>
          </w:p>
          <w:p>
            <w:pPr>
              <w:bidi w:val="0"/>
              <w:rPr>
                <w:rFonts w:hint="eastAsia"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（五）地下水、土壤环境</w:t>
            </w:r>
          </w:p>
          <w:p>
            <w:pPr>
              <w:bidi w:val="0"/>
              <w:rPr>
                <w:color w:val="auto"/>
                <w:highlight w:val="none"/>
              </w:rPr>
            </w:pPr>
            <w:r>
              <w:rPr>
                <w:rFonts w:hint="eastAsia"/>
                <w:color w:val="auto"/>
                <w:highlight w:val="none"/>
                <w:lang w:val="en-US" w:eastAsia="zh-CN"/>
              </w:rPr>
              <w:t>根据《建设项目环境影响报告表编制技术指南（污染影响类）》要求，“原则上不开展环境质量现状调查。建设项目存在土壤、地下水环境污染途径的，应结合污染源、保护目标分布情况开展现状调查以留作背景值”，本项目为易门铜业有限公司制氧系统技术改造节能项目，不涉及地下水及土壤污染情况，经现场勘查，项目厂区地面已全部硬化，生产车间及依托的危险废物贮存库已按照相关要求采取合理的防渗措施，正常运营情况下无地下水、土壤污染途径，故不开展地下水、土壤环境质量现状调查。</w:t>
            </w:r>
          </w:p>
          <w:p>
            <w:pPr>
              <w:bidi w:val="0"/>
              <w:rPr>
                <w:rFonts w:hint="eastAsia" w:eastAsia="宋体"/>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0" w:hRule="atLeast"/>
        </w:trPr>
        <w:tc>
          <w:tcPr>
            <w:tcW w:w="590" w:type="dxa"/>
            <w:vAlign w:val="center"/>
          </w:tcPr>
          <w:p>
            <w:pPr>
              <w:pStyle w:val="41"/>
              <w:keepNext w:val="0"/>
              <w:keepLines w:val="0"/>
              <w:pageBreakBefore w:val="0"/>
              <w:widowControl w:val="0"/>
              <w:kinsoku/>
              <w:wordWrap/>
              <w:overflowPunct/>
              <w:topLinePunct w:val="0"/>
              <w:autoSpaceDE/>
              <w:autoSpaceDN/>
              <w:bidi w:val="0"/>
              <w:adjustRightInd/>
              <w:snapToGrid/>
              <w:textAlignment w:val="auto"/>
              <w:rPr>
                <w:rFonts w:hint="default"/>
                <w:color w:val="auto"/>
                <w:highlight w:val="none"/>
                <w:lang w:eastAsia="zh-CN"/>
              </w:rPr>
            </w:pPr>
            <w:r>
              <w:rPr>
                <w:rFonts w:hint="default"/>
                <w:color w:val="auto"/>
                <w:highlight w:val="none"/>
                <w:lang w:eastAsia="zh-CN"/>
              </w:rPr>
              <w:t>环境保护目标</w:t>
            </w:r>
          </w:p>
        </w:tc>
        <w:tc>
          <w:tcPr>
            <w:tcW w:w="7938" w:type="dxa"/>
          </w:tcPr>
          <w:p>
            <w:pPr>
              <w:bidi w:val="0"/>
              <w:rPr>
                <w:rFonts w:hint="default"/>
                <w:color w:val="auto"/>
                <w:highlight w:val="none"/>
                <w:lang w:val="en-US" w:eastAsia="zh-CN"/>
              </w:rPr>
            </w:pPr>
            <w:r>
              <w:rPr>
                <w:rFonts w:hint="default"/>
                <w:color w:val="auto"/>
                <w:highlight w:val="none"/>
              </w:rPr>
              <w:t>根据《建设项目环境影响报告表编制技术指南》（污染影响类）</w:t>
            </w:r>
            <w:r>
              <w:rPr>
                <w:rFonts w:hint="eastAsia"/>
                <w:color w:val="auto"/>
                <w:highlight w:val="none"/>
                <w:lang w:eastAsia="zh-CN"/>
              </w:rPr>
              <w:t>，</w:t>
            </w:r>
            <w:r>
              <w:rPr>
                <w:rFonts w:hint="default"/>
                <w:color w:val="auto"/>
                <w:highlight w:val="none"/>
              </w:rPr>
              <w:t>项目</w:t>
            </w:r>
            <w:r>
              <w:rPr>
                <w:rFonts w:hint="eastAsia"/>
                <w:color w:val="auto"/>
                <w:highlight w:val="none"/>
                <w:lang w:val="en-US" w:eastAsia="zh-CN"/>
              </w:rPr>
              <w:t>环境</w:t>
            </w:r>
            <w:r>
              <w:rPr>
                <w:rFonts w:hint="default"/>
                <w:color w:val="auto"/>
                <w:highlight w:val="none"/>
              </w:rPr>
              <w:t>保护目标设置</w:t>
            </w:r>
            <w:r>
              <w:rPr>
                <w:rFonts w:hint="eastAsia"/>
                <w:color w:val="auto"/>
                <w:highlight w:val="none"/>
                <w:lang w:val="en-US" w:eastAsia="zh-CN"/>
              </w:rPr>
              <w:t>原则</w:t>
            </w:r>
            <w:r>
              <w:rPr>
                <w:rFonts w:hint="default"/>
                <w:color w:val="auto"/>
                <w:highlight w:val="none"/>
              </w:rPr>
              <w:t>如下：</w:t>
            </w:r>
          </w:p>
          <w:p>
            <w:pPr>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w:t>
            </w:r>
            <w:r>
              <w:rPr>
                <w:rFonts w:hint="default" w:ascii="Times New Roman" w:hAnsi="Times New Roman" w:cs="Times New Roman"/>
                <w:color w:val="auto"/>
                <w:highlight w:val="none"/>
                <w:lang w:val="en-US" w:eastAsia="zh-CN"/>
              </w:rPr>
              <w:t>大气环境保护目标：厂界外500米范围内的自然保护区、风景名胜区、居住区、文化区和农村地区中人群较集中的区域。</w:t>
            </w:r>
          </w:p>
          <w:p>
            <w:pPr>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w:t>
            </w:r>
            <w:r>
              <w:rPr>
                <w:rFonts w:hint="default" w:ascii="Times New Roman" w:hAnsi="Times New Roman" w:cs="Times New Roman"/>
                <w:color w:val="auto"/>
                <w:highlight w:val="none"/>
                <w:lang w:val="en-US" w:eastAsia="zh-CN"/>
              </w:rPr>
              <w:t>声环境保护目标：厂界外50m范围内的医院、学校、机关、科研单位、住宅、自然保护区等对噪声敏感的建筑物或区域。</w:t>
            </w:r>
          </w:p>
          <w:p>
            <w:pPr>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（3）</w:t>
            </w:r>
            <w:r>
              <w:rPr>
                <w:rFonts w:hint="default" w:ascii="Times New Roman" w:hAnsi="Times New Roman" w:cs="Times New Roman"/>
                <w:color w:val="auto"/>
                <w:highlight w:val="none"/>
                <w:lang w:val="en-US" w:eastAsia="zh-CN"/>
              </w:rPr>
              <w:t>地下水环境保护目标为：厂界外500m范围内的地下水集中式饮用水水源和热水、矿泉水、温泉等特殊地下水资源。</w:t>
            </w:r>
          </w:p>
          <w:p>
            <w:pPr>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（4）</w:t>
            </w:r>
            <w:r>
              <w:rPr>
                <w:rFonts w:hint="default" w:ascii="Times New Roman" w:hAnsi="Times New Roman" w:cs="Times New Roman"/>
                <w:color w:val="auto"/>
                <w:highlight w:val="none"/>
                <w:lang w:val="en-US" w:eastAsia="zh-CN"/>
              </w:rPr>
              <w:t>生态环境保护目标为：产业园区外建设项目新增建设用地的，明确新增用地范围内的生态环境保护目标。</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本项目环境保护目标</w:t>
            </w:r>
            <w:r>
              <w:rPr>
                <w:rFonts w:hint="eastAsia" w:cs="Times New Roman"/>
                <w:color w:val="auto"/>
                <w:highlight w:val="none"/>
                <w:lang w:val="en-US" w:eastAsia="zh-CN"/>
              </w:rPr>
              <w:t>详见下表</w:t>
            </w:r>
            <w:r>
              <w:rPr>
                <w:rFonts w:hint="default" w:ascii="Times New Roman" w:hAnsi="Times New Roman" w:cs="Times New Roman"/>
                <w:color w:val="auto"/>
                <w:highlight w:val="none"/>
                <w:lang w:val="en-US" w:eastAsia="zh-CN"/>
              </w:rPr>
              <w:t>。</w:t>
            </w:r>
          </w:p>
          <w:p>
            <w:pPr>
              <w:pStyle w:val="36"/>
              <w:bidi w:val="0"/>
              <w:rPr>
                <w:rFonts w:hint="default" w:ascii="Times New Roman" w:hAnsi="Times New Roman" w:eastAsia="黑体" w:cs="Times New Roman"/>
                <w:b w:val="0"/>
                <w:bCs w:val="0"/>
                <w:color w:val="auto"/>
                <w:szCs w:val="21"/>
                <w:highlight w:val="none"/>
                <w:lang w:val="en-US" w:eastAsia="zh-CN"/>
              </w:rPr>
            </w:pPr>
            <w:r>
              <w:rPr>
                <w:rFonts w:hint="default"/>
                <w:color w:val="auto"/>
                <w:highlight w:val="none"/>
                <w:lang w:val="en-US" w:eastAsia="zh-CN"/>
              </w:rPr>
              <w:t>表3-</w:t>
            </w:r>
            <w:r>
              <w:rPr>
                <w:rFonts w:hint="eastAsia"/>
                <w:color w:val="auto"/>
                <w:highlight w:val="none"/>
                <w:lang w:val="en-US" w:eastAsia="zh-CN"/>
              </w:rPr>
              <w:t>4</w:t>
            </w:r>
            <w:r>
              <w:rPr>
                <w:rFonts w:hint="default"/>
                <w:color w:val="auto"/>
                <w:highlight w:val="none"/>
                <w:lang w:val="en-US" w:eastAsia="zh-CN"/>
              </w:rPr>
              <w:t xml:space="preserve">  项目环境保护目标一览表</w:t>
            </w:r>
          </w:p>
          <w:tbl>
            <w:tblPr>
              <w:tblStyle w:val="24"/>
              <w:tblW w:w="765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5"/>
              <w:gridCol w:w="850"/>
              <w:gridCol w:w="1050"/>
              <w:gridCol w:w="687"/>
              <w:gridCol w:w="697"/>
              <w:gridCol w:w="1763"/>
              <w:gridCol w:w="19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l2br w:val="nil"/>
                    <w:tr2bl w:val="nil"/>
                  </w:tcBorders>
                  <w:vAlign w:val="center"/>
                </w:tcPr>
                <w:p>
                  <w:pPr>
                    <w:pStyle w:val="38"/>
                    <w:bidi w:val="0"/>
                    <w:rPr>
                      <w:rFonts w:hint="default"/>
                      <w:color w:val="auto"/>
                      <w:highlight w:val="none"/>
                      <w:lang w:val="en-US" w:eastAsia="zh-CN"/>
                    </w:rPr>
                  </w:pPr>
                  <w:r>
                    <w:rPr>
                      <w:rFonts w:hint="default"/>
                      <w:color w:val="auto"/>
                      <w:highlight w:val="none"/>
                      <w:lang w:val="en-US" w:eastAsia="zh-CN"/>
                    </w:rPr>
                    <w:t>项目</w:t>
                  </w:r>
                </w:p>
              </w:tc>
              <w:tc>
                <w:tcPr>
                  <w:tcW w:w="850" w:type="dxa"/>
                  <w:tcBorders>
                    <w:tl2br w:val="nil"/>
                    <w:tr2bl w:val="nil"/>
                  </w:tcBorders>
                  <w:vAlign w:val="center"/>
                </w:tcPr>
                <w:p>
                  <w:pPr>
                    <w:pStyle w:val="38"/>
                    <w:bidi w:val="0"/>
                    <w:rPr>
                      <w:rFonts w:hint="default"/>
                      <w:color w:val="auto"/>
                      <w:highlight w:val="none"/>
                      <w:lang w:val="en-US" w:eastAsia="zh-CN"/>
                    </w:rPr>
                  </w:pPr>
                  <w:r>
                    <w:rPr>
                      <w:rFonts w:hint="default"/>
                      <w:color w:val="auto"/>
                      <w:highlight w:val="none"/>
                      <w:lang w:val="en-US" w:eastAsia="zh-CN"/>
                    </w:rPr>
                    <w:t>方位</w:t>
                  </w:r>
                </w:p>
              </w:tc>
              <w:tc>
                <w:tcPr>
                  <w:tcW w:w="1050" w:type="dxa"/>
                  <w:tcBorders>
                    <w:tl2br w:val="nil"/>
                    <w:tr2bl w:val="nil"/>
                  </w:tcBorders>
                  <w:vAlign w:val="center"/>
                </w:tcPr>
                <w:p>
                  <w:pPr>
                    <w:pStyle w:val="38"/>
                    <w:bidi w:val="0"/>
                    <w:rPr>
                      <w:rFonts w:hint="default"/>
                      <w:color w:val="auto"/>
                      <w:highlight w:val="none"/>
                      <w:lang w:val="en-US" w:eastAsia="zh-CN"/>
                    </w:rPr>
                  </w:pPr>
                  <w:r>
                    <w:rPr>
                      <w:rFonts w:hint="default"/>
                      <w:color w:val="auto"/>
                      <w:highlight w:val="none"/>
                      <w:lang w:val="en-US" w:eastAsia="zh-CN"/>
                    </w:rPr>
                    <w:t>保护目标</w:t>
                  </w:r>
                </w:p>
              </w:tc>
              <w:tc>
                <w:tcPr>
                  <w:tcW w:w="687" w:type="dxa"/>
                  <w:tcBorders>
                    <w:tl2br w:val="nil"/>
                    <w:tr2bl w:val="nil"/>
                  </w:tcBorders>
                  <w:vAlign w:val="center"/>
                </w:tcPr>
                <w:p>
                  <w:pPr>
                    <w:pStyle w:val="38"/>
                    <w:bidi w:val="0"/>
                    <w:rPr>
                      <w:rFonts w:hint="default"/>
                      <w:color w:val="auto"/>
                      <w:highlight w:val="none"/>
                      <w:lang w:val="en-US" w:eastAsia="zh-CN"/>
                    </w:rPr>
                  </w:pPr>
                  <w:r>
                    <w:rPr>
                      <w:rFonts w:hint="default"/>
                      <w:color w:val="auto"/>
                      <w:highlight w:val="none"/>
                      <w:lang w:val="en-US" w:eastAsia="zh-CN"/>
                    </w:rPr>
                    <w:t>距离</w:t>
                  </w:r>
                </w:p>
              </w:tc>
              <w:tc>
                <w:tcPr>
                  <w:tcW w:w="697" w:type="dxa"/>
                  <w:tcBorders>
                    <w:tl2br w:val="nil"/>
                    <w:tr2bl w:val="nil"/>
                  </w:tcBorders>
                  <w:vAlign w:val="center"/>
                </w:tcPr>
                <w:p>
                  <w:pPr>
                    <w:pStyle w:val="38"/>
                    <w:bidi w:val="0"/>
                    <w:rPr>
                      <w:rFonts w:hint="default"/>
                      <w:color w:val="auto"/>
                      <w:highlight w:val="none"/>
                      <w:lang w:val="en-US" w:eastAsia="zh-CN"/>
                    </w:rPr>
                  </w:pPr>
                  <w:r>
                    <w:rPr>
                      <w:rFonts w:hint="eastAsia"/>
                      <w:color w:val="auto"/>
                      <w:highlight w:val="none"/>
                      <w:lang w:val="en-US" w:eastAsia="zh-CN"/>
                    </w:rPr>
                    <w:t>保护内容</w:t>
                  </w:r>
                </w:p>
              </w:tc>
              <w:tc>
                <w:tcPr>
                  <w:tcW w:w="1763" w:type="dxa"/>
                  <w:tcBorders>
                    <w:tl2br w:val="nil"/>
                    <w:tr2bl w:val="nil"/>
                  </w:tcBorders>
                  <w:vAlign w:val="center"/>
                </w:tcPr>
                <w:p>
                  <w:pPr>
                    <w:pStyle w:val="38"/>
                    <w:bidi w:val="0"/>
                    <w:rPr>
                      <w:rFonts w:hint="default"/>
                      <w:color w:val="auto"/>
                      <w:highlight w:val="none"/>
                      <w:lang w:val="en-US" w:eastAsia="zh-CN"/>
                    </w:rPr>
                  </w:pPr>
                  <w:r>
                    <w:rPr>
                      <w:rFonts w:hint="default"/>
                      <w:color w:val="auto"/>
                      <w:highlight w:val="none"/>
                      <w:lang w:val="en-US" w:eastAsia="zh-CN"/>
                    </w:rPr>
                    <w:t>坐标</w:t>
                  </w:r>
                </w:p>
              </w:tc>
              <w:tc>
                <w:tcPr>
                  <w:tcW w:w="1928" w:type="dxa"/>
                  <w:tcBorders>
                    <w:tl2br w:val="nil"/>
                    <w:tr2bl w:val="nil"/>
                  </w:tcBorders>
                  <w:vAlign w:val="center"/>
                </w:tcPr>
                <w:p>
                  <w:pPr>
                    <w:pStyle w:val="38"/>
                    <w:bidi w:val="0"/>
                    <w:rPr>
                      <w:rFonts w:hint="default"/>
                      <w:color w:val="auto"/>
                      <w:highlight w:val="none"/>
                      <w:lang w:val="en-US" w:eastAsia="zh-CN"/>
                    </w:rPr>
                  </w:pPr>
                  <w:r>
                    <w:rPr>
                      <w:rFonts w:hint="default"/>
                      <w:color w:val="auto"/>
                      <w:highlight w:val="none"/>
                      <w:lang w:val="en-US" w:eastAsia="zh-CN"/>
                    </w:rPr>
                    <w:t>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l2br w:val="nil"/>
                    <w:tr2bl w:val="nil"/>
                  </w:tcBorders>
                  <w:vAlign w:val="center"/>
                </w:tcPr>
                <w:p>
                  <w:pPr>
                    <w:pStyle w:val="38"/>
                    <w:bidi w:val="0"/>
                    <w:rPr>
                      <w:rFonts w:hint="default"/>
                      <w:color w:val="auto"/>
                      <w:highlight w:val="none"/>
                      <w:lang w:val="en-US" w:eastAsia="zh-CN"/>
                    </w:rPr>
                  </w:pPr>
                  <w:r>
                    <w:rPr>
                      <w:rFonts w:hint="eastAsia"/>
                      <w:color w:val="auto"/>
                      <w:highlight w:val="none"/>
                      <w:lang w:val="en-US" w:eastAsia="zh-CN"/>
                    </w:rPr>
                    <w:t>大气环境</w:t>
                  </w:r>
                </w:p>
              </w:tc>
              <w:tc>
                <w:tcPr>
                  <w:tcW w:w="6975" w:type="dxa"/>
                  <w:gridSpan w:val="6"/>
                  <w:tcBorders>
                    <w:tl2br w:val="nil"/>
                    <w:tr2bl w:val="nil"/>
                  </w:tcBorders>
                  <w:vAlign w:val="center"/>
                </w:tcPr>
                <w:p>
                  <w:pPr>
                    <w:pStyle w:val="38"/>
                    <w:bidi w:val="0"/>
                    <w:rPr>
                      <w:rFonts w:hint="default"/>
                      <w:color w:val="auto"/>
                      <w:highlight w:val="none"/>
                      <w:lang w:val="en-US" w:eastAsia="zh-CN"/>
                    </w:rPr>
                  </w:pPr>
                  <w:r>
                    <w:rPr>
                      <w:rFonts w:hint="eastAsia"/>
                      <w:color w:val="auto"/>
                      <w:highlight w:val="none"/>
                      <w:lang w:val="en-US" w:eastAsia="zh-CN"/>
                    </w:rPr>
                    <w:t>本项目周边500m范围内无大气环境保护目标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l2br w:val="nil"/>
                    <w:tr2bl w:val="nil"/>
                  </w:tcBorders>
                  <w:shd w:val="clear" w:color="auto" w:fill="auto"/>
                  <w:vAlign w:val="center"/>
                </w:tcPr>
                <w:p>
                  <w:pPr>
                    <w:pStyle w:val="38"/>
                    <w:bidi w:val="0"/>
                    <w:ind w:firstLine="0" w:firstLineChars="0"/>
                    <w:rPr>
                      <w:rFonts w:hint="default"/>
                      <w:color w:val="auto"/>
                      <w:highlight w:val="none"/>
                      <w:lang w:val="en-US" w:eastAsia="zh-CN"/>
                    </w:rPr>
                  </w:pPr>
                  <w:r>
                    <w:rPr>
                      <w:rFonts w:hint="eastAsia"/>
                      <w:color w:val="auto"/>
                      <w:highlight w:val="none"/>
                      <w:lang w:val="en-US" w:eastAsia="zh-CN"/>
                    </w:rPr>
                    <w:t>地表水环境</w:t>
                  </w:r>
                </w:p>
              </w:tc>
              <w:tc>
                <w:tcPr>
                  <w:tcW w:w="850" w:type="dxa"/>
                  <w:tcBorders>
                    <w:tl2br w:val="nil"/>
                    <w:tr2bl w:val="nil"/>
                  </w:tcBorders>
                  <w:shd w:val="clear" w:color="auto" w:fill="auto"/>
                  <w:vAlign w:val="center"/>
                </w:tcPr>
                <w:p>
                  <w:pPr>
                    <w:pStyle w:val="38"/>
                    <w:bidi w:val="0"/>
                    <w:ind w:firstLine="0" w:firstLineChars="0"/>
                    <w:rPr>
                      <w:rFonts w:hint="default"/>
                      <w:color w:val="auto"/>
                      <w:highlight w:val="none"/>
                      <w:lang w:val="en-US" w:eastAsia="zh-CN"/>
                    </w:rPr>
                  </w:pPr>
                  <w:r>
                    <w:rPr>
                      <w:rFonts w:hint="eastAsia"/>
                      <w:color w:val="auto"/>
                      <w:highlight w:val="none"/>
                      <w:lang w:val="en-US" w:eastAsia="zh-CN"/>
                    </w:rPr>
                    <w:t>东</w:t>
                  </w:r>
                  <w:r>
                    <w:rPr>
                      <w:rFonts w:hint="default"/>
                      <w:color w:val="auto"/>
                      <w:highlight w:val="none"/>
                      <w:lang w:val="en-US" w:eastAsia="zh-CN"/>
                    </w:rPr>
                    <w:t>南侧</w:t>
                  </w:r>
                </w:p>
              </w:tc>
              <w:tc>
                <w:tcPr>
                  <w:tcW w:w="1050" w:type="dxa"/>
                  <w:tcBorders>
                    <w:tl2br w:val="nil"/>
                    <w:tr2bl w:val="nil"/>
                  </w:tcBorders>
                  <w:shd w:val="clear" w:color="auto" w:fill="auto"/>
                  <w:vAlign w:val="center"/>
                </w:tcPr>
                <w:p>
                  <w:pPr>
                    <w:pStyle w:val="38"/>
                    <w:bidi w:val="0"/>
                    <w:ind w:firstLine="0" w:firstLineChars="0"/>
                    <w:rPr>
                      <w:rFonts w:hint="eastAsia"/>
                      <w:color w:val="auto"/>
                      <w:highlight w:val="none"/>
                      <w:lang w:val="en-US" w:eastAsia="zh-CN"/>
                    </w:rPr>
                  </w:pPr>
                  <w:r>
                    <w:rPr>
                      <w:rFonts w:hint="eastAsia"/>
                      <w:color w:val="auto"/>
                      <w:highlight w:val="none"/>
                      <w:lang w:val="en-US" w:eastAsia="zh-CN"/>
                    </w:rPr>
                    <w:t>双龙河</w:t>
                  </w:r>
                </w:p>
              </w:tc>
              <w:tc>
                <w:tcPr>
                  <w:tcW w:w="687" w:type="dxa"/>
                  <w:tcBorders>
                    <w:tl2br w:val="nil"/>
                    <w:tr2bl w:val="nil"/>
                  </w:tcBorders>
                  <w:shd w:val="clear" w:color="auto" w:fill="auto"/>
                  <w:vAlign w:val="center"/>
                </w:tcPr>
                <w:p>
                  <w:pPr>
                    <w:pStyle w:val="38"/>
                    <w:bidi w:val="0"/>
                    <w:ind w:firstLine="0" w:firstLineChars="0"/>
                    <w:rPr>
                      <w:rFonts w:hint="eastAsia"/>
                      <w:color w:val="auto"/>
                      <w:highlight w:val="none"/>
                      <w:lang w:val="en-US" w:eastAsia="zh-CN"/>
                    </w:rPr>
                  </w:pPr>
                  <w:r>
                    <w:rPr>
                      <w:rFonts w:hint="eastAsia"/>
                      <w:color w:val="auto"/>
                      <w:highlight w:val="none"/>
                      <w:lang w:val="en-US" w:eastAsia="zh-CN"/>
                    </w:rPr>
                    <w:t>2960</w:t>
                  </w:r>
                </w:p>
              </w:tc>
              <w:tc>
                <w:tcPr>
                  <w:tcW w:w="697" w:type="dxa"/>
                  <w:tcBorders>
                    <w:tl2br w:val="nil"/>
                    <w:tr2bl w:val="nil"/>
                  </w:tcBorders>
                  <w:shd w:val="clear" w:color="auto" w:fill="auto"/>
                  <w:vAlign w:val="center"/>
                </w:tcPr>
                <w:p>
                  <w:pPr>
                    <w:pStyle w:val="38"/>
                    <w:bidi w:val="0"/>
                    <w:ind w:firstLine="0" w:firstLineChars="0"/>
                    <w:rPr>
                      <w:rFonts w:hint="default"/>
                      <w:color w:val="auto"/>
                      <w:highlight w:val="none"/>
                      <w:lang w:val="en-US" w:eastAsia="zh-CN"/>
                    </w:rPr>
                  </w:pPr>
                  <w:r>
                    <w:rPr>
                      <w:rFonts w:hint="eastAsia"/>
                      <w:color w:val="auto"/>
                      <w:highlight w:val="none"/>
                      <w:lang w:val="en-US" w:eastAsia="zh-CN"/>
                    </w:rPr>
                    <w:t>河流</w:t>
                  </w:r>
                </w:p>
              </w:tc>
              <w:tc>
                <w:tcPr>
                  <w:tcW w:w="1763" w:type="dxa"/>
                  <w:tcBorders>
                    <w:tl2br w:val="nil"/>
                    <w:tr2bl w:val="nil"/>
                  </w:tcBorders>
                  <w:shd w:val="clear" w:color="auto" w:fill="auto"/>
                  <w:vAlign w:val="center"/>
                </w:tcPr>
                <w:p>
                  <w:pPr>
                    <w:pStyle w:val="38"/>
                    <w:bidi w:val="0"/>
                    <w:ind w:firstLine="0" w:firstLineChars="0"/>
                    <w:rPr>
                      <w:rFonts w:hint="default"/>
                      <w:color w:val="auto"/>
                      <w:highlight w:val="none"/>
                      <w:lang w:val="en-US" w:eastAsia="zh-CN"/>
                    </w:rPr>
                  </w:pPr>
                  <w:r>
                    <w:rPr>
                      <w:rFonts w:hint="eastAsia"/>
                      <w:color w:val="auto"/>
                      <w:highlight w:val="none"/>
                      <w:lang w:val="en-US" w:eastAsia="zh-CN"/>
                    </w:rPr>
                    <w:t>/</w:t>
                  </w:r>
                </w:p>
              </w:tc>
              <w:tc>
                <w:tcPr>
                  <w:tcW w:w="1928" w:type="dxa"/>
                  <w:tcBorders>
                    <w:tl2br w:val="nil"/>
                    <w:tr2bl w:val="nil"/>
                  </w:tcBorders>
                  <w:shd w:val="clear" w:color="auto" w:fill="auto"/>
                  <w:vAlign w:val="center"/>
                </w:tcPr>
                <w:p>
                  <w:pPr>
                    <w:pStyle w:val="38"/>
                    <w:bidi w:val="0"/>
                    <w:ind w:firstLine="0" w:firstLineChars="0"/>
                    <w:rPr>
                      <w:rFonts w:hint="default"/>
                      <w:color w:val="auto"/>
                      <w:highlight w:val="none"/>
                    </w:rPr>
                  </w:pPr>
                  <w:r>
                    <w:rPr>
                      <w:rFonts w:hint="default"/>
                      <w:color w:val="auto"/>
                      <w:highlight w:val="none"/>
                      <w:lang w:val="en-US" w:eastAsia="zh-CN"/>
                    </w:rPr>
                    <w:t>《地表水环境质量标准》（GB3838-2002）Ⅲ类标准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l2br w:val="nil"/>
                    <w:tr2bl w:val="nil"/>
                  </w:tcBorders>
                  <w:vAlign w:val="center"/>
                </w:tcPr>
                <w:p>
                  <w:pPr>
                    <w:pStyle w:val="38"/>
                    <w:bidi w:val="0"/>
                    <w:rPr>
                      <w:rFonts w:hint="default"/>
                      <w:color w:val="auto"/>
                      <w:highlight w:val="none"/>
                      <w:lang w:val="en-US" w:eastAsia="zh-CN"/>
                    </w:rPr>
                  </w:pPr>
                  <w:r>
                    <w:rPr>
                      <w:rFonts w:hint="eastAsia"/>
                      <w:color w:val="auto"/>
                      <w:highlight w:val="none"/>
                      <w:lang w:val="en-US" w:eastAsia="zh-CN"/>
                    </w:rPr>
                    <w:t>声环境</w:t>
                  </w:r>
                </w:p>
              </w:tc>
              <w:tc>
                <w:tcPr>
                  <w:tcW w:w="6975" w:type="dxa"/>
                  <w:gridSpan w:val="6"/>
                  <w:tcBorders>
                    <w:tl2br w:val="nil"/>
                    <w:tr2bl w:val="nil"/>
                  </w:tcBorders>
                  <w:vAlign w:val="center"/>
                </w:tcPr>
                <w:p>
                  <w:pPr>
                    <w:pStyle w:val="38"/>
                    <w:bidi w:val="0"/>
                    <w:rPr>
                      <w:rFonts w:hint="default"/>
                      <w:color w:val="auto"/>
                      <w:highlight w:val="none"/>
                      <w:lang w:val="en-US" w:eastAsia="zh-CN"/>
                    </w:rPr>
                  </w:pPr>
                  <w:r>
                    <w:rPr>
                      <w:rFonts w:hint="default"/>
                      <w:color w:val="auto"/>
                      <w:highlight w:val="none"/>
                      <w:lang w:val="en-US" w:eastAsia="zh-CN"/>
                    </w:rPr>
                    <w:t>本项目周边50m范围内无声环境保护目标</w:t>
                  </w:r>
                  <w:r>
                    <w:rPr>
                      <w:rFonts w:hint="eastAsia"/>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75" w:type="dxa"/>
                  <w:tcBorders>
                    <w:tl2br w:val="nil"/>
                    <w:tr2bl w:val="nil"/>
                  </w:tcBorders>
                  <w:vAlign w:val="center"/>
                </w:tcPr>
                <w:p>
                  <w:pPr>
                    <w:pStyle w:val="38"/>
                    <w:bidi w:val="0"/>
                    <w:rPr>
                      <w:rFonts w:hint="default"/>
                      <w:color w:val="auto"/>
                      <w:highlight w:val="none"/>
                      <w:lang w:val="en-US" w:eastAsia="zh-CN"/>
                    </w:rPr>
                  </w:pPr>
                  <w:r>
                    <w:rPr>
                      <w:rFonts w:hint="default"/>
                      <w:color w:val="auto"/>
                      <w:highlight w:val="none"/>
                      <w:lang w:val="en-US" w:eastAsia="zh-CN"/>
                    </w:rPr>
                    <w:t>地</w:t>
                  </w:r>
                  <w:r>
                    <w:rPr>
                      <w:rFonts w:hint="eastAsia"/>
                      <w:color w:val="auto"/>
                      <w:highlight w:val="none"/>
                      <w:lang w:val="en-US" w:eastAsia="zh-CN"/>
                    </w:rPr>
                    <w:t>下</w:t>
                  </w:r>
                  <w:r>
                    <w:rPr>
                      <w:rFonts w:hint="default"/>
                      <w:color w:val="auto"/>
                      <w:highlight w:val="none"/>
                      <w:lang w:val="en-US" w:eastAsia="zh-CN"/>
                    </w:rPr>
                    <w:t>水</w:t>
                  </w:r>
                </w:p>
              </w:tc>
              <w:tc>
                <w:tcPr>
                  <w:tcW w:w="6975" w:type="dxa"/>
                  <w:gridSpan w:val="6"/>
                  <w:tcBorders>
                    <w:tl2br w:val="nil"/>
                    <w:tr2bl w:val="nil"/>
                  </w:tcBorders>
                  <w:vAlign w:val="center"/>
                </w:tcPr>
                <w:p>
                  <w:pPr>
                    <w:pStyle w:val="38"/>
                    <w:bidi w:val="0"/>
                    <w:rPr>
                      <w:rFonts w:hint="default"/>
                      <w:color w:val="auto"/>
                      <w:highlight w:val="none"/>
                    </w:rPr>
                  </w:pPr>
                  <w:r>
                    <w:rPr>
                      <w:rFonts w:hint="default"/>
                      <w:color w:val="auto"/>
                      <w:highlight w:val="none"/>
                      <w:lang w:val="en-US" w:eastAsia="zh-CN"/>
                    </w:rPr>
                    <w:t>厂界外500米范围内无地下水集中式饮用水水源和热水、矿泉水、温泉等特殊地下水资源</w:t>
                  </w:r>
                  <w:r>
                    <w:rPr>
                      <w:rFonts w:hint="eastAsia"/>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75" w:type="dxa"/>
                  <w:tcBorders>
                    <w:tl2br w:val="nil"/>
                    <w:tr2bl w:val="nil"/>
                  </w:tcBorders>
                  <w:vAlign w:val="center"/>
                </w:tcPr>
                <w:p>
                  <w:pPr>
                    <w:pStyle w:val="38"/>
                    <w:bidi w:val="0"/>
                    <w:rPr>
                      <w:rFonts w:hint="default"/>
                      <w:color w:val="auto"/>
                      <w:highlight w:val="none"/>
                      <w:lang w:val="en-US" w:eastAsia="zh-CN"/>
                    </w:rPr>
                  </w:pPr>
                  <w:r>
                    <w:rPr>
                      <w:rFonts w:hint="default"/>
                      <w:color w:val="auto"/>
                      <w:highlight w:val="none"/>
                      <w:lang w:val="en-US" w:eastAsia="zh-CN"/>
                    </w:rPr>
                    <w:t>生态环境</w:t>
                  </w:r>
                </w:p>
              </w:tc>
              <w:tc>
                <w:tcPr>
                  <w:tcW w:w="6975" w:type="dxa"/>
                  <w:gridSpan w:val="6"/>
                  <w:tcBorders>
                    <w:tl2br w:val="nil"/>
                    <w:tr2bl w:val="nil"/>
                  </w:tcBorders>
                  <w:vAlign w:val="center"/>
                </w:tcPr>
                <w:p>
                  <w:pPr>
                    <w:pStyle w:val="38"/>
                    <w:bidi w:val="0"/>
                    <w:rPr>
                      <w:rFonts w:hint="default"/>
                      <w:color w:val="auto"/>
                      <w:highlight w:val="none"/>
                    </w:rPr>
                  </w:pPr>
                  <w:r>
                    <w:rPr>
                      <w:rFonts w:hint="default"/>
                      <w:color w:val="auto"/>
                      <w:highlight w:val="none"/>
                      <w:lang w:val="en-US" w:eastAsia="zh-CN"/>
                    </w:rPr>
                    <w:t>本项目位于</w:t>
                  </w:r>
                  <w:r>
                    <w:rPr>
                      <w:rFonts w:hint="eastAsia"/>
                      <w:color w:val="auto"/>
                      <w:highlight w:val="none"/>
                      <w:lang w:val="en-US" w:eastAsia="zh-CN"/>
                    </w:rPr>
                    <w:t>云南易门产业园区大椿树片区</w:t>
                  </w:r>
                  <w:r>
                    <w:rPr>
                      <w:rFonts w:hint="default"/>
                      <w:color w:val="auto"/>
                      <w:highlight w:val="none"/>
                      <w:lang w:val="en-US" w:eastAsia="zh-CN"/>
                    </w:rPr>
                    <w:t>，</w:t>
                  </w:r>
                  <w:r>
                    <w:rPr>
                      <w:rFonts w:hint="eastAsia"/>
                      <w:color w:val="auto"/>
                      <w:highlight w:val="none"/>
                      <w:lang w:val="en-US" w:eastAsia="zh-CN"/>
                    </w:rPr>
                    <w:t>本次项目改建仅在易门铜业有限公司既有厂区范围内进行改造，不新增占地。</w:t>
                  </w:r>
                </w:p>
              </w:tc>
            </w:tr>
          </w:tbl>
          <w:p>
            <w:pPr>
              <w:numPr>
                <w:ilvl w:val="0"/>
                <w:numId w:val="0"/>
              </w:numPr>
              <w:spacing w:line="240" w:lineRule="auto"/>
              <w:ind w:firstLine="0" w:firstLineChars="0"/>
              <w:jc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p>
            <w:pPr>
              <w:numPr>
                <w:ilvl w:val="0"/>
                <w:numId w:val="0"/>
              </w:numPr>
              <w:spacing w:line="240" w:lineRule="auto"/>
              <w:ind w:firstLine="0" w:firstLineChars="0"/>
              <w:jc w:val="both"/>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8" w:hRule="atLeast"/>
        </w:trPr>
        <w:tc>
          <w:tcPr>
            <w:tcW w:w="590" w:type="dxa"/>
            <w:vAlign w:val="center"/>
          </w:tcPr>
          <w:p>
            <w:pPr>
              <w:pStyle w:val="41"/>
              <w:bidi w:val="0"/>
              <w:rPr>
                <w:rFonts w:hint="default"/>
                <w:color w:val="auto"/>
                <w:highlight w:val="none"/>
                <w:lang w:val="en-US" w:eastAsia="zh-CN"/>
              </w:rPr>
            </w:pPr>
            <w:r>
              <w:rPr>
                <w:rFonts w:hint="default"/>
                <w:color w:val="auto"/>
                <w:highlight w:val="none"/>
                <w:lang w:eastAsia="zh-CN"/>
              </w:rPr>
              <w:t>污染物排放控制标</w:t>
            </w:r>
            <w:r>
              <w:rPr>
                <w:rFonts w:hint="default"/>
                <w:color w:val="auto"/>
                <w:highlight w:val="none"/>
                <w:lang w:val="en-US" w:eastAsia="zh-CN"/>
              </w:rPr>
              <w:t>准</w:t>
            </w:r>
          </w:p>
        </w:tc>
        <w:tc>
          <w:tcPr>
            <w:tcW w:w="7938" w:type="dxa"/>
          </w:tcPr>
          <w:p>
            <w:pPr>
              <w:bidi w:val="0"/>
              <w:rPr>
                <w:rFonts w:hint="default"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（一）施工期污染物排放控制标准</w:t>
            </w:r>
          </w:p>
          <w:p>
            <w:pPr>
              <w:bidi w:val="0"/>
              <w:rPr>
                <w:rFonts w:hint="eastAsia"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1、废气</w:t>
            </w:r>
          </w:p>
          <w:p>
            <w:pPr>
              <w:bidi w:val="0"/>
              <w:rPr>
                <w:color w:val="auto"/>
                <w:highlight w:val="none"/>
              </w:rPr>
            </w:pPr>
            <w:r>
              <w:rPr>
                <w:color w:val="auto"/>
                <w:highlight w:val="none"/>
              </w:rPr>
              <w:t>施工期无组织粉尘排放执行《大气污染物综合排放标准》（GB16297-1996）表2中标准限值要求，即周界外颗粒物浓度≤1.0mg/m</w:t>
            </w:r>
            <w:r>
              <w:rPr>
                <w:color w:val="auto"/>
                <w:highlight w:val="none"/>
                <w:vertAlign w:val="superscript"/>
              </w:rPr>
              <w:t>3</w:t>
            </w:r>
            <w:r>
              <w:rPr>
                <w:color w:val="auto"/>
                <w:highlight w:val="none"/>
              </w:rPr>
              <w:t>。</w:t>
            </w:r>
          </w:p>
          <w:p>
            <w:pPr>
              <w:bidi w:val="0"/>
              <w:rPr>
                <w:rFonts w:hint="default"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2、废水</w:t>
            </w:r>
          </w:p>
          <w:p>
            <w:pPr>
              <w:bidi w:val="0"/>
              <w:rPr>
                <w:rFonts w:hint="default"/>
                <w:color w:val="auto"/>
                <w:highlight w:val="none"/>
                <w:lang w:val="en-US" w:eastAsia="zh-CN"/>
              </w:rPr>
            </w:pPr>
            <w:r>
              <w:rPr>
                <w:rFonts w:hint="eastAsia"/>
                <w:color w:val="auto"/>
                <w:highlight w:val="none"/>
                <w:lang w:val="en-US" w:eastAsia="zh-CN"/>
              </w:rPr>
              <w:t>项目施工期无废水外排，因此不设废水排放标准。</w:t>
            </w:r>
          </w:p>
          <w:p>
            <w:pPr>
              <w:bidi w:val="0"/>
              <w:rPr>
                <w:rFonts w:hint="eastAsia"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3、噪声</w:t>
            </w:r>
          </w:p>
          <w:p>
            <w:pPr>
              <w:bidi w:val="0"/>
              <w:rPr>
                <w:rFonts w:hint="default" w:ascii="Times New Roman" w:hAnsi="Times New Roman" w:cs="Times New Roman"/>
                <w:color w:val="auto"/>
                <w:highlight w:val="none"/>
              </w:rPr>
            </w:pPr>
            <w:r>
              <w:rPr>
                <w:rFonts w:hint="default"/>
                <w:color w:val="auto"/>
                <w:highlight w:val="none"/>
              </w:rPr>
              <w:t>施工期噪声排放执行《建筑施工噪声排放标准》（GB12523-20</w:t>
            </w:r>
            <w:r>
              <w:rPr>
                <w:rFonts w:hint="eastAsia"/>
                <w:color w:val="auto"/>
                <w:highlight w:val="none"/>
                <w:lang w:val="en-US" w:eastAsia="zh-CN"/>
              </w:rPr>
              <w:t>25</w:t>
            </w:r>
            <w:r>
              <w:rPr>
                <w:rFonts w:hint="default"/>
                <w:color w:val="auto"/>
                <w:highlight w:val="none"/>
              </w:rPr>
              <w:t>），标准值见下表：</w:t>
            </w:r>
          </w:p>
          <w:p>
            <w:pPr>
              <w:pStyle w:val="36"/>
              <w:bidi w:val="0"/>
              <w:rPr>
                <w:rFonts w:hint="default" w:ascii="Times New Roman" w:hAnsi="Times New Roman" w:eastAsia="黑体" w:cs="Times New Roman"/>
                <w:b w:val="0"/>
                <w:bCs w:val="0"/>
                <w:color w:val="auto"/>
                <w:szCs w:val="21"/>
                <w:highlight w:val="none"/>
                <w:lang w:val="en-US" w:eastAsia="zh-CN"/>
              </w:rPr>
            </w:pPr>
            <w:r>
              <w:rPr>
                <w:rFonts w:hint="default"/>
                <w:color w:val="auto"/>
                <w:highlight w:val="none"/>
                <w:lang w:val="en-US" w:eastAsia="zh-CN"/>
              </w:rPr>
              <w:t>表3-</w:t>
            </w:r>
            <w:r>
              <w:rPr>
                <w:rFonts w:hint="eastAsia"/>
                <w:color w:val="auto"/>
                <w:highlight w:val="none"/>
                <w:lang w:val="en-US" w:eastAsia="zh-CN"/>
              </w:rPr>
              <w:t>5</w:t>
            </w:r>
            <w:r>
              <w:rPr>
                <w:rFonts w:hint="default"/>
                <w:color w:val="auto"/>
                <w:highlight w:val="none"/>
                <w:lang w:val="en-US" w:eastAsia="zh-CN"/>
              </w:rPr>
              <w:t xml:space="preserve">  建筑施工场界噪声排放限值   单位：dB（A）</w:t>
            </w:r>
          </w:p>
          <w:tbl>
            <w:tblPr>
              <w:tblStyle w:val="23"/>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001"/>
              <w:gridCol w:w="372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261" w:type="dxa"/>
                  <w:tcBorders>
                    <w:tl2br w:val="nil"/>
                    <w:tr2bl w:val="nil"/>
                  </w:tcBorders>
                  <w:noWrap w:val="0"/>
                  <w:vAlign w:val="center"/>
                </w:tcPr>
                <w:p>
                  <w:pPr>
                    <w:pStyle w:val="38"/>
                    <w:bidi w:val="0"/>
                    <w:rPr>
                      <w:rFonts w:hint="default"/>
                      <w:color w:val="auto"/>
                      <w:highlight w:val="none"/>
                      <w:lang w:val="en-US" w:eastAsia="zh-CN"/>
                    </w:rPr>
                  </w:pPr>
                  <w:r>
                    <w:rPr>
                      <w:rFonts w:hint="eastAsia"/>
                      <w:color w:val="auto"/>
                      <w:highlight w:val="none"/>
                      <w:lang w:val="en-US" w:eastAsia="zh-CN"/>
                    </w:rPr>
                    <w:t>昼间</w:t>
                  </w:r>
                </w:p>
              </w:tc>
              <w:tc>
                <w:tcPr>
                  <w:tcW w:w="3961" w:type="dxa"/>
                  <w:tcBorders>
                    <w:tl2br w:val="nil"/>
                    <w:tr2bl w:val="nil"/>
                  </w:tcBorders>
                  <w:noWrap w:val="0"/>
                  <w:vAlign w:val="center"/>
                </w:tcPr>
                <w:p>
                  <w:pPr>
                    <w:pStyle w:val="38"/>
                    <w:bidi w:val="0"/>
                    <w:rPr>
                      <w:rFonts w:hint="default"/>
                      <w:color w:val="auto"/>
                      <w:highlight w:val="none"/>
                      <w:lang w:val="en-US" w:eastAsia="zh-CN"/>
                    </w:rPr>
                  </w:pPr>
                  <w:r>
                    <w:rPr>
                      <w:rFonts w:hint="eastAsia"/>
                      <w:color w:val="auto"/>
                      <w:highlight w:val="none"/>
                      <w:lang w:val="en-US" w:eastAsia="zh-CN"/>
                    </w:rPr>
                    <w:t>夜间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261" w:type="dxa"/>
                  <w:tcBorders>
                    <w:tl2br w:val="nil"/>
                    <w:tr2bl w:val="nil"/>
                  </w:tcBorders>
                  <w:noWrap w:val="0"/>
                  <w:vAlign w:val="center"/>
                </w:tcPr>
                <w:p>
                  <w:pPr>
                    <w:pStyle w:val="38"/>
                    <w:bidi w:val="0"/>
                    <w:rPr>
                      <w:rFonts w:hint="default"/>
                      <w:color w:val="auto"/>
                      <w:highlight w:val="none"/>
                      <w:lang w:val="en-US" w:eastAsia="zh-CN"/>
                    </w:rPr>
                  </w:pPr>
                  <w:r>
                    <w:rPr>
                      <w:rFonts w:hint="eastAsia"/>
                      <w:color w:val="auto"/>
                      <w:highlight w:val="none"/>
                      <w:lang w:val="en-US" w:eastAsia="zh-CN"/>
                    </w:rPr>
                    <w:t>70</w:t>
                  </w:r>
                </w:p>
              </w:tc>
              <w:tc>
                <w:tcPr>
                  <w:tcW w:w="3961" w:type="dxa"/>
                  <w:tcBorders>
                    <w:tl2br w:val="nil"/>
                    <w:tr2bl w:val="nil"/>
                  </w:tcBorders>
                  <w:noWrap w:val="0"/>
                  <w:vAlign w:val="center"/>
                </w:tcPr>
                <w:p>
                  <w:pPr>
                    <w:pStyle w:val="38"/>
                    <w:bidi w:val="0"/>
                    <w:rPr>
                      <w:rFonts w:hint="default"/>
                      <w:color w:val="auto"/>
                      <w:highlight w:val="none"/>
                      <w:lang w:val="en-US" w:eastAsia="zh-CN"/>
                    </w:rPr>
                  </w:pPr>
                  <w:r>
                    <w:rPr>
                      <w:rFonts w:hint="eastAsia"/>
                      <w:color w:val="auto"/>
                      <w:highlight w:val="none"/>
                      <w:lang w:val="en-US" w:eastAsia="zh-CN"/>
                    </w:rPr>
                    <w:t>55</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auto"/>
                <w:highlight w:val="none"/>
                <w:lang w:val="en-US" w:eastAsia="zh-CN"/>
              </w:rPr>
            </w:pPr>
            <w:r>
              <w:rPr>
                <w:rFonts w:hint="eastAsia" w:ascii="黑体" w:hAnsi="黑体" w:eastAsia="黑体" w:cs="黑体"/>
                <w:color w:val="auto"/>
                <w:highlight w:val="none"/>
                <w:lang w:val="en-US" w:eastAsia="zh-CN"/>
              </w:rPr>
              <w:t>（二）运营期污染物排放控制标准</w:t>
            </w:r>
          </w:p>
          <w:p>
            <w:pPr>
              <w:bidi w:val="0"/>
              <w:rPr>
                <w:rFonts w:hint="default"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1、废气</w:t>
            </w:r>
          </w:p>
          <w:p>
            <w:pPr>
              <w:bidi w:val="0"/>
              <w:rPr>
                <w:rFonts w:hint="eastAsia"/>
                <w:color w:val="auto"/>
                <w:highlight w:val="none"/>
                <w:lang w:val="en-US" w:eastAsia="zh-CN"/>
              </w:rPr>
            </w:pPr>
            <w:r>
              <w:rPr>
                <w:rFonts w:hint="eastAsia"/>
                <w:color w:val="auto"/>
                <w:highlight w:val="none"/>
                <w:lang w:val="en-US" w:eastAsia="zh-CN"/>
              </w:rPr>
              <w:t>本项目运营过程中产生的</w:t>
            </w:r>
            <w:r>
              <w:rPr>
                <w:rFonts w:hint="default"/>
                <w:color w:val="auto"/>
                <w:highlight w:val="none"/>
              </w:rPr>
              <w:t>废气主要为污氮（主要成分为氮气，含少量氧气、二氧化碳等），为空气组分，</w:t>
            </w:r>
            <w:r>
              <w:rPr>
                <w:rFonts w:hint="eastAsia"/>
                <w:color w:val="auto"/>
                <w:highlight w:val="none"/>
                <w:lang w:val="en-US" w:eastAsia="zh-CN"/>
              </w:rPr>
              <w:t>不属于大气污染物，</w:t>
            </w:r>
            <w:r>
              <w:rPr>
                <w:rFonts w:hint="default"/>
                <w:color w:val="auto"/>
                <w:highlight w:val="none"/>
              </w:rPr>
              <w:t>不含其他有毒有害</w:t>
            </w:r>
            <w:r>
              <w:rPr>
                <w:rFonts w:hint="eastAsia"/>
                <w:color w:val="auto"/>
                <w:highlight w:val="none"/>
                <w:lang w:val="en-US" w:eastAsia="zh-CN"/>
              </w:rPr>
              <w:t>物质</w:t>
            </w:r>
            <w:r>
              <w:rPr>
                <w:rFonts w:hint="default"/>
                <w:color w:val="auto"/>
                <w:highlight w:val="none"/>
              </w:rPr>
              <w:t>，</w:t>
            </w:r>
            <w:r>
              <w:rPr>
                <w:rFonts w:hint="eastAsia"/>
                <w:color w:val="auto"/>
                <w:highlight w:val="none"/>
                <w:lang w:val="en-US" w:eastAsia="zh-CN"/>
              </w:rPr>
              <w:t>直接</w:t>
            </w:r>
            <w:r>
              <w:rPr>
                <w:rFonts w:hint="default"/>
                <w:color w:val="auto"/>
                <w:highlight w:val="none"/>
              </w:rPr>
              <w:t>排放至大气</w:t>
            </w:r>
            <w:r>
              <w:rPr>
                <w:rFonts w:hint="eastAsia"/>
                <w:color w:val="auto"/>
                <w:highlight w:val="none"/>
                <w:lang w:val="en-US" w:eastAsia="zh-CN"/>
              </w:rPr>
              <w:t>环境</w:t>
            </w:r>
            <w:r>
              <w:rPr>
                <w:rFonts w:hint="default"/>
                <w:color w:val="auto"/>
                <w:highlight w:val="none"/>
              </w:rPr>
              <w:t>，对</w:t>
            </w:r>
            <w:r>
              <w:rPr>
                <w:rFonts w:hint="eastAsia"/>
                <w:color w:val="auto"/>
                <w:highlight w:val="none"/>
                <w:lang w:val="en-US" w:eastAsia="zh-CN"/>
              </w:rPr>
              <w:t>周边</w:t>
            </w:r>
            <w:r>
              <w:rPr>
                <w:rFonts w:hint="default"/>
                <w:color w:val="auto"/>
                <w:highlight w:val="none"/>
              </w:rPr>
              <w:t>环境空气影响</w:t>
            </w:r>
            <w:r>
              <w:rPr>
                <w:rFonts w:hint="eastAsia"/>
                <w:color w:val="auto"/>
                <w:highlight w:val="none"/>
                <w:lang w:val="en-US" w:eastAsia="zh-CN"/>
              </w:rPr>
              <w:t>较小，因此不设废气污染物排放标准</w:t>
            </w:r>
            <w:r>
              <w:rPr>
                <w:rFonts w:hint="default"/>
                <w:color w:val="auto"/>
                <w:highlight w:val="none"/>
              </w:rPr>
              <w:t>。</w:t>
            </w:r>
          </w:p>
          <w:p>
            <w:pPr>
              <w:bidi w:val="0"/>
              <w:rPr>
                <w:rFonts w:hint="eastAsia"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2、废水</w:t>
            </w:r>
          </w:p>
          <w:p>
            <w:pPr>
              <w:bidi w:val="0"/>
              <w:rPr>
                <w:rFonts w:hint="default"/>
                <w:color w:val="auto"/>
                <w:highlight w:val="none"/>
                <w:lang w:val="en-US"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lang w:val="en-US" w:eastAsia="zh-CN"/>
              </w:rPr>
              <w:t>生活污水</w:t>
            </w:r>
          </w:p>
          <w:p>
            <w:pPr>
              <w:bidi w:val="0"/>
              <w:rPr>
                <w:rFonts w:hint="eastAsia"/>
                <w:color w:val="auto"/>
                <w:highlight w:val="none"/>
              </w:rPr>
            </w:pPr>
            <w:r>
              <w:rPr>
                <w:rFonts w:hint="eastAsia"/>
                <w:color w:val="auto"/>
                <w:highlight w:val="none"/>
                <w:lang w:val="en-US" w:eastAsia="zh-CN"/>
              </w:rPr>
              <w:t>生活污水经收集后进入厂区生活污水处理站处理达到《城市污水再生利用 城市杂用水水质》（</w:t>
            </w:r>
            <w:r>
              <w:rPr>
                <w:color w:val="auto"/>
                <w:highlight w:val="none"/>
              </w:rPr>
              <w:t>GB/T18920-2020</w:t>
            </w:r>
            <w:r>
              <w:rPr>
                <w:rFonts w:hint="eastAsia"/>
                <w:color w:val="auto"/>
                <w:highlight w:val="none"/>
                <w:lang w:val="en-US" w:eastAsia="zh-CN"/>
              </w:rPr>
              <w:t>）表1中“城市绿化、道路清扫、消防、建筑施工”限值要求后回用于厂区绿化浇洒，不外排。</w:t>
            </w:r>
            <w:r>
              <w:rPr>
                <w:rFonts w:hint="default"/>
                <w:color w:val="auto"/>
                <w:highlight w:val="none"/>
              </w:rPr>
              <w:t>标准值见下表：</w:t>
            </w:r>
          </w:p>
          <w:p>
            <w:pPr>
              <w:pStyle w:val="35"/>
              <w:bidi w:val="0"/>
              <w:rPr>
                <w:rFonts w:hint="default"/>
                <w:color w:val="auto"/>
                <w:highlight w:val="none"/>
                <w:lang w:val="en-US"/>
              </w:rPr>
            </w:pPr>
            <w:r>
              <w:rPr>
                <w:rFonts w:hint="default"/>
                <w:color w:val="auto"/>
                <w:highlight w:val="none"/>
                <w:lang w:val="en-US" w:eastAsia="zh-CN"/>
              </w:rPr>
              <w:t>表3-</w:t>
            </w:r>
            <w:r>
              <w:rPr>
                <w:rFonts w:hint="eastAsia"/>
                <w:color w:val="auto"/>
                <w:highlight w:val="none"/>
                <w:lang w:val="en-US" w:eastAsia="zh-CN"/>
              </w:rPr>
              <w:t>6</w:t>
            </w:r>
            <w:r>
              <w:rPr>
                <w:rFonts w:hint="default"/>
                <w:color w:val="auto"/>
                <w:highlight w:val="none"/>
                <w:lang w:val="en-US" w:eastAsia="zh-CN"/>
              </w:rPr>
              <w:t xml:space="preserve">  </w:t>
            </w:r>
            <w:r>
              <w:rPr>
                <w:rFonts w:hint="eastAsia"/>
                <w:color w:val="auto"/>
                <w:highlight w:val="none"/>
                <w:lang w:val="en-US" w:eastAsia="zh-CN"/>
              </w:rPr>
              <w:t>城市杂用水水质基本控制项目及限值</w:t>
            </w:r>
          </w:p>
          <w:tbl>
            <w:tblPr>
              <w:tblStyle w:val="24"/>
              <w:tblW w:w="77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0"/>
              <w:gridCol w:w="2839"/>
              <w:gridCol w:w="37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tcBorders>
                    <w:tl2br w:val="nil"/>
                    <w:tr2bl w:val="nil"/>
                  </w:tcBorders>
                  <w:vAlign w:val="center"/>
                </w:tcPr>
                <w:p>
                  <w:pPr>
                    <w:pStyle w:val="34"/>
                    <w:bidi w:val="0"/>
                    <w:jc w:val="center"/>
                    <w:rPr>
                      <w:rFonts w:hint="eastAsia" w:eastAsia="宋体"/>
                      <w:color w:val="auto"/>
                      <w:highlight w:val="none"/>
                      <w:lang w:val="en-US" w:eastAsia="zh-CN"/>
                    </w:rPr>
                  </w:pPr>
                  <w:r>
                    <w:rPr>
                      <w:rFonts w:hint="eastAsia"/>
                      <w:color w:val="auto"/>
                      <w:highlight w:val="none"/>
                      <w:lang w:val="en-US" w:eastAsia="zh-CN"/>
                    </w:rPr>
                    <w:t>序号</w:t>
                  </w:r>
                </w:p>
              </w:tc>
              <w:tc>
                <w:tcPr>
                  <w:tcW w:w="2839" w:type="dxa"/>
                  <w:tcBorders>
                    <w:tl2br w:val="nil"/>
                    <w:tr2bl w:val="nil"/>
                  </w:tcBorders>
                  <w:vAlign w:val="center"/>
                </w:tcPr>
                <w:p>
                  <w:pPr>
                    <w:pStyle w:val="34"/>
                    <w:bidi w:val="0"/>
                    <w:jc w:val="center"/>
                    <w:rPr>
                      <w:rFonts w:hint="eastAsia" w:eastAsia="宋体"/>
                      <w:color w:val="auto"/>
                      <w:highlight w:val="none"/>
                      <w:lang w:val="en-US" w:eastAsia="zh-CN"/>
                    </w:rPr>
                  </w:pPr>
                  <w:r>
                    <w:rPr>
                      <w:rFonts w:hint="eastAsia"/>
                      <w:color w:val="auto"/>
                      <w:highlight w:val="none"/>
                      <w:lang w:val="en-US" w:eastAsia="zh-CN"/>
                    </w:rPr>
                    <w:t>项目</w:t>
                  </w:r>
                </w:p>
              </w:tc>
              <w:tc>
                <w:tcPr>
                  <w:tcW w:w="3723" w:type="dxa"/>
                  <w:tcBorders>
                    <w:tl2br w:val="nil"/>
                    <w:tr2bl w:val="nil"/>
                  </w:tcBorders>
                  <w:vAlign w:val="center"/>
                </w:tcPr>
                <w:p>
                  <w:pPr>
                    <w:pStyle w:val="34"/>
                    <w:bidi w:val="0"/>
                    <w:jc w:val="center"/>
                    <w:rPr>
                      <w:rFonts w:hint="eastAsia"/>
                      <w:color w:val="auto"/>
                      <w:highlight w:val="none"/>
                    </w:rPr>
                  </w:pPr>
                  <w:r>
                    <w:rPr>
                      <w:rFonts w:hint="eastAsia"/>
                      <w:color w:val="auto"/>
                      <w:highlight w:val="none"/>
                      <w:lang w:val="en-US" w:eastAsia="zh-CN"/>
                    </w:rPr>
                    <w:t>城市绿化、道路清扫、消防、建筑施工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tcBorders>
                    <w:tl2br w:val="nil"/>
                    <w:tr2bl w:val="nil"/>
                  </w:tcBorders>
                  <w:vAlign w:val="center"/>
                </w:tcPr>
                <w:p>
                  <w:pPr>
                    <w:pStyle w:val="34"/>
                    <w:bidi w:val="0"/>
                    <w:jc w:val="center"/>
                    <w:rPr>
                      <w:rFonts w:hint="eastAsia" w:eastAsia="宋体"/>
                      <w:color w:val="auto"/>
                      <w:highlight w:val="none"/>
                      <w:lang w:val="en-US" w:eastAsia="zh-CN"/>
                    </w:rPr>
                  </w:pPr>
                  <w:r>
                    <w:rPr>
                      <w:rFonts w:hint="eastAsia"/>
                      <w:color w:val="auto"/>
                      <w:highlight w:val="none"/>
                      <w:lang w:val="en-US" w:eastAsia="zh-CN"/>
                    </w:rPr>
                    <w:t>1</w:t>
                  </w:r>
                </w:p>
              </w:tc>
              <w:tc>
                <w:tcPr>
                  <w:tcW w:w="2839" w:type="dxa"/>
                  <w:tcBorders>
                    <w:tl2br w:val="nil"/>
                    <w:tr2bl w:val="nil"/>
                  </w:tcBorders>
                  <w:vAlign w:val="center"/>
                </w:tcPr>
                <w:p>
                  <w:pPr>
                    <w:pStyle w:val="34"/>
                    <w:bidi w:val="0"/>
                    <w:jc w:val="center"/>
                    <w:rPr>
                      <w:rFonts w:hint="eastAsia"/>
                      <w:color w:val="auto"/>
                      <w:highlight w:val="none"/>
                    </w:rPr>
                  </w:pPr>
                  <w:r>
                    <w:rPr>
                      <w:rFonts w:hint="eastAsia"/>
                      <w:color w:val="auto"/>
                      <w:highlight w:val="none"/>
                      <w:lang w:val="en-US" w:eastAsia="zh-CN"/>
                    </w:rPr>
                    <w:t>pH</w:t>
                  </w:r>
                </w:p>
              </w:tc>
              <w:tc>
                <w:tcPr>
                  <w:tcW w:w="3723" w:type="dxa"/>
                  <w:tcBorders>
                    <w:tl2br w:val="nil"/>
                    <w:tr2bl w:val="nil"/>
                  </w:tcBorders>
                  <w:vAlign w:val="center"/>
                </w:tcPr>
                <w:p>
                  <w:pPr>
                    <w:pStyle w:val="34"/>
                    <w:bidi w:val="0"/>
                    <w:jc w:val="center"/>
                    <w:rPr>
                      <w:rFonts w:hint="default" w:eastAsia="宋体"/>
                      <w:color w:val="auto"/>
                      <w:highlight w:val="none"/>
                      <w:lang w:val="en-US" w:eastAsia="zh-CN"/>
                    </w:rPr>
                  </w:pPr>
                  <w:r>
                    <w:rPr>
                      <w:rFonts w:hint="eastAsia"/>
                      <w:color w:val="auto"/>
                      <w:highlight w:val="none"/>
                      <w:lang w:val="en-US" w:eastAsia="zh-CN"/>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tcBorders>
                    <w:tl2br w:val="nil"/>
                    <w:tr2bl w:val="nil"/>
                  </w:tcBorders>
                  <w:vAlign w:val="center"/>
                </w:tcPr>
                <w:p>
                  <w:pPr>
                    <w:pStyle w:val="34"/>
                    <w:bidi w:val="0"/>
                    <w:jc w:val="center"/>
                    <w:rPr>
                      <w:rFonts w:hint="eastAsia" w:eastAsia="宋体"/>
                      <w:color w:val="auto"/>
                      <w:highlight w:val="none"/>
                      <w:lang w:val="en-US" w:eastAsia="zh-CN"/>
                    </w:rPr>
                  </w:pPr>
                  <w:r>
                    <w:rPr>
                      <w:rFonts w:hint="eastAsia"/>
                      <w:color w:val="auto"/>
                      <w:highlight w:val="none"/>
                      <w:lang w:val="en-US" w:eastAsia="zh-CN"/>
                    </w:rPr>
                    <w:t>2</w:t>
                  </w:r>
                </w:p>
              </w:tc>
              <w:tc>
                <w:tcPr>
                  <w:tcW w:w="2839" w:type="dxa"/>
                  <w:tcBorders>
                    <w:tl2br w:val="nil"/>
                    <w:tr2bl w:val="nil"/>
                  </w:tcBorders>
                  <w:vAlign w:val="center"/>
                </w:tcPr>
                <w:p>
                  <w:pPr>
                    <w:pStyle w:val="34"/>
                    <w:bidi w:val="0"/>
                    <w:jc w:val="center"/>
                    <w:rPr>
                      <w:rFonts w:hint="eastAsia" w:eastAsia="宋体"/>
                      <w:color w:val="auto"/>
                      <w:highlight w:val="none"/>
                      <w:lang w:val="en-US" w:eastAsia="zh-CN"/>
                    </w:rPr>
                  </w:pPr>
                  <w:r>
                    <w:rPr>
                      <w:rFonts w:hint="eastAsia"/>
                      <w:color w:val="auto"/>
                      <w:highlight w:val="none"/>
                      <w:lang w:val="en-US" w:eastAsia="zh-CN"/>
                    </w:rPr>
                    <w:t>色度</w:t>
                  </w:r>
                </w:p>
              </w:tc>
              <w:tc>
                <w:tcPr>
                  <w:tcW w:w="3723" w:type="dxa"/>
                  <w:tcBorders>
                    <w:tl2br w:val="nil"/>
                    <w:tr2bl w:val="nil"/>
                  </w:tcBorders>
                  <w:vAlign w:val="center"/>
                </w:tcPr>
                <w:p>
                  <w:pPr>
                    <w:pStyle w:val="34"/>
                    <w:bidi w:val="0"/>
                    <w:jc w:val="center"/>
                    <w:rPr>
                      <w:rFonts w:hint="default" w:eastAsia="宋体"/>
                      <w:color w:val="auto"/>
                      <w:highlight w:val="none"/>
                      <w:lang w:val="en-US" w:eastAsia="zh-CN"/>
                    </w:rPr>
                  </w:pPr>
                  <w:r>
                    <w:rPr>
                      <w:rFonts w:hint="eastAsia"/>
                      <w:color w:val="auto"/>
                      <w:highlight w:val="none"/>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tcBorders>
                    <w:tl2br w:val="nil"/>
                    <w:tr2bl w:val="nil"/>
                  </w:tcBorders>
                  <w:vAlign w:val="center"/>
                </w:tcPr>
                <w:p>
                  <w:pPr>
                    <w:pStyle w:val="34"/>
                    <w:bidi w:val="0"/>
                    <w:jc w:val="center"/>
                    <w:rPr>
                      <w:rFonts w:hint="eastAsia" w:eastAsia="宋体"/>
                      <w:color w:val="auto"/>
                      <w:highlight w:val="none"/>
                      <w:lang w:val="en-US" w:eastAsia="zh-CN"/>
                    </w:rPr>
                  </w:pPr>
                  <w:r>
                    <w:rPr>
                      <w:rFonts w:hint="eastAsia"/>
                      <w:color w:val="auto"/>
                      <w:highlight w:val="none"/>
                      <w:lang w:val="en-US" w:eastAsia="zh-CN"/>
                    </w:rPr>
                    <w:t>3</w:t>
                  </w:r>
                </w:p>
              </w:tc>
              <w:tc>
                <w:tcPr>
                  <w:tcW w:w="2839" w:type="dxa"/>
                  <w:tcBorders>
                    <w:tl2br w:val="nil"/>
                    <w:tr2bl w:val="nil"/>
                  </w:tcBorders>
                  <w:vAlign w:val="center"/>
                </w:tcPr>
                <w:p>
                  <w:pPr>
                    <w:pStyle w:val="34"/>
                    <w:bidi w:val="0"/>
                    <w:jc w:val="center"/>
                    <w:rPr>
                      <w:rFonts w:hint="eastAsia" w:eastAsia="宋体"/>
                      <w:color w:val="auto"/>
                      <w:highlight w:val="none"/>
                      <w:lang w:val="en-US" w:eastAsia="zh-CN"/>
                    </w:rPr>
                  </w:pPr>
                  <w:r>
                    <w:rPr>
                      <w:rFonts w:hint="eastAsia"/>
                      <w:color w:val="auto"/>
                      <w:highlight w:val="none"/>
                      <w:lang w:val="en-US" w:eastAsia="zh-CN"/>
                    </w:rPr>
                    <w:t>嗅</w:t>
                  </w:r>
                </w:p>
              </w:tc>
              <w:tc>
                <w:tcPr>
                  <w:tcW w:w="3723" w:type="dxa"/>
                  <w:tcBorders>
                    <w:tl2br w:val="nil"/>
                    <w:tr2bl w:val="nil"/>
                  </w:tcBorders>
                  <w:vAlign w:val="center"/>
                </w:tcPr>
                <w:p>
                  <w:pPr>
                    <w:pStyle w:val="34"/>
                    <w:bidi w:val="0"/>
                    <w:jc w:val="center"/>
                    <w:rPr>
                      <w:rFonts w:hint="eastAsia" w:eastAsia="宋体"/>
                      <w:color w:val="auto"/>
                      <w:highlight w:val="none"/>
                      <w:lang w:val="en-US" w:eastAsia="zh-CN"/>
                    </w:rPr>
                  </w:pPr>
                  <w:r>
                    <w:rPr>
                      <w:rFonts w:hint="eastAsia"/>
                      <w:color w:val="auto"/>
                      <w:highlight w:val="none"/>
                      <w:lang w:val="en-US" w:eastAsia="zh-CN"/>
                    </w:rPr>
                    <w:t>无不快感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tcBorders>
                    <w:tl2br w:val="nil"/>
                    <w:tr2bl w:val="nil"/>
                  </w:tcBorders>
                  <w:vAlign w:val="center"/>
                </w:tcPr>
                <w:p>
                  <w:pPr>
                    <w:pStyle w:val="34"/>
                    <w:bidi w:val="0"/>
                    <w:jc w:val="center"/>
                    <w:rPr>
                      <w:rFonts w:hint="eastAsia" w:eastAsia="宋体"/>
                      <w:color w:val="auto"/>
                      <w:highlight w:val="none"/>
                      <w:lang w:val="en-US" w:eastAsia="zh-CN"/>
                    </w:rPr>
                  </w:pPr>
                  <w:r>
                    <w:rPr>
                      <w:rFonts w:hint="eastAsia"/>
                      <w:color w:val="auto"/>
                      <w:highlight w:val="none"/>
                      <w:lang w:val="en-US" w:eastAsia="zh-CN"/>
                    </w:rPr>
                    <w:t>4</w:t>
                  </w:r>
                </w:p>
              </w:tc>
              <w:tc>
                <w:tcPr>
                  <w:tcW w:w="2839" w:type="dxa"/>
                  <w:tcBorders>
                    <w:tl2br w:val="nil"/>
                    <w:tr2bl w:val="nil"/>
                  </w:tcBorders>
                  <w:vAlign w:val="center"/>
                </w:tcPr>
                <w:p>
                  <w:pPr>
                    <w:pStyle w:val="34"/>
                    <w:bidi w:val="0"/>
                    <w:jc w:val="center"/>
                    <w:rPr>
                      <w:rFonts w:hint="default" w:eastAsia="宋体"/>
                      <w:color w:val="auto"/>
                      <w:highlight w:val="none"/>
                      <w:lang w:val="en-US" w:eastAsia="zh-CN"/>
                    </w:rPr>
                  </w:pPr>
                  <w:r>
                    <w:rPr>
                      <w:rFonts w:hint="eastAsia"/>
                      <w:color w:val="auto"/>
                      <w:highlight w:val="none"/>
                      <w:lang w:val="en-US" w:eastAsia="zh-CN"/>
                    </w:rPr>
                    <w:t>浊度/NTU</w:t>
                  </w:r>
                </w:p>
              </w:tc>
              <w:tc>
                <w:tcPr>
                  <w:tcW w:w="3723" w:type="dxa"/>
                  <w:tcBorders>
                    <w:tl2br w:val="nil"/>
                    <w:tr2bl w:val="nil"/>
                  </w:tcBorders>
                  <w:vAlign w:val="center"/>
                </w:tcPr>
                <w:p>
                  <w:pPr>
                    <w:pStyle w:val="34"/>
                    <w:bidi w:val="0"/>
                    <w:jc w:val="center"/>
                    <w:rPr>
                      <w:rFonts w:hint="default" w:eastAsia="宋体"/>
                      <w:color w:val="auto"/>
                      <w:highlight w:val="none"/>
                      <w:lang w:val="en-US" w:eastAsia="zh-CN"/>
                    </w:rPr>
                  </w:pPr>
                  <w:r>
                    <w:rPr>
                      <w:rFonts w:hint="eastAsia"/>
                      <w:color w:val="auto"/>
                      <w:highlight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tcBorders>
                    <w:tl2br w:val="nil"/>
                    <w:tr2bl w:val="nil"/>
                  </w:tcBorders>
                  <w:vAlign w:val="center"/>
                </w:tcPr>
                <w:p>
                  <w:pPr>
                    <w:pStyle w:val="34"/>
                    <w:bidi w:val="0"/>
                    <w:jc w:val="center"/>
                    <w:rPr>
                      <w:rFonts w:hint="eastAsia" w:eastAsia="宋体"/>
                      <w:color w:val="auto"/>
                      <w:highlight w:val="none"/>
                      <w:lang w:val="en-US" w:eastAsia="zh-CN"/>
                    </w:rPr>
                  </w:pPr>
                  <w:r>
                    <w:rPr>
                      <w:rFonts w:hint="eastAsia"/>
                      <w:color w:val="auto"/>
                      <w:highlight w:val="none"/>
                      <w:lang w:val="en-US" w:eastAsia="zh-CN"/>
                    </w:rPr>
                    <w:t>5</w:t>
                  </w:r>
                </w:p>
              </w:tc>
              <w:tc>
                <w:tcPr>
                  <w:tcW w:w="2839" w:type="dxa"/>
                  <w:tcBorders>
                    <w:tl2br w:val="nil"/>
                    <w:tr2bl w:val="nil"/>
                  </w:tcBorders>
                  <w:vAlign w:val="center"/>
                </w:tcPr>
                <w:p>
                  <w:pPr>
                    <w:pStyle w:val="34"/>
                    <w:bidi w:val="0"/>
                    <w:jc w:val="center"/>
                    <w:rPr>
                      <w:rFonts w:hint="default"/>
                      <w:color w:val="auto"/>
                      <w:highlight w:val="none"/>
                      <w:lang w:val="en-US" w:eastAsia="zh-CN"/>
                    </w:rPr>
                  </w:pPr>
                  <w:r>
                    <w:rPr>
                      <w:rFonts w:hint="eastAsia"/>
                      <w:color w:val="auto"/>
                      <w:highlight w:val="none"/>
                      <w:lang w:val="en-US" w:eastAsia="zh-CN"/>
                    </w:rPr>
                    <w:t>BOD</w:t>
                  </w:r>
                  <w:r>
                    <w:rPr>
                      <w:rFonts w:hint="eastAsia"/>
                      <w:color w:val="auto"/>
                      <w:highlight w:val="none"/>
                      <w:vertAlign w:val="subscript"/>
                      <w:lang w:val="en-US" w:eastAsia="zh-CN"/>
                    </w:rPr>
                    <w:t>5</w:t>
                  </w:r>
                  <w:r>
                    <w:rPr>
                      <w:rFonts w:hint="eastAsia"/>
                      <w:color w:val="auto"/>
                      <w:highlight w:val="none"/>
                      <w:lang w:val="en-US" w:eastAsia="zh-CN"/>
                    </w:rPr>
                    <w:t>（mg/L）</w:t>
                  </w:r>
                </w:p>
              </w:tc>
              <w:tc>
                <w:tcPr>
                  <w:tcW w:w="3723" w:type="dxa"/>
                  <w:tcBorders>
                    <w:tl2br w:val="nil"/>
                    <w:tr2bl w:val="nil"/>
                  </w:tcBorders>
                  <w:vAlign w:val="center"/>
                </w:tcPr>
                <w:p>
                  <w:pPr>
                    <w:pStyle w:val="34"/>
                    <w:bidi w:val="0"/>
                    <w:jc w:val="center"/>
                    <w:rPr>
                      <w:rFonts w:hint="default" w:eastAsia="宋体"/>
                      <w:color w:val="auto"/>
                      <w:highlight w:val="none"/>
                      <w:lang w:val="en-US" w:eastAsia="zh-CN"/>
                    </w:rPr>
                  </w:pPr>
                  <w:r>
                    <w:rPr>
                      <w:rFonts w:hint="eastAsia"/>
                      <w:color w:val="auto"/>
                      <w:highlight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tcBorders>
                    <w:tl2br w:val="nil"/>
                    <w:tr2bl w:val="nil"/>
                  </w:tcBorders>
                  <w:vAlign w:val="center"/>
                </w:tcPr>
                <w:p>
                  <w:pPr>
                    <w:pStyle w:val="34"/>
                    <w:bidi w:val="0"/>
                    <w:jc w:val="center"/>
                    <w:rPr>
                      <w:rFonts w:hint="eastAsia" w:eastAsia="宋体"/>
                      <w:color w:val="auto"/>
                      <w:highlight w:val="none"/>
                      <w:lang w:val="en-US" w:eastAsia="zh-CN"/>
                    </w:rPr>
                  </w:pPr>
                  <w:r>
                    <w:rPr>
                      <w:rFonts w:hint="eastAsia"/>
                      <w:color w:val="auto"/>
                      <w:highlight w:val="none"/>
                      <w:lang w:val="en-US" w:eastAsia="zh-CN"/>
                    </w:rPr>
                    <w:t>6</w:t>
                  </w:r>
                </w:p>
              </w:tc>
              <w:tc>
                <w:tcPr>
                  <w:tcW w:w="2839" w:type="dxa"/>
                  <w:tcBorders>
                    <w:tl2br w:val="nil"/>
                    <w:tr2bl w:val="nil"/>
                  </w:tcBorders>
                  <w:vAlign w:val="center"/>
                </w:tcPr>
                <w:p>
                  <w:pPr>
                    <w:pStyle w:val="34"/>
                    <w:bidi w:val="0"/>
                    <w:jc w:val="center"/>
                    <w:rPr>
                      <w:rFonts w:hint="default" w:eastAsia="宋体"/>
                      <w:color w:val="auto"/>
                      <w:highlight w:val="none"/>
                      <w:lang w:val="en-US" w:eastAsia="zh-CN"/>
                    </w:rPr>
                  </w:pPr>
                  <w:r>
                    <w:rPr>
                      <w:rFonts w:hint="eastAsia"/>
                      <w:color w:val="auto"/>
                      <w:highlight w:val="none"/>
                      <w:lang w:val="en-US" w:eastAsia="zh-CN"/>
                    </w:rPr>
                    <w:t>氨氮（mg/L）</w:t>
                  </w:r>
                </w:p>
              </w:tc>
              <w:tc>
                <w:tcPr>
                  <w:tcW w:w="3723" w:type="dxa"/>
                  <w:tcBorders>
                    <w:tl2br w:val="nil"/>
                    <w:tr2bl w:val="nil"/>
                  </w:tcBorders>
                  <w:vAlign w:val="center"/>
                </w:tcPr>
                <w:p>
                  <w:pPr>
                    <w:pStyle w:val="34"/>
                    <w:bidi w:val="0"/>
                    <w:jc w:val="center"/>
                    <w:rPr>
                      <w:rFonts w:hint="eastAsia" w:eastAsia="宋体"/>
                      <w:color w:val="auto"/>
                      <w:highlight w:val="none"/>
                      <w:lang w:val="en-US" w:eastAsia="zh-CN"/>
                    </w:rPr>
                  </w:pPr>
                  <w:r>
                    <w:rPr>
                      <w:rFonts w:hint="eastAsia"/>
                      <w:color w:val="auto"/>
                      <w:highlight w:val="none"/>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tcBorders>
                    <w:tl2br w:val="nil"/>
                    <w:tr2bl w:val="nil"/>
                  </w:tcBorders>
                  <w:vAlign w:val="center"/>
                </w:tcPr>
                <w:p>
                  <w:pPr>
                    <w:pStyle w:val="34"/>
                    <w:bidi w:val="0"/>
                    <w:jc w:val="center"/>
                    <w:rPr>
                      <w:rFonts w:hint="eastAsia" w:eastAsia="宋体"/>
                      <w:color w:val="auto"/>
                      <w:highlight w:val="none"/>
                      <w:lang w:val="en-US" w:eastAsia="zh-CN"/>
                    </w:rPr>
                  </w:pPr>
                  <w:r>
                    <w:rPr>
                      <w:rFonts w:hint="eastAsia"/>
                      <w:color w:val="auto"/>
                      <w:highlight w:val="none"/>
                      <w:lang w:val="en-US" w:eastAsia="zh-CN"/>
                    </w:rPr>
                    <w:t>7</w:t>
                  </w:r>
                </w:p>
              </w:tc>
              <w:tc>
                <w:tcPr>
                  <w:tcW w:w="2839" w:type="dxa"/>
                  <w:tcBorders>
                    <w:tl2br w:val="nil"/>
                    <w:tr2bl w:val="nil"/>
                  </w:tcBorders>
                  <w:vAlign w:val="center"/>
                </w:tcPr>
                <w:p>
                  <w:pPr>
                    <w:pStyle w:val="34"/>
                    <w:bidi w:val="0"/>
                    <w:jc w:val="center"/>
                    <w:rPr>
                      <w:rFonts w:hint="eastAsia" w:eastAsia="宋体"/>
                      <w:color w:val="auto"/>
                      <w:highlight w:val="none"/>
                      <w:lang w:val="en-US" w:eastAsia="zh-CN"/>
                    </w:rPr>
                  </w:pPr>
                  <w:r>
                    <w:rPr>
                      <w:rFonts w:hint="eastAsia"/>
                      <w:color w:val="auto"/>
                      <w:highlight w:val="none"/>
                      <w:lang w:val="en-US" w:eastAsia="zh-CN"/>
                    </w:rPr>
                    <w:t>阴离子表面活性剂（mg/L）</w:t>
                  </w:r>
                </w:p>
              </w:tc>
              <w:tc>
                <w:tcPr>
                  <w:tcW w:w="3723" w:type="dxa"/>
                  <w:tcBorders>
                    <w:tl2br w:val="nil"/>
                    <w:tr2bl w:val="nil"/>
                  </w:tcBorders>
                  <w:vAlign w:val="center"/>
                </w:tcPr>
                <w:p>
                  <w:pPr>
                    <w:pStyle w:val="34"/>
                    <w:bidi w:val="0"/>
                    <w:jc w:val="center"/>
                    <w:rPr>
                      <w:rFonts w:hint="default" w:eastAsia="宋体"/>
                      <w:color w:val="auto"/>
                      <w:highlight w:val="none"/>
                      <w:lang w:val="en-US" w:eastAsia="zh-CN"/>
                    </w:rPr>
                  </w:pPr>
                  <w:r>
                    <w:rPr>
                      <w:rFonts w:hint="eastAsia"/>
                      <w:color w:val="auto"/>
                      <w:highlight w:val="no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tcBorders>
                    <w:tl2br w:val="nil"/>
                    <w:tr2bl w:val="nil"/>
                  </w:tcBorders>
                  <w:vAlign w:val="center"/>
                </w:tcPr>
                <w:p>
                  <w:pPr>
                    <w:pStyle w:val="34"/>
                    <w:bidi w:val="0"/>
                    <w:jc w:val="center"/>
                    <w:rPr>
                      <w:rFonts w:hint="eastAsia" w:eastAsia="宋体"/>
                      <w:color w:val="auto"/>
                      <w:highlight w:val="none"/>
                      <w:lang w:val="en-US" w:eastAsia="zh-CN"/>
                    </w:rPr>
                  </w:pPr>
                  <w:r>
                    <w:rPr>
                      <w:rFonts w:hint="eastAsia"/>
                      <w:color w:val="auto"/>
                      <w:highlight w:val="none"/>
                      <w:lang w:val="en-US" w:eastAsia="zh-CN"/>
                    </w:rPr>
                    <w:t>8</w:t>
                  </w:r>
                </w:p>
              </w:tc>
              <w:tc>
                <w:tcPr>
                  <w:tcW w:w="2839" w:type="dxa"/>
                  <w:tcBorders>
                    <w:tl2br w:val="nil"/>
                    <w:tr2bl w:val="nil"/>
                  </w:tcBorders>
                  <w:vAlign w:val="center"/>
                </w:tcPr>
                <w:p>
                  <w:pPr>
                    <w:pStyle w:val="34"/>
                    <w:bidi w:val="0"/>
                    <w:jc w:val="center"/>
                    <w:rPr>
                      <w:rFonts w:hint="eastAsia" w:eastAsia="宋体"/>
                      <w:color w:val="auto"/>
                      <w:highlight w:val="none"/>
                      <w:lang w:val="en-US" w:eastAsia="zh-CN"/>
                    </w:rPr>
                  </w:pPr>
                  <w:r>
                    <w:rPr>
                      <w:rFonts w:hint="eastAsia"/>
                      <w:color w:val="auto"/>
                      <w:highlight w:val="none"/>
                      <w:lang w:val="en-US" w:eastAsia="zh-CN"/>
                    </w:rPr>
                    <w:t>铁（mg/L）</w:t>
                  </w:r>
                </w:p>
              </w:tc>
              <w:tc>
                <w:tcPr>
                  <w:tcW w:w="3723" w:type="dxa"/>
                  <w:tcBorders>
                    <w:tl2br w:val="nil"/>
                    <w:tr2bl w:val="nil"/>
                  </w:tcBorders>
                  <w:vAlign w:val="center"/>
                </w:tcPr>
                <w:p>
                  <w:pPr>
                    <w:pStyle w:val="34"/>
                    <w:bidi w:val="0"/>
                    <w:jc w:val="center"/>
                    <w:rPr>
                      <w:rFonts w:hint="eastAsia" w:eastAsia="宋体"/>
                      <w:color w:val="auto"/>
                      <w:highlight w:val="none"/>
                      <w:lang w:val="en-US" w:eastAsia="zh-CN"/>
                    </w:rPr>
                  </w:pPr>
                  <w:r>
                    <w:rPr>
                      <w:rFonts w:hint="eastAsia"/>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tcBorders>
                    <w:tl2br w:val="nil"/>
                    <w:tr2bl w:val="nil"/>
                  </w:tcBorders>
                  <w:vAlign w:val="center"/>
                </w:tcPr>
                <w:p>
                  <w:pPr>
                    <w:pStyle w:val="34"/>
                    <w:bidi w:val="0"/>
                    <w:jc w:val="center"/>
                    <w:rPr>
                      <w:rFonts w:hint="eastAsia" w:eastAsia="宋体"/>
                      <w:color w:val="auto"/>
                      <w:highlight w:val="none"/>
                      <w:lang w:val="en-US" w:eastAsia="zh-CN"/>
                    </w:rPr>
                  </w:pPr>
                  <w:r>
                    <w:rPr>
                      <w:rFonts w:hint="eastAsia"/>
                      <w:color w:val="auto"/>
                      <w:highlight w:val="none"/>
                      <w:lang w:val="en-US" w:eastAsia="zh-CN"/>
                    </w:rPr>
                    <w:t>9</w:t>
                  </w:r>
                </w:p>
              </w:tc>
              <w:tc>
                <w:tcPr>
                  <w:tcW w:w="2839" w:type="dxa"/>
                  <w:tcBorders>
                    <w:tl2br w:val="nil"/>
                    <w:tr2bl w:val="nil"/>
                  </w:tcBorders>
                  <w:vAlign w:val="center"/>
                </w:tcPr>
                <w:p>
                  <w:pPr>
                    <w:pStyle w:val="34"/>
                    <w:bidi w:val="0"/>
                    <w:jc w:val="center"/>
                    <w:rPr>
                      <w:rFonts w:hint="eastAsia" w:eastAsia="宋体"/>
                      <w:color w:val="auto"/>
                      <w:highlight w:val="none"/>
                      <w:lang w:val="en-US" w:eastAsia="zh-CN"/>
                    </w:rPr>
                  </w:pPr>
                  <w:r>
                    <w:rPr>
                      <w:rFonts w:hint="eastAsia"/>
                      <w:color w:val="auto"/>
                      <w:highlight w:val="none"/>
                      <w:lang w:val="en-US" w:eastAsia="zh-CN"/>
                    </w:rPr>
                    <w:t>锰（mg/L）</w:t>
                  </w:r>
                </w:p>
              </w:tc>
              <w:tc>
                <w:tcPr>
                  <w:tcW w:w="3723" w:type="dxa"/>
                  <w:tcBorders>
                    <w:tl2br w:val="nil"/>
                    <w:tr2bl w:val="nil"/>
                  </w:tcBorders>
                  <w:vAlign w:val="center"/>
                </w:tcPr>
                <w:p>
                  <w:pPr>
                    <w:pStyle w:val="34"/>
                    <w:bidi w:val="0"/>
                    <w:jc w:val="center"/>
                    <w:rPr>
                      <w:rFonts w:hint="eastAsia" w:eastAsia="宋体"/>
                      <w:color w:val="auto"/>
                      <w:highlight w:val="none"/>
                      <w:lang w:val="en-US" w:eastAsia="zh-CN"/>
                    </w:rPr>
                  </w:pPr>
                  <w:r>
                    <w:rPr>
                      <w:rFonts w:hint="eastAsia"/>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tcBorders>
                    <w:tl2br w:val="nil"/>
                    <w:tr2bl w:val="nil"/>
                  </w:tcBorders>
                  <w:vAlign w:val="center"/>
                </w:tcPr>
                <w:p>
                  <w:pPr>
                    <w:pStyle w:val="34"/>
                    <w:bidi w:val="0"/>
                    <w:jc w:val="center"/>
                    <w:rPr>
                      <w:rFonts w:hint="default" w:eastAsia="宋体"/>
                      <w:color w:val="auto"/>
                      <w:highlight w:val="none"/>
                      <w:lang w:val="en-US" w:eastAsia="zh-CN"/>
                    </w:rPr>
                  </w:pPr>
                  <w:r>
                    <w:rPr>
                      <w:rFonts w:hint="eastAsia"/>
                      <w:color w:val="auto"/>
                      <w:highlight w:val="none"/>
                      <w:lang w:val="en-US" w:eastAsia="zh-CN"/>
                    </w:rPr>
                    <w:t>10</w:t>
                  </w:r>
                </w:p>
              </w:tc>
              <w:tc>
                <w:tcPr>
                  <w:tcW w:w="2839" w:type="dxa"/>
                  <w:tcBorders>
                    <w:tl2br w:val="nil"/>
                    <w:tr2bl w:val="nil"/>
                  </w:tcBorders>
                  <w:vAlign w:val="center"/>
                </w:tcPr>
                <w:p>
                  <w:pPr>
                    <w:pStyle w:val="34"/>
                    <w:bidi w:val="0"/>
                    <w:jc w:val="center"/>
                    <w:rPr>
                      <w:rFonts w:hint="eastAsia" w:eastAsia="宋体"/>
                      <w:color w:val="auto"/>
                      <w:highlight w:val="none"/>
                      <w:lang w:val="en-US" w:eastAsia="zh-CN"/>
                    </w:rPr>
                  </w:pPr>
                  <w:r>
                    <w:rPr>
                      <w:rFonts w:hint="eastAsia"/>
                      <w:color w:val="auto"/>
                      <w:highlight w:val="none"/>
                      <w:lang w:val="en-US" w:eastAsia="zh-CN"/>
                    </w:rPr>
                    <w:t>溶解性总固体（mg/L）</w:t>
                  </w:r>
                </w:p>
              </w:tc>
              <w:tc>
                <w:tcPr>
                  <w:tcW w:w="3723" w:type="dxa"/>
                  <w:tcBorders>
                    <w:tl2br w:val="nil"/>
                    <w:tr2bl w:val="nil"/>
                  </w:tcBorders>
                  <w:vAlign w:val="center"/>
                </w:tcPr>
                <w:p>
                  <w:pPr>
                    <w:pStyle w:val="34"/>
                    <w:bidi w:val="0"/>
                    <w:jc w:val="center"/>
                    <w:rPr>
                      <w:rFonts w:hint="default" w:eastAsia="宋体"/>
                      <w:color w:val="auto"/>
                      <w:highlight w:val="none"/>
                      <w:lang w:val="en-US" w:eastAsia="zh-CN"/>
                    </w:rPr>
                  </w:pPr>
                  <w:r>
                    <w:rPr>
                      <w:rFonts w:hint="eastAsia"/>
                      <w:color w:val="auto"/>
                      <w:highlight w:val="none"/>
                      <w:lang w:val="en-US" w:eastAsia="zh-CN"/>
                    </w:rPr>
                    <w:t>1000（2000）</w:t>
                  </w:r>
                  <w:r>
                    <w:rPr>
                      <w:rFonts w:hint="eastAsia"/>
                      <w:color w:val="auto"/>
                      <w:highlight w:val="none"/>
                      <w:vertAlign w:val="superscript"/>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tcBorders>
                    <w:tl2br w:val="nil"/>
                    <w:tr2bl w:val="nil"/>
                  </w:tcBorders>
                  <w:vAlign w:val="center"/>
                </w:tcPr>
                <w:p>
                  <w:pPr>
                    <w:pStyle w:val="34"/>
                    <w:bidi w:val="0"/>
                    <w:jc w:val="center"/>
                    <w:rPr>
                      <w:rFonts w:hint="default" w:eastAsia="宋体"/>
                      <w:color w:val="auto"/>
                      <w:highlight w:val="none"/>
                      <w:lang w:val="en-US" w:eastAsia="zh-CN"/>
                    </w:rPr>
                  </w:pPr>
                  <w:r>
                    <w:rPr>
                      <w:rFonts w:hint="eastAsia"/>
                      <w:color w:val="auto"/>
                      <w:highlight w:val="none"/>
                      <w:lang w:val="en-US" w:eastAsia="zh-CN"/>
                    </w:rPr>
                    <w:t>11</w:t>
                  </w:r>
                </w:p>
              </w:tc>
              <w:tc>
                <w:tcPr>
                  <w:tcW w:w="2839" w:type="dxa"/>
                  <w:tcBorders>
                    <w:tl2br w:val="nil"/>
                    <w:tr2bl w:val="nil"/>
                  </w:tcBorders>
                  <w:vAlign w:val="center"/>
                </w:tcPr>
                <w:p>
                  <w:pPr>
                    <w:pStyle w:val="34"/>
                    <w:bidi w:val="0"/>
                    <w:jc w:val="center"/>
                    <w:rPr>
                      <w:rFonts w:hint="eastAsia" w:eastAsia="宋体"/>
                      <w:color w:val="auto"/>
                      <w:highlight w:val="none"/>
                      <w:lang w:val="en-US" w:eastAsia="zh-CN"/>
                    </w:rPr>
                  </w:pPr>
                  <w:r>
                    <w:rPr>
                      <w:rFonts w:hint="eastAsia"/>
                      <w:color w:val="auto"/>
                      <w:highlight w:val="none"/>
                      <w:lang w:val="en-US" w:eastAsia="zh-CN"/>
                    </w:rPr>
                    <w:t>溶解氧（mg/L）</w:t>
                  </w:r>
                </w:p>
              </w:tc>
              <w:tc>
                <w:tcPr>
                  <w:tcW w:w="3723" w:type="dxa"/>
                  <w:tcBorders>
                    <w:tl2br w:val="nil"/>
                    <w:tr2bl w:val="nil"/>
                  </w:tcBorders>
                  <w:vAlign w:val="center"/>
                </w:tcPr>
                <w:p>
                  <w:pPr>
                    <w:pStyle w:val="34"/>
                    <w:bidi w:val="0"/>
                    <w:jc w:val="center"/>
                    <w:rPr>
                      <w:rFonts w:hint="default" w:eastAsia="宋体"/>
                      <w:color w:val="auto"/>
                      <w:highlight w:val="none"/>
                      <w:lang w:val="en-US" w:eastAsia="zh-CN"/>
                    </w:rPr>
                  </w:pPr>
                  <w:r>
                    <w:rPr>
                      <w:rFonts w:hint="eastAsia"/>
                      <w:color w:val="auto"/>
                      <w:highlight w:val="no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tcBorders>
                    <w:tl2br w:val="nil"/>
                    <w:tr2bl w:val="nil"/>
                  </w:tcBorders>
                  <w:vAlign w:val="center"/>
                </w:tcPr>
                <w:p>
                  <w:pPr>
                    <w:pStyle w:val="34"/>
                    <w:bidi w:val="0"/>
                    <w:jc w:val="center"/>
                    <w:rPr>
                      <w:rFonts w:hint="default" w:eastAsia="宋体"/>
                      <w:color w:val="auto"/>
                      <w:highlight w:val="none"/>
                      <w:lang w:val="en-US" w:eastAsia="zh-CN"/>
                    </w:rPr>
                  </w:pPr>
                  <w:r>
                    <w:rPr>
                      <w:rFonts w:hint="eastAsia"/>
                      <w:color w:val="auto"/>
                      <w:highlight w:val="none"/>
                      <w:lang w:val="en-US" w:eastAsia="zh-CN"/>
                    </w:rPr>
                    <w:t>12</w:t>
                  </w:r>
                </w:p>
              </w:tc>
              <w:tc>
                <w:tcPr>
                  <w:tcW w:w="2839" w:type="dxa"/>
                  <w:tcBorders>
                    <w:tl2br w:val="nil"/>
                    <w:tr2bl w:val="nil"/>
                  </w:tcBorders>
                  <w:vAlign w:val="center"/>
                </w:tcPr>
                <w:p>
                  <w:pPr>
                    <w:pStyle w:val="34"/>
                    <w:bidi w:val="0"/>
                    <w:jc w:val="center"/>
                    <w:rPr>
                      <w:rFonts w:hint="default"/>
                      <w:color w:val="auto"/>
                      <w:highlight w:val="none"/>
                      <w:lang w:val="en-US" w:eastAsia="zh-CN"/>
                    </w:rPr>
                  </w:pPr>
                  <w:r>
                    <w:rPr>
                      <w:rFonts w:hint="eastAsia"/>
                      <w:color w:val="auto"/>
                      <w:highlight w:val="none"/>
                      <w:lang w:val="en-US" w:eastAsia="zh-CN"/>
                    </w:rPr>
                    <w:t>总氯（mg/L）</w:t>
                  </w:r>
                </w:p>
              </w:tc>
              <w:tc>
                <w:tcPr>
                  <w:tcW w:w="3723" w:type="dxa"/>
                  <w:tcBorders>
                    <w:tl2br w:val="nil"/>
                    <w:tr2bl w:val="nil"/>
                  </w:tcBorders>
                  <w:vAlign w:val="center"/>
                </w:tcPr>
                <w:p>
                  <w:pPr>
                    <w:pStyle w:val="34"/>
                    <w:bidi w:val="0"/>
                    <w:jc w:val="center"/>
                    <w:rPr>
                      <w:rFonts w:hint="default" w:eastAsia="宋体"/>
                      <w:color w:val="auto"/>
                      <w:highlight w:val="none"/>
                      <w:lang w:val="en-US" w:eastAsia="zh-CN"/>
                    </w:rPr>
                  </w:pPr>
                  <w:r>
                    <w:rPr>
                      <w:rFonts w:hint="eastAsia"/>
                      <w:color w:val="auto"/>
                      <w:highlight w:val="none"/>
                      <w:lang w:val="en-US" w:eastAsia="zh-CN"/>
                    </w:rPr>
                    <w:t>1.0（出厂）2.0</w:t>
                  </w:r>
                  <w:r>
                    <w:rPr>
                      <w:rFonts w:hint="eastAsia"/>
                      <w:color w:val="auto"/>
                      <w:highlight w:val="none"/>
                      <w:vertAlign w:val="superscript"/>
                      <w:lang w:val="en-US" w:eastAsia="zh-CN"/>
                    </w:rPr>
                    <w:t>b</w:t>
                  </w:r>
                  <w:r>
                    <w:rPr>
                      <w:rFonts w:hint="eastAsia"/>
                      <w:color w:val="auto"/>
                      <w:highlight w:val="none"/>
                      <w:lang w:val="en-US" w:eastAsia="zh-CN"/>
                    </w:rPr>
                    <w:t>（管网末端）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tcBorders>
                    <w:tl2br w:val="nil"/>
                    <w:tr2bl w:val="nil"/>
                  </w:tcBorders>
                  <w:vAlign w:val="center"/>
                </w:tcPr>
                <w:p>
                  <w:pPr>
                    <w:pStyle w:val="34"/>
                    <w:bidi w:val="0"/>
                    <w:jc w:val="center"/>
                    <w:rPr>
                      <w:rFonts w:hint="default" w:eastAsia="宋体"/>
                      <w:color w:val="auto"/>
                      <w:highlight w:val="none"/>
                      <w:lang w:val="en-US" w:eastAsia="zh-CN"/>
                    </w:rPr>
                  </w:pPr>
                  <w:r>
                    <w:rPr>
                      <w:rFonts w:hint="eastAsia"/>
                      <w:color w:val="auto"/>
                      <w:highlight w:val="none"/>
                      <w:lang w:val="en-US" w:eastAsia="zh-CN"/>
                    </w:rPr>
                    <w:t>13</w:t>
                  </w:r>
                </w:p>
              </w:tc>
              <w:tc>
                <w:tcPr>
                  <w:tcW w:w="2839" w:type="dxa"/>
                  <w:tcBorders>
                    <w:tl2br w:val="nil"/>
                    <w:tr2bl w:val="nil"/>
                  </w:tcBorders>
                  <w:vAlign w:val="center"/>
                </w:tcPr>
                <w:p>
                  <w:pPr>
                    <w:pStyle w:val="34"/>
                    <w:bidi w:val="0"/>
                    <w:jc w:val="center"/>
                    <w:rPr>
                      <w:rFonts w:hint="default"/>
                      <w:color w:val="auto"/>
                      <w:highlight w:val="none"/>
                      <w:lang w:val="en-US" w:eastAsia="zh-CN"/>
                    </w:rPr>
                  </w:pPr>
                  <w:r>
                    <w:rPr>
                      <w:rFonts w:hint="eastAsia"/>
                      <w:color w:val="auto"/>
                      <w:highlight w:val="none"/>
                      <w:lang w:val="en-US" w:eastAsia="zh-CN"/>
                    </w:rPr>
                    <w:t>大肠埃希氏菌（MPN/100mL或CFU/100mL）</w:t>
                  </w:r>
                </w:p>
              </w:tc>
              <w:tc>
                <w:tcPr>
                  <w:tcW w:w="3723" w:type="dxa"/>
                  <w:tcBorders>
                    <w:tl2br w:val="nil"/>
                    <w:tr2bl w:val="nil"/>
                  </w:tcBorders>
                  <w:vAlign w:val="center"/>
                </w:tcPr>
                <w:p>
                  <w:pPr>
                    <w:pStyle w:val="34"/>
                    <w:bidi w:val="0"/>
                    <w:jc w:val="center"/>
                    <w:rPr>
                      <w:rFonts w:hint="default" w:eastAsia="宋体"/>
                      <w:color w:val="auto"/>
                      <w:highlight w:val="none"/>
                      <w:lang w:val="en-US" w:eastAsia="zh-CN"/>
                    </w:rPr>
                  </w:pPr>
                  <w:r>
                    <w:rPr>
                      <w:rFonts w:hint="eastAsia"/>
                      <w:color w:val="auto"/>
                      <w:highlight w:val="none"/>
                      <w:lang w:val="en-US" w:eastAsia="zh-CN"/>
                    </w:rPr>
                    <w:t>无</w:t>
                  </w:r>
                  <w:r>
                    <w:rPr>
                      <w:rFonts w:hint="eastAsia"/>
                      <w:color w:val="auto"/>
                      <w:highlight w:val="none"/>
                      <w:vertAlign w:val="superscript"/>
                      <w:lang w:val="en-US" w:eastAsia="zh-CN"/>
                    </w:rPr>
                    <w:t>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22" w:type="dxa"/>
                  <w:gridSpan w:val="3"/>
                  <w:tcBorders>
                    <w:tl2br w:val="nil"/>
                    <w:tr2bl w:val="nil"/>
                  </w:tcBorders>
                  <w:vAlign w:val="center"/>
                </w:tcPr>
                <w:p>
                  <w:pPr>
                    <w:pStyle w:val="34"/>
                    <w:bidi w:val="0"/>
                    <w:jc w:val="left"/>
                    <w:rPr>
                      <w:rFonts w:hint="default"/>
                      <w:color w:val="auto"/>
                      <w:highlight w:val="none"/>
                      <w:lang w:val="en-US" w:eastAsia="zh-CN"/>
                    </w:rPr>
                  </w:pPr>
                  <w:r>
                    <w:rPr>
                      <w:rFonts w:hint="eastAsia"/>
                      <w:color w:val="auto"/>
                      <w:highlight w:val="none"/>
                      <w:lang w:val="en-US" w:eastAsia="zh-CN"/>
                    </w:rPr>
                    <w:t>a括号内指标值为沿海及本地水源中溶解性固体含量较高的区域的指标；</w:t>
                  </w:r>
                </w:p>
                <w:p>
                  <w:pPr>
                    <w:pStyle w:val="34"/>
                    <w:bidi w:val="0"/>
                    <w:jc w:val="left"/>
                    <w:rPr>
                      <w:rFonts w:hint="default"/>
                      <w:color w:val="auto"/>
                      <w:highlight w:val="none"/>
                      <w:lang w:val="en-US" w:eastAsia="zh-CN"/>
                    </w:rPr>
                  </w:pPr>
                  <w:r>
                    <w:rPr>
                      <w:rFonts w:hint="eastAsia"/>
                      <w:color w:val="auto"/>
                      <w:highlight w:val="none"/>
                      <w:lang w:val="en-US" w:eastAsia="zh-CN"/>
                    </w:rPr>
                    <w:t>b用于城市绿化时，不超过2.5mg/L；</w:t>
                  </w:r>
                </w:p>
                <w:p>
                  <w:pPr>
                    <w:pStyle w:val="34"/>
                    <w:bidi w:val="0"/>
                    <w:jc w:val="left"/>
                    <w:rPr>
                      <w:rFonts w:hint="default"/>
                      <w:color w:val="auto"/>
                      <w:highlight w:val="none"/>
                      <w:lang w:val="en-US" w:eastAsia="zh-CN"/>
                    </w:rPr>
                  </w:pPr>
                  <w:r>
                    <w:rPr>
                      <w:rFonts w:hint="eastAsia"/>
                      <w:color w:val="auto"/>
                      <w:highlight w:val="none"/>
                      <w:lang w:val="en-US" w:eastAsia="zh-CN"/>
                    </w:rPr>
                    <w:t>e大肠埃希氏菌不应检出。</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color w:val="auto"/>
                <w:highlight w:val="none"/>
                <w:lang w:val="en-US"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lang w:val="en-US" w:eastAsia="zh-CN"/>
              </w:rPr>
              <w:t>生产废水</w:t>
            </w:r>
          </w:p>
          <w:p>
            <w:pPr>
              <w:bidi w:val="0"/>
              <w:rPr>
                <w:rFonts w:hint="default"/>
                <w:color w:val="auto"/>
                <w:highlight w:val="none"/>
                <w:lang w:val="en-US" w:eastAsia="zh-CN"/>
              </w:rPr>
            </w:pPr>
            <w:r>
              <w:rPr>
                <w:rFonts w:hint="eastAsia"/>
                <w:color w:val="auto"/>
                <w:highlight w:val="none"/>
                <w:lang w:val="en-US" w:eastAsia="zh-CN"/>
              </w:rPr>
              <w:t>项目生产废水主要为循环冷却系统排污水，该废水经污水管道排入厂区生产废水深度水处理站处理达到《城市污水再生利用 工业用水水质》（GB/T19923-2024）表1中“直流冷却水、洗涤用水”标准后回用于易门铜业有限公司冶炼渣缓冷场，不外排。具体标准</w:t>
            </w:r>
            <w:r>
              <w:rPr>
                <w:rFonts w:hint="default"/>
                <w:color w:val="auto"/>
                <w:highlight w:val="none"/>
                <w:lang w:val="en-US" w:eastAsia="zh-CN"/>
              </w:rPr>
              <w:t>限值</w:t>
            </w:r>
            <w:r>
              <w:rPr>
                <w:rFonts w:hint="eastAsia"/>
                <w:color w:val="auto"/>
                <w:highlight w:val="none"/>
                <w:lang w:val="en-US" w:eastAsia="zh-CN"/>
              </w:rPr>
              <w:t>详见下表</w:t>
            </w:r>
            <w:r>
              <w:rPr>
                <w:rFonts w:hint="default"/>
                <w:color w:val="auto"/>
                <w:highlight w:val="none"/>
                <w:lang w:val="en-US" w:eastAsia="zh-CN"/>
              </w:rPr>
              <w:t>。</w:t>
            </w:r>
          </w:p>
          <w:p>
            <w:pPr>
              <w:pStyle w:val="35"/>
              <w:bidi w:val="0"/>
              <w:rPr>
                <w:rFonts w:hint="default" w:ascii="黑体" w:hAnsi="黑体" w:eastAsia="黑体" w:cs="黑体"/>
                <w:color w:val="auto"/>
                <w:highlight w:val="none"/>
                <w:lang w:val="en-US" w:eastAsia="zh-CN"/>
              </w:rPr>
            </w:pPr>
            <w:r>
              <w:rPr>
                <w:rFonts w:hint="default"/>
                <w:color w:val="auto"/>
                <w:highlight w:val="none"/>
                <w:lang w:val="en-US" w:eastAsia="zh-CN"/>
              </w:rPr>
              <w:t>表3-</w:t>
            </w:r>
            <w:r>
              <w:rPr>
                <w:rFonts w:hint="eastAsia"/>
                <w:color w:val="auto"/>
                <w:highlight w:val="none"/>
                <w:lang w:val="en-US" w:eastAsia="zh-CN"/>
              </w:rPr>
              <w:t>7</w:t>
            </w:r>
            <w:r>
              <w:rPr>
                <w:rFonts w:hint="default"/>
                <w:color w:val="auto"/>
                <w:highlight w:val="none"/>
                <w:lang w:val="en-US" w:eastAsia="zh-CN"/>
              </w:rPr>
              <w:t xml:space="preserve">  </w:t>
            </w:r>
            <w:r>
              <w:rPr>
                <w:rFonts w:hint="eastAsia"/>
                <w:color w:val="auto"/>
                <w:highlight w:val="none"/>
                <w:lang w:val="en-US" w:eastAsia="zh-CN"/>
              </w:rPr>
              <w:t>再生水用作工业用水水质基本控制项目及限值</w:t>
            </w:r>
          </w:p>
          <w:tbl>
            <w:tblPr>
              <w:tblStyle w:val="23"/>
              <w:tblW w:w="4935" w:type="pct"/>
              <w:jc w:val="center"/>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666"/>
              <w:gridCol w:w="3112"/>
              <w:gridCol w:w="3844"/>
            </w:tblGrid>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436" w:type="pct"/>
                  <w:tcBorders>
                    <w:tl2br w:val="nil"/>
                    <w:tr2bl w:val="nil"/>
                  </w:tcBorders>
                  <w:vAlign w:val="center"/>
                </w:tcPr>
                <w:p>
                  <w:pPr>
                    <w:pStyle w:val="34"/>
                    <w:bidi w:val="0"/>
                    <w:rPr>
                      <w:color w:val="auto"/>
                      <w:highlight w:val="none"/>
                    </w:rPr>
                  </w:pPr>
                  <w:r>
                    <w:rPr>
                      <w:color w:val="auto"/>
                      <w:highlight w:val="none"/>
                    </w:rPr>
                    <w:t>序号</w:t>
                  </w:r>
                </w:p>
              </w:tc>
              <w:tc>
                <w:tcPr>
                  <w:tcW w:w="2041" w:type="pct"/>
                  <w:tcBorders>
                    <w:tl2br w:val="nil"/>
                    <w:tr2bl w:val="nil"/>
                  </w:tcBorders>
                  <w:vAlign w:val="center"/>
                </w:tcPr>
                <w:p>
                  <w:pPr>
                    <w:pStyle w:val="34"/>
                    <w:bidi w:val="0"/>
                    <w:rPr>
                      <w:rFonts w:hint="eastAsia" w:eastAsia="宋体"/>
                      <w:color w:val="auto"/>
                      <w:highlight w:val="none"/>
                      <w:lang w:eastAsia="zh-CN"/>
                    </w:rPr>
                  </w:pPr>
                  <w:r>
                    <w:rPr>
                      <w:rFonts w:hint="eastAsia"/>
                      <w:color w:val="auto"/>
                      <w:highlight w:val="none"/>
                      <w:lang w:val="en-US" w:eastAsia="zh-CN"/>
                    </w:rPr>
                    <w:t>控制项目</w:t>
                  </w:r>
                </w:p>
              </w:tc>
              <w:tc>
                <w:tcPr>
                  <w:tcW w:w="2521" w:type="pct"/>
                  <w:tcBorders>
                    <w:tl2br w:val="nil"/>
                    <w:tr2bl w:val="nil"/>
                  </w:tcBorders>
                  <w:vAlign w:val="center"/>
                </w:tcPr>
                <w:p>
                  <w:pPr>
                    <w:pStyle w:val="34"/>
                    <w:bidi w:val="0"/>
                    <w:rPr>
                      <w:color w:val="auto"/>
                      <w:highlight w:val="none"/>
                    </w:rPr>
                  </w:pPr>
                  <w:r>
                    <w:rPr>
                      <w:rFonts w:hint="eastAsia"/>
                      <w:color w:val="auto"/>
                      <w:highlight w:val="none"/>
                      <w:lang w:val="en-US" w:eastAsia="zh-CN"/>
                    </w:rPr>
                    <w:t>“直流冷却水、洗涤用水”</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436" w:type="pct"/>
                  <w:tcBorders>
                    <w:tl2br w:val="nil"/>
                    <w:tr2bl w:val="nil"/>
                  </w:tcBorders>
                  <w:vAlign w:val="center"/>
                </w:tcPr>
                <w:p>
                  <w:pPr>
                    <w:pStyle w:val="34"/>
                    <w:bidi w:val="0"/>
                    <w:rPr>
                      <w:color w:val="auto"/>
                      <w:highlight w:val="none"/>
                    </w:rPr>
                  </w:pPr>
                  <w:r>
                    <w:rPr>
                      <w:rFonts w:hint="eastAsia"/>
                      <w:color w:val="auto"/>
                      <w:highlight w:val="none"/>
                    </w:rPr>
                    <w:t>1</w:t>
                  </w:r>
                </w:p>
              </w:tc>
              <w:tc>
                <w:tcPr>
                  <w:tcW w:w="2041" w:type="pct"/>
                  <w:tcBorders>
                    <w:tl2br w:val="nil"/>
                    <w:tr2bl w:val="nil"/>
                  </w:tcBorders>
                  <w:vAlign w:val="center"/>
                </w:tcPr>
                <w:p>
                  <w:pPr>
                    <w:pStyle w:val="34"/>
                    <w:bidi w:val="0"/>
                    <w:rPr>
                      <w:color w:val="auto"/>
                      <w:highlight w:val="none"/>
                    </w:rPr>
                  </w:pPr>
                  <w:r>
                    <w:rPr>
                      <w:rFonts w:hint="eastAsia"/>
                      <w:color w:val="auto"/>
                      <w:highlight w:val="none"/>
                    </w:rPr>
                    <w:t>p</w:t>
                  </w:r>
                  <w:r>
                    <w:rPr>
                      <w:color w:val="auto"/>
                      <w:highlight w:val="none"/>
                    </w:rPr>
                    <w:t>H</w:t>
                  </w:r>
                </w:p>
              </w:tc>
              <w:tc>
                <w:tcPr>
                  <w:tcW w:w="2521" w:type="pct"/>
                  <w:tcBorders>
                    <w:tl2br w:val="nil"/>
                    <w:tr2bl w:val="nil"/>
                  </w:tcBorders>
                  <w:vAlign w:val="center"/>
                </w:tcPr>
                <w:p>
                  <w:pPr>
                    <w:pStyle w:val="34"/>
                    <w:bidi w:val="0"/>
                    <w:rPr>
                      <w:color w:val="auto"/>
                      <w:highlight w:val="none"/>
                    </w:rPr>
                  </w:pPr>
                  <w:r>
                    <w:rPr>
                      <w:rFonts w:hint="eastAsia"/>
                      <w:color w:val="auto"/>
                      <w:highlight w:val="none"/>
                    </w:rPr>
                    <w:t>6~9</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436" w:type="pct"/>
                  <w:tcBorders>
                    <w:tl2br w:val="nil"/>
                    <w:tr2bl w:val="nil"/>
                  </w:tcBorders>
                  <w:shd w:val="clear" w:color="auto" w:fill="auto"/>
                  <w:vAlign w:val="center"/>
                </w:tcPr>
                <w:p>
                  <w:pPr>
                    <w:pStyle w:val="34"/>
                    <w:bidi w:val="0"/>
                    <w:ind w:left="0" w:leftChars="0" w:firstLine="0" w:firstLineChars="0"/>
                    <w:rPr>
                      <w:rFonts w:hint="eastAsia" w:ascii="Times New Roman" w:hAnsi="Times New Roman" w:eastAsia="宋体" w:cstheme="minorBidi"/>
                      <w:color w:val="auto"/>
                      <w:kern w:val="2"/>
                      <w:sz w:val="18"/>
                      <w:szCs w:val="18"/>
                      <w:highlight w:val="none"/>
                      <w:lang w:val="en-US" w:eastAsia="zh-CN" w:bidi="ar-SA"/>
                    </w:rPr>
                  </w:pPr>
                  <w:r>
                    <w:rPr>
                      <w:rFonts w:hint="eastAsia"/>
                      <w:color w:val="auto"/>
                      <w:highlight w:val="none"/>
                    </w:rPr>
                    <w:t>2</w:t>
                  </w:r>
                </w:p>
              </w:tc>
              <w:tc>
                <w:tcPr>
                  <w:tcW w:w="2041" w:type="pct"/>
                  <w:tcBorders>
                    <w:tl2br w:val="nil"/>
                    <w:tr2bl w:val="nil"/>
                  </w:tcBorders>
                  <w:vAlign w:val="center"/>
                </w:tcPr>
                <w:p>
                  <w:pPr>
                    <w:pStyle w:val="34"/>
                    <w:bidi w:val="0"/>
                    <w:rPr>
                      <w:rFonts w:hint="default" w:eastAsia="宋体"/>
                      <w:color w:val="auto"/>
                      <w:highlight w:val="none"/>
                      <w:lang w:val="en-US" w:eastAsia="zh-CN"/>
                    </w:rPr>
                  </w:pPr>
                  <w:r>
                    <w:rPr>
                      <w:rFonts w:hint="eastAsia"/>
                      <w:color w:val="auto"/>
                      <w:highlight w:val="none"/>
                      <w:lang w:val="en-US" w:eastAsia="zh-CN"/>
                    </w:rPr>
                    <w:t>色度/度</w:t>
                  </w:r>
                </w:p>
              </w:tc>
              <w:tc>
                <w:tcPr>
                  <w:tcW w:w="2521" w:type="pct"/>
                  <w:tcBorders>
                    <w:tl2br w:val="nil"/>
                    <w:tr2bl w:val="nil"/>
                  </w:tcBorders>
                  <w:vAlign w:val="center"/>
                </w:tcPr>
                <w:p>
                  <w:pPr>
                    <w:pStyle w:val="34"/>
                    <w:bidi w:val="0"/>
                    <w:rPr>
                      <w:rFonts w:hint="default" w:eastAsia="宋体"/>
                      <w:color w:val="auto"/>
                      <w:highlight w:val="none"/>
                      <w:lang w:val="en-US" w:eastAsia="zh-CN"/>
                    </w:rPr>
                  </w:pPr>
                  <w:r>
                    <w:rPr>
                      <w:rFonts w:hint="eastAsia"/>
                      <w:color w:val="auto"/>
                      <w:highlight w:val="none"/>
                      <w:lang w:val="en-US" w:eastAsia="zh-CN"/>
                    </w:rPr>
                    <w:t>20</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436" w:type="pct"/>
                  <w:tcBorders>
                    <w:tl2br w:val="nil"/>
                    <w:tr2bl w:val="nil"/>
                  </w:tcBorders>
                  <w:shd w:val="clear" w:color="auto" w:fill="auto"/>
                  <w:vAlign w:val="center"/>
                </w:tcPr>
                <w:p>
                  <w:pPr>
                    <w:pStyle w:val="34"/>
                    <w:bidi w:val="0"/>
                    <w:ind w:left="0" w:leftChars="0" w:firstLine="0" w:firstLineChars="0"/>
                    <w:rPr>
                      <w:rFonts w:hint="eastAsia" w:ascii="Times New Roman" w:hAnsi="Times New Roman" w:eastAsia="宋体" w:cstheme="minorBidi"/>
                      <w:color w:val="auto"/>
                      <w:kern w:val="2"/>
                      <w:sz w:val="18"/>
                      <w:szCs w:val="18"/>
                      <w:highlight w:val="none"/>
                      <w:lang w:val="en-US" w:eastAsia="zh-CN" w:bidi="ar-SA"/>
                    </w:rPr>
                  </w:pPr>
                  <w:r>
                    <w:rPr>
                      <w:rFonts w:hint="eastAsia"/>
                      <w:color w:val="auto"/>
                      <w:highlight w:val="none"/>
                    </w:rPr>
                    <w:t>3</w:t>
                  </w:r>
                </w:p>
              </w:tc>
              <w:tc>
                <w:tcPr>
                  <w:tcW w:w="2041" w:type="pct"/>
                  <w:tcBorders>
                    <w:tl2br w:val="nil"/>
                    <w:tr2bl w:val="nil"/>
                  </w:tcBorders>
                  <w:vAlign w:val="center"/>
                </w:tcPr>
                <w:p>
                  <w:pPr>
                    <w:pStyle w:val="34"/>
                    <w:bidi w:val="0"/>
                    <w:rPr>
                      <w:rFonts w:hint="default" w:eastAsia="宋体"/>
                      <w:color w:val="auto"/>
                      <w:highlight w:val="none"/>
                      <w:lang w:val="en-US" w:eastAsia="zh-CN"/>
                    </w:rPr>
                  </w:pPr>
                  <w:r>
                    <w:rPr>
                      <w:rFonts w:hint="eastAsia"/>
                      <w:color w:val="auto"/>
                      <w:highlight w:val="none"/>
                      <w:lang w:val="en-US" w:eastAsia="zh-CN"/>
                    </w:rPr>
                    <w:t>浊度/NTU</w:t>
                  </w:r>
                </w:p>
              </w:tc>
              <w:tc>
                <w:tcPr>
                  <w:tcW w:w="2521" w:type="pct"/>
                  <w:tcBorders>
                    <w:tl2br w:val="nil"/>
                    <w:tr2bl w:val="nil"/>
                  </w:tcBorders>
                  <w:vAlign w:val="center"/>
                </w:tcPr>
                <w:p>
                  <w:pPr>
                    <w:pStyle w:val="34"/>
                    <w:bidi w:val="0"/>
                    <w:rPr>
                      <w:rFonts w:hint="eastAsia" w:eastAsia="宋体"/>
                      <w:color w:val="auto"/>
                      <w:highlight w:val="none"/>
                      <w:lang w:val="en-US" w:eastAsia="zh-CN"/>
                    </w:rPr>
                  </w:pPr>
                  <w:r>
                    <w:rPr>
                      <w:rFonts w:hint="eastAsia"/>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436" w:type="pct"/>
                  <w:tcBorders>
                    <w:tl2br w:val="nil"/>
                    <w:tr2bl w:val="nil"/>
                  </w:tcBorders>
                  <w:shd w:val="clear" w:color="auto" w:fill="auto"/>
                  <w:vAlign w:val="center"/>
                </w:tcPr>
                <w:p>
                  <w:pPr>
                    <w:pStyle w:val="34"/>
                    <w:bidi w:val="0"/>
                    <w:ind w:left="0" w:leftChars="0" w:firstLine="0" w:firstLineChars="0"/>
                    <w:rPr>
                      <w:rFonts w:hint="eastAsia" w:ascii="Times New Roman" w:hAnsi="Times New Roman" w:eastAsia="宋体" w:cstheme="minorBidi"/>
                      <w:color w:val="auto"/>
                      <w:kern w:val="2"/>
                      <w:sz w:val="18"/>
                      <w:szCs w:val="18"/>
                      <w:highlight w:val="none"/>
                      <w:lang w:val="en-US" w:eastAsia="zh-CN" w:bidi="ar-SA"/>
                    </w:rPr>
                  </w:pPr>
                  <w:r>
                    <w:rPr>
                      <w:rFonts w:hint="eastAsia"/>
                      <w:color w:val="auto"/>
                      <w:highlight w:val="none"/>
                    </w:rPr>
                    <w:t>4</w:t>
                  </w:r>
                </w:p>
              </w:tc>
              <w:tc>
                <w:tcPr>
                  <w:tcW w:w="2041" w:type="pct"/>
                  <w:tcBorders>
                    <w:tl2br w:val="nil"/>
                    <w:tr2bl w:val="nil"/>
                  </w:tcBorders>
                  <w:vAlign w:val="center"/>
                </w:tcPr>
                <w:p>
                  <w:pPr>
                    <w:pStyle w:val="34"/>
                    <w:bidi w:val="0"/>
                    <w:rPr>
                      <w:rFonts w:hint="eastAsia"/>
                      <w:color w:val="auto"/>
                      <w:highlight w:val="none"/>
                    </w:rPr>
                  </w:pPr>
                  <w:r>
                    <w:rPr>
                      <w:color w:val="auto"/>
                      <w:highlight w:val="none"/>
                    </w:rPr>
                    <w:t>五日生化</w:t>
                  </w:r>
                  <w:r>
                    <w:rPr>
                      <w:rFonts w:hint="eastAsia"/>
                      <w:color w:val="auto"/>
                      <w:highlight w:val="none"/>
                      <w:lang w:val="en-US" w:eastAsia="zh-CN"/>
                    </w:rPr>
                    <w:t>需</w:t>
                  </w:r>
                  <w:r>
                    <w:rPr>
                      <w:color w:val="auto"/>
                      <w:highlight w:val="none"/>
                    </w:rPr>
                    <w:t>氧量BOD</w:t>
                  </w:r>
                  <w:r>
                    <w:rPr>
                      <w:color w:val="auto"/>
                      <w:highlight w:val="none"/>
                      <w:vertAlign w:val="subscript"/>
                    </w:rPr>
                    <w:t>5</w:t>
                  </w:r>
                  <w:r>
                    <w:rPr>
                      <w:rFonts w:hint="eastAsia"/>
                      <w:color w:val="auto"/>
                      <w:highlight w:val="none"/>
                      <w:vertAlign w:val="baseline"/>
                      <w:lang w:val="en-US" w:eastAsia="zh-CN"/>
                    </w:rPr>
                    <w:t>/</w:t>
                  </w:r>
                  <w:r>
                    <w:rPr>
                      <w:color w:val="auto"/>
                      <w:highlight w:val="none"/>
                    </w:rPr>
                    <w:t>（mg/L）</w:t>
                  </w:r>
                </w:p>
              </w:tc>
              <w:tc>
                <w:tcPr>
                  <w:tcW w:w="2521" w:type="pct"/>
                  <w:tcBorders>
                    <w:tl2br w:val="nil"/>
                    <w:tr2bl w:val="nil"/>
                  </w:tcBorders>
                  <w:vAlign w:val="center"/>
                </w:tcPr>
                <w:p>
                  <w:pPr>
                    <w:pStyle w:val="34"/>
                    <w:bidi w:val="0"/>
                    <w:rPr>
                      <w:rFonts w:hint="default" w:eastAsia="宋体"/>
                      <w:color w:val="auto"/>
                      <w:highlight w:val="none"/>
                      <w:lang w:val="en-US" w:eastAsia="zh-CN"/>
                    </w:rPr>
                  </w:pPr>
                  <w:r>
                    <w:rPr>
                      <w:rFonts w:hint="eastAsia"/>
                      <w:color w:val="auto"/>
                      <w:highlight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436" w:type="pct"/>
                  <w:tcBorders>
                    <w:tl2br w:val="nil"/>
                    <w:tr2bl w:val="nil"/>
                  </w:tcBorders>
                  <w:shd w:val="clear" w:color="auto" w:fill="auto"/>
                  <w:vAlign w:val="center"/>
                </w:tcPr>
                <w:p>
                  <w:pPr>
                    <w:pStyle w:val="34"/>
                    <w:bidi w:val="0"/>
                    <w:ind w:left="0" w:leftChars="0" w:firstLine="0" w:firstLineChars="0"/>
                    <w:rPr>
                      <w:rFonts w:hint="eastAsia" w:ascii="Times New Roman" w:hAnsi="Times New Roman" w:eastAsia="宋体" w:cstheme="minorBidi"/>
                      <w:color w:val="auto"/>
                      <w:kern w:val="2"/>
                      <w:sz w:val="18"/>
                      <w:szCs w:val="18"/>
                      <w:highlight w:val="none"/>
                      <w:lang w:val="en-US" w:eastAsia="zh-CN" w:bidi="ar-SA"/>
                    </w:rPr>
                  </w:pPr>
                  <w:r>
                    <w:rPr>
                      <w:rFonts w:hint="eastAsia"/>
                      <w:color w:val="auto"/>
                      <w:highlight w:val="none"/>
                    </w:rPr>
                    <w:t>5</w:t>
                  </w:r>
                </w:p>
              </w:tc>
              <w:tc>
                <w:tcPr>
                  <w:tcW w:w="2041" w:type="pct"/>
                  <w:tcBorders>
                    <w:tl2br w:val="nil"/>
                    <w:tr2bl w:val="nil"/>
                  </w:tcBorders>
                  <w:vAlign w:val="center"/>
                </w:tcPr>
                <w:p>
                  <w:pPr>
                    <w:pStyle w:val="34"/>
                    <w:bidi w:val="0"/>
                    <w:rPr>
                      <w:rFonts w:hint="eastAsia"/>
                      <w:color w:val="auto"/>
                      <w:highlight w:val="none"/>
                    </w:rPr>
                  </w:pPr>
                  <w:r>
                    <w:rPr>
                      <w:rFonts w:hint="eastAsia"/>
                      <w:color w:val="auto"/>
                      <w:highlight w:val="none"/>
                    </w:rPr>
                    <w:t>化学需氧量C</w:t>
                  </w:r>
                  <w:r>
                    <w:rPr>
                      <w:color w:val="auto"/>
                      <w:highlight w:val="none"/>
                    </w:rPr>
                    <w:t>OD</w:t>
                  </w:r>
                  <w:r>
                    <w:rPr>
                      <w:rFonts w:hint="eastAsia"/>
                      <w:color w:val="auto"/>
                      <w:highlight w:val="none"/>
                      <w:lang w:val="en-US" w:eastAsia="zh-CN"/>
                    </w:rPr>
                    <w:t>/</w:t>
                  </w:r>
                  <w:r>
                    <w:rPr>
                      <w:color w:val="auto"/>
                      <w:highlight w:val="none"/>
                    </w:rPr>
                    <w:t>（mg/L）</w:t>
                  </w:r>
                </w:p>
              </w:tc>
              <w:tc>
                <w:tcPr>
                  <w:tcW w:w="2521" w:type="pct"/>
                  <w:tcBorders>
                    <w:tl2br w:val="nil"/>
                    <w:tr2bl w:val="nil"/>
                  </w:tcBorders>
                  <w:vAlign w:val="center"/>
                </w:tcPr>
                <w:p>
                  <w:pPr>
                    <w:pStyle w:val="34"/>
                    <w:bidi w:val="0"/>
                    <w:rPr>
                      <w:rFonts w:hint="default" w:eastAsia="宋体"/>
                      <w:color w:val="auto"/>
                      <w:highlight w:val="none"/>
                      <w:lang w:val="en-US" w:eastAsia="zh-CN"/>
                    </w:rPr>
                  </w:pPr>
                  <w:r>
                    <w:rPr>
                      <w:rFonts w:hint="eastAsia"/>
                      <w:color w:val="auto"/>
                      <w:highlight w:val="none"/>
                      <w:lang w:val="en-US" w:eastAsia="zh-CN"/>
                    </w:rPr>
                    <w:t>50</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436" w:type="pct"/>
                  <w:tcBorders>
                    <w:tl2br w:val="nil"/>
                    <w:tr2bl w:val="nil"/>
                  </w:tcBorders>
                  <w:shd w:val="clear" w:color="auto" w:fill="auto"/>
                  <w:vAlign w:val="center"/>
                </w:tcPr>
                <w:p>
                  <w:pPr>
                    <w:pStyle w:val="34"/>
                    <w:bidi w:val="0"/>
                    <w:ind w:left="0" w:leftChars="0" w:firstLine="0" w:firstLineChars="0"/>
                    <w:rPr>
                      <w:rFonts w:hint="eastAsia" w:ascii="Times New Roman" w:hAnsi="Times New Roman" w:eastAsia="宋体" w:cstheme="minorBidi"/>
                      <w:color w:val="auto"/>
                      <w:kern w:val="2"/>
                      <w:sz w:val="18"/>
                      <w:szCs w:val="18"/>
                      <w:highlight w:val="none"/>
                      <w:lang w:val="en-US" w:eastAsia="zh-CN" w:bidi="ar-SA"/>
                    </w:rPr>
                  </w:pPr>
                  <w:r>
                    <w:rPr>
                      <w:rFonts w:hint="eastAsia"/>
                      <w:color w:val="auto"/>
                      <w:highlight w:val="none"/>
                    </w:rPr>
                    <w:t>6</w:t>
                  </w:r>
                </w:p>
              </w:tc>
              <w:tc>
                <w:tcPr>
                  <w:tcW w:w="2041" w:type="pct"/>
                  <w:tcBorders>
                    <w:tl2br w:val="nil"/>
                    <w:tr2bl w:val="nil"/>
                  </w:tcBorders>
                  <w:vAlign w:val="center"/>
                </w:tcPr>
                <w:p>
                  <w:pPr>
                    <w:pStyle w:val="34"/>
                    <w:bidi w:val="0"/>
                    <w:rPr>
                      <w:rFonts w:hint="eastAsia"/>
                      <w:color w:val="auto"/>
                      <w:highlight w:val="none"/>
                    </w:rPr>
                  </w:pPr>
                  <w:r>
                    <w:rPr>
                      <w:color w:val="auto"/>
                      <w:highlight w:val="none"/>
                    </w:rPr>
                    <w:t>氨氮</w:t>
                  </w:r>
                  <w:r>
                    <w:rPr>
                      <w:rFonts w:hint="eastAsia"/>
                      <w:color w:val="auto"/>
                      <w:highlight w:val="none"/>
                      <w:lang w:eastAsia="zh-CN"/>
                    </w:rPr>
                    <w:t>（</w:t>
                  </w:r>
                  <w:r>
                    <w:rPr>
                      <w:rFonts w:hint="eastAsia"/>
                      <w:color w:val="auto"/>
                      <w:highlight w:val="none"/>
                      <w:lang w:val="en-US" w:eastAsia="zh-CN"/>
                    </w:rPr>
                    <w:t>以N计</w:t>
                  </w:r>
                  <w:r>
                    <w:rPr>
                      <w:rFonts w:hint="eastAsia"/>
                      <w:color w:val="auto"/>
                      <w:highlight w:val="none"/>
                      <w:lang w:eastAsia="zh-CN"/>
                    </w:rPr>
                    <w:t>）</w:t>
                  </w:r>
                  <w:r>
                    <w:rPr>
                      <w:rFonts w:hint="eastAsia"/>
                      <w:color w:val="auto"/>
                      <w:highlight w:val="none"/>
                      <w:lang w:val="en-US" w:eastAsia="zh-CN"/>
                    </w:rPr>
                    <w:t>/</w:t>
                  </w:r>
                  <w:r>
                    <w:rPr>
                      <w:color w:val="auto"/>
                      <w:highlight w:val="none"/>
                    </w:rPr>
                    <w:t>（mg/L）</w:t>
                  </w:r>
                </w:p>
              </w:tc>
              <w:tc>
                <w:tcPr>
                  <w:tcW w:w="2521" w:type="pct"/>
                  <w:tcBorders>
                    <w:tl2br w:val="nil"/>
                    <w:tr2bl w:val="nil"/>
                  </w:tcBorders>
                  <w:vAlign w:val="center"/>
                </w:tcPr>
                <w:p>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5</w:t>
                  </w:r>
                  <w:r>
                    <w:rPr>
                      <w:rFonts w:hint="eastAsia" w:ascii="Times New Roman" w:hAnsi="Times New Roman" w:cs="Times New Roman"/>
                      <w:color w:val="auto"/>
                      <w:highlight w:val="none"/>
                      <w:vertAlign w:val="superscript"/>
                      <w:lang w:val="en-US" w:eastAsia="zh-CN"/>
                    </w:rPr>
                    <w:t>a</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436" w:type="pct"/>
                  <w:tcBorders>
                    <w:tl2br w:val="nil"/>
                    <w:tr2bl w:val="nil"/>
                  </w:tcBorders>
                  <w:shd w:val="clear" w:color="auto" w:fill="auto"/>
                  <w:vAlign w:val="center"/>
                </w:tcPr>
                <w:p>
                  <w:pPr>
                    <w:pStyle w:val="34"/>
                    <w:bidi w:val="0"/>
                    <w:ind w:left="0" w:leftChars="0" w:firstLine="0" w:firstLineChars="0"/>
                    <w:rPr>
                      <w:rFonts w:hint="eastAsia" w:ascii="Times New Roman" w:hAnsi="Times New Roman" w:eastAsia="宋体" w:cstheme="minorBidi"/>
                      <w:color w:val="auto"/>
                      <w:kern w:val="2"/>
                      <w:sz w:val="18"/>
                      <w:szCs w:val="18"/>
                      <w:highlight w:val="none"/>
                      <w:lang w:val="en-US" w:eastAsia="zh-CN" w:bidi="ar-SA"/>
                    </w:rPr>
                  </w:pPr>
                  <w:r>
                    <w:rPr>
                      <w:rFonts w:hint="eastAsia"/>
                      <w:color w:val="auto"/>
                      <w:highlight w:val="none"/>
                    </w:rPr>
                    <w:t>7</w:t>
                  </w:r>
                </w:p>
              </w:tc>
              <w:tc>
                <w:tcPr>
                  <w:tcW w:w="2041" w:type="pct"/>
                  <w:tcBorders>
                    <w:tl2br w:val="nil"/>
                    <w:tr2bl w:val="nil"/>
                  </w:tcBorders>
                  <w:vAlign w:val="center"/>
                </w:tcPr>
                <w:p>
                  <w:pPr>
                    <w:pStyle w:val="34"/>
                    <w:bidi w:val="0"/>
                    <w:rPr>
                      <w:rFonts w:hint="default" w:eastAsia="宋体"/>
                      <w:color w:val="auto"/>
                      <w:highlight w:val="none"/>
                      <w:lang w:val="en-US" w:eastAsia="zh-CN"/>
                    </w:rPr>
                  </w:pPr>
                  <w:r>
                    <w:rPr>
                      <w:rFonts w:hint="eastAsia"/>
                      <w:color w:val="auto"/>
                      <w:highlight w:val="none"/>
                      <w:lang w:val="en-US" w:eastAsia="zh-CN"/>
                    </w:rPr>
                    <w:t>总氮（以N计）/</w:t>
                  </w:r>
                  <w:r>
                    <w:rPr>
                      <w:color w:val="auto"/>
                      <w:highlight w:val="none"/>
                    </w:rPr>
                    <w:t>（mg/L）</w:t>
                  </w:r>
                </w:p>
              </w:tc>
              <w:tc>
                <w:tcPr>
                  <w:tcW w:w="2521" w:type="pct"/>
                  <w:tcBorders>
                    <w:tl2br w:val="nil"/>
                    <w:tr2bl w:val="nil"/>
                  </w:tcBorders>
                  <w:vAlign w:val="center"/>
                </w:tcPr>
                <w:p>
                  <w:pPr>
                    <w:pStyle w:val="34"/>
                    <w:bidi w:val="0"/>
                    <w:rPr>
                      <w:rFonts w:hint="default" w:eastAsia="宋体"/>
                      <w:color w:val="auto"/>
                      <w:highlight w:val="none"/>
                      <w:lang w:val="en-US" w:eastAsia="zh-CN"/>
                    </w:rPr>
                  </w:pPr>
                  <w:r>
                    <w:rPr>
                      <w:rFonts w:hint="eastAsia"/>
                      <w:color w:val="auto"/>
                      <w:highlight w:val="none"/>
                      <w:lang w:val="en-US" w:eastAsia="zh-CN"/>
                    </w:rPr>
                    <w:t>15</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436" w:type="pct"/>
                  <w:tcBorders>
                    <w:tl2br w:val="nil"/>
                    <w:tr2bl w:val="nil"/>
                  </w:tcBorders>
                  <w:shd w:val="clear" w:color="auto" w:fill="auto"/>
                  <w:vAlign w:val="center"/>
                </w:tcPr>
                <w:p>
                  <w:pPr>
                    <w:pStyle w:val="34"/>
                    <w:bidi w:val="0"/>
                    <w:ind w:left="0" w:leftChars="0" w:firstLine="0" w:firstLineChars="0"/>
                    <w:rPr>
                      <w:rFonts w:hint="eastAsia" w:ascii="Times New Roman" w:hAnsi="Times New Roman" w:eastAsia="宋体" w:cstheme="minorBidi"/>
                      <w:color w:val="auto"/>
                      <w:kern w:val="2"/>
                      <w:sz w:val="18"/>
                      <w:szCs w:val="18"/>
                      <w:highlight w:val="none"/>
                      <w:lang w:val="en-US" w:eastAsia="zh-CN" w:bidi="ar-SA"/>
                    </w:rPr>
                  </w:pPr>
                  <w:r>
                    <w:rPr>
                      <w:rFonts w:hint="eastAsia"/>
                      <w:color w:val="auto"/>
                      <w:highlight w:val="none"/>
                    </w:rPr>
                    <w:t>8</w:t>
                  </w:r>
                </w:p>
              </w:tc>
              <w:tc>
                <w:tcPr>
                  <w:tcW w:w="2041" w:type="pct"/>
                  <w:tcBorders>
                    <w:tl2br w:val="nil"/>
                    <w:tr2bl w:val="nil"/>
                  </w:tcBorders>
                  <w:vAlign w:val="center"/>
                </w:tcPr>
                <w:p>
                  <w:pPr>
                    <w:pStyle w:val="34"/>
                    <w:bidi w:val="0"/>
                    <w:rPr>
                      <w:rFonts w:hint="eastAsia" w:eastAsia="宋体"/>
                      <w:color w:val="auto"/>
                      <w:highlight w:val="none"/>
                      <w:lang w:val="en-US" w:eastAsia="zh-CN"/>
                    </w:rPr>
                  </w:pPr>
                  <w:r>
                    <w:rPr>
                      <w:rFonts w:hint="eastAsia"/>
                      <w:color w:val="auto"/>
                      <w:highlight w:val="none"/>
                      <w:lang w:val="en-US" w:eastAsia="zh-CN"/>
                    </w:rPr>
                    <w:t>总磷（以P计）/</w:t>
                  </w:r>
                  <w:r>
                    <w:rPr>
                      <w:color w:val="auto"/>
                      <w:highlight w:val="none"/>
                    </w:rPr>
                    <w:t>（mg/L）</w:t>
                  </w:r>
                </w:p>
              </w:tc>
              <w:tc>
                <w:tcPr>
                  <w:tcW w:w="2521" w:type="pct"/>
                  <w:tcBorders>
                    <w:tl2br w:val="nil"/>
                    <w:tr2bl w:val="nil"/>
                  </w:tcBorders>
                  <w:vAlign w:val="center"/>
                </w:tcPr>
                <w:p>
                  <w:pPr>
                    <w:pStyle w:val="34"/>
                    <w:bidi w:val="0"/>
                    <w:rPr>
                      <w:rFonts w:hint="default" w:eastAsia="宋体"/>
                      <w:color w:val="auto"/>
                      <w:highlight w:val="none"/>
                      <w:lang w:val="en-US" w:eastAsia="zh-CN"/>
                    </w:rPr>
                  </w:pPr>
                  <w:r>
                    <w:rPr>
                      <w:rFonts w:hint="eastAsia"/>
                      <w:color w:val="auto"/>
                      <w:highlight w:val="none"/>
                      <w:lang w:val="en-US" w:eastAsia="zh-CN"/>
                    </w:rPr>
                    <w:t>0.5</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436" w:type="pct"/>
                  <w:tcBorders>
                    <w:tl2br w:val="nil"/>
                    <w:tr2bl w:val="nil"/>
                  </w:tcBorders>
                  <w:vAlign w:val="center"/>
                </w:tcPr>
                <w:p>
                  <w:pPr>
                    <w:pStyle w:val="34"/>
                    <w:bidi w:val="0"/>
                    <w:rPr>
                      <w:rFonts w:hint="eastAsia" w:eastAsia="宋体"/>
                      <w:color w:val="auto"/>
                      <w:highlight w:val="none"/>
                      <w:lang w:val="en-US" w:eastAsia="zh-CN"/>
                    </w:rPr>
                  </w:pPr>
                  <w:r>
                    <w:rPr>
                      <w:rFonts w:hint="eastAsia"/>
                      <w:color w:val="auto"/>
                      <w:highlight w:val="none"/>
                      <w:lang w:val="en-US" w:eastAsia="zh-CN"/>
                    </w:rPr>
                    <w:t>9</w:t>
                  </w:r>
                </w:p>
              </w:tc>
              <w:tc>
                <w:tcPr>
                  <w:tcW w:w="2041" w:type="pct"/>
                  <w:tcBorders>
                    <w:tl2br w:val="nil"/>
                    <w:tr2bl w:val="nil"/>
                  </w:tcBorders>
                  <w:vAlign w:val="center"/>
                </w:tcPr>
                <w:p>
                  <w:pPr>
                    <w:pStyle w:val="34"/>
                    <w:bidi w:val="0"/>
                    <w:rPr>
                      <w:color w:val="auto"/>
                      <w:highlight w:val="none"/>
                    </w:rPr>
                  </w:pPr>
                  <w:r>
                    <w:rPr>
                      <w:rFonts w:hint="eastAsia"/>
                      <w:color w:val="auto"/>
                      <w:highlight w:val="none"/>
                    </w:rPr>
                    <w:t>阴离子表面活性剂</w:t>
                  </w:r>
                  <w:r>
                    <w:rPr>
                      <w:rFonts w:hint="eastAsia"/>
                      <w:color w:val="auto"/>
                      <w:highlight w:val="none"/>
                      <w:lang w:val="en-US" w:eastAsia="zh-CN"/>
                    </w:rPr>
                    <w:t>/</w:t>
                  </w:r>
                  <w:r>
                    <w:rPr>
                      <w:color w:val="auto"/>
                      <w:highlight w:val="none"/>
                    </w:rPr>
                    <w:t>（mg/L）</w:t>
                  </w:r>
                </w:p>
              </w:tc>
              <w:tc>
                <w:tcPr>
                  <w:tcW w:w="2521" w:type="pct"/>
                  <w:tcBorders>
                    <w:tl2br w:val="nil"/>
                    <w:tr2bl w:val="nil"/>
                  </w:tcBorders>
                  <w:vAlign w:val="center"/>
                </w:tcPr>
                <w:p>
                  <w:pPr>
                    <w:pStyle w:val="34"/>
                    <w:bidi w:val="0"/>
                    <w:rPr>
                      <w:rFonts w:hint="default" w:eastAsia="宋体"/>
                      <w:color w:val="auto"/>
                      <w:highlight w:val="none"/>
                      <w:lang w:val="en-US" w:eastAsia="zh-CN"/>
                    </w:rPr>
                  </w:pPr>
                  <w:r>
                    <w:rPr>
                      <w:rFonts w:hint="eastAsia"/>
                      <w:color w:val="auto"/>
                      <w:highlight w:val="none"/>
                      <w:lang w:val="en-US" w:eastAsia="zh-CN"/>
                    </w:rPr>
                    <w:t>0.5</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436" w:type="pct"/>
                  <w:tcBorders>
                    <w:tl2br w:val="nil"/>
                    <w:tr2bl w:val="nil"/>
                  </w:tcBorders>
                  <w:vAlign w:val="center"/>
                </w:tcPr>
                <w:p>
                  <w:pPr>
                    <w:pStyle w:val="34"/>
                    <w:bidi w:val="0"/>
                    <w:rPr>
                      <w:rFonts w:hint="default" w:eastAsia="宋体"/>
                      <w:color w:val="auto"/>
                      <w:highlight w:val="none"/>
                      <w:lang w:val="en-US" w:eastAsia="zh-CN"/>
                    </w:rPr>
                  </w:pPr>
                  <w:r>
                    <w:rPr>
                      <w:rFonts w:hint="eastAsia"/>
                      <w:color w:val="auto"/>
                      <w:highlight w:val="none"/>
                      <w:lang w:val="en-US" w:eastAsia="zh-CN"/>
                    </w:rPr>
                    <w:t>10</w:t>
                  </w:r>
                </w:p>
              </w:tc>
              <w:tc>
                <w:tcPr>
                  <w:tcW w:w="2041" w:type="pct"/>
                  <w:tcBorders>
                    <w:tl2br w:val="nil"/>
                    <w:tr2bl w:val="nil"/>
                  </w:tcBorders>
                  <w:vAlign w:val="center"/>
                </w:tcPr>
                <w:p>
                  <w:pPr>
                    <w:pStyle w:val="34"/>
                    <w:bidi w:val="0"/>
                    <w:rPr>
                      <w:rFonts w:hint="default" w:eastAsia="宋体"/>
                      <w:color w:val="auto"/>
                      <w:highlight w:val="none"/>
                      <w:lang w:val="en-US" w:eastAsia="zh-CN"/>
                    </w:rPr>
                  </w:pPr>
                  <w:r>
                    <w:rPr>
                      <w:rFonts w:hint="eastAsia"/>
                      <w:color w:val="auto"/>
                      <w:highlight w:val="none"/>
                      <w:lang w:val="en-US" w:eastAsia="zh-CN"/>
                    </w:rPr>
                    <w:t>石油类/</w:t>
                  </w:r>
                  <w:r>
                    <w:rPr>
                      <w:color w:val="auto"/>
                      <w:highlight w:val="none"/>
                    </w:rPr>
                    <w:t>（mg/L）</w:t>
                  </w:r>
                </w:p>
              </w:tc>
              <w:tc>
                <w:tcPr>
                  <w:tcW w:w="2521" w:type="pct"/>
                  <w:tcBorders>
                    <w:tl2br w:val="nil"/>
                    <w:tr2bl w:val="nil"/>
                  </w:tcBorders>
                  <w:vAlign w:val="center"/>
                </w:tcPr>
                <w:p>
                  <w:pPr>
                    <w:pStyle w:val="34"/>
                    <w:bidi w:val="0"/>
                    <w:rPr>
                      <w:rFonts w:hint="default" w:eastAsia="宋体"/>
                      <w:color w:val="auto"/>
                      <w:highlight w:val="none"/>
                      <w:lang w:val="en-US" w:eastAsia="zh-CN"/>
                    </w:rPr>
                  </w:pPr>
                  <w:r>
                    <w:rPr>
                      <w:rFonts w:hint="eastAsia"/>
                      <w:color w:val="auto"/>
                      <w:highlight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436" w:type="pct"/>
                  <w:tcBorders>
                    <w:tl2br w:val="nil"/>
                    <w:tr2bl w:val="nil"/>
                  </w:tcBorders>
                  <w:vAlign w:val="center"/>
                </w:tcPr>
                <w:p>
                  <w:pPr>
                    <w:pStyle w:val="34"/>
                    <w:bidi w:val="0"/>
                    <w:rPr>
                      <w:rFonts w:hint="default" w:eastAsia="宋体"/>
                      <w:color w:val="auto"/>
                      <w:highlight w:val="none"/>
                      <w:lang w:val="en-US" w:eastAsia="zh-CN"/>
                    </w:rPr>
                  </w:pPr>
                  <w:r>
                    <w:rPr>
                      <w:rFonts w:hint="eastAsia"/>
                      <w:color w:val="auto"/>
                      <w:highlight w:val="none"/>
                      <w:lang w:val="en-US" w:eastAsia="zh-CN"/>
                    </w:rPr>
                    <w:t>11</w:t>
                  </w:r>
                </w:p>
              </w:tc>
              <w:tc>
                <w:tcPr>
                  <w:tcW w:w="2041" w:type="pct"/>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总碱度（以CaCO</w:t>
                  </w:r>
                  <w:r>
                    <w:rPr>
                      <w:rFonts w:hint="eastAsia"/>
                      <w:color w:val="auto"/>
                      <w:highlight w:val="none"/>
                      <w:vertAlign w:val="subscript"/>
                      <w:lang w:val="en-US" w:eastAsia="zh-CN"/>
                    </w:rPr>
                    <w:t>3</w:t>
                  </w:r>
                  <w:r>
                    <w:rPr>
                      <w:rFonts w:hint="eastAsia"/>
                      <w:color w:val="auto"/>
                      <w:highlight w:val="none"/>
                      <w:lang w:val="en-US" w:eastAsia="zh-CN"/>
                    </w:rPr>
                    <w:t>计）/（mg/L）</w:t>
                  </w:r>
                </w:p>
              </w:tc>
              <w:tc>
                <w:tcPr>
                  <w:tcW w:w="2521" w:type="pct"/>
                  <w:tcBorders>
                    <w:tl2br w:val="nil"/>
                    <w:tr2bl w:val="nil"/>
                  </w:tcBorders>
                  <w:vAlign w:val="center"/>
                </w:tcPr>
                <w:p>
                  <w:pPr>
                    <w:pStyle w:val="34"/>
                    <w:bidi w:val="0"/>
                    <w:rPr>
                      <w:rFonts w:hint="default" w:eastAsia="宋体"/>
                      <w:color w:val="auto"/>
                      <w:highlight w:val="none"/>
                      <w:lang w:val="en-US" w:eastAsia="zh-CN"/>
                    </w:rPr>
                  </w:pPr>
                  <w:r>
                    <w:rPr>
                      <w:rFonts w:hint="eastAsia"/>
                      <w:color w:val="auto"/>
                      <w:highlight w:val="none"/>
                      <w:lang w:val="en-US" w:eastAsia="zh-CN"/>
                    </w:rPr>
                    <w:t>350</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436" w:type="pct"/>
                  <w:tcBorders>
                    <w:tl2br w:val="nil"/>
                    <w:tr2bl w:val="nil"/>
                  </w:tcBorders>
                  <w:vAlign w:val="center"/>
                </w:tcPr>
                <w:p>
                  <w:pPr>
                    <w:pStyle w:val="34"/>
                    <w:bidi w:val="0"/>
                    <w:rPr>
                      <w:rFonts w:hint="default" w:eastAsia="宋体"/>
                      <w:color w:val="auto"/>
                      <w:highlight w:val="none"/>
                      <w:lang w:val="en-US" w:eastAsia="zh-CN"/>
                    </w:rPr>
                  </w:pPr>
                  <w:r>
                    <w:rPr>
                      <w:rFonts w:hint="eastAsia"/>
                      <w:color w:val="auto"/>
                      <w:highlight w:val="none"/>
                      <w:lang w:val="en-US" w:eastAsia="zh-CN"/>
                    </w:rPr>
                    <w:t>12</w:t>
                  </w:r>
                </w:p>
              </w:tc>
              <w:tc>
                <w:tcPr>
                  <w:tcW w:w="2041" w:type="pct"/>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总硬度（以CaCO</w:t>
                  </w:r>
                  <w:r>
                    <w:rPr>
                      <w:rFonts w:hint="eastAsia"/>
                      <w:color w:val="auto"/>
                      <w:highlight w:val="none"/>
                      <w:vertAlign w:val="subscript"/>
                      <w:lang w:val="en-US" w:eastAsia="zh-CN"/>
                    </w:rPr>
                    <w:t>3</w:t>
                  </w:r>
                  <w:r>
                    <w:rPr>
                      <w:rFonts w:hint="eastAsia"/>
                      <w:color w:val="auto"/>
                      <w:highlight w:val="none"/>
                      <w:lang w:val="en-US" w:eastAsia="zh-CN"/>
                    </w:rPr>
                    <w:t>计）/（mg/L）</w:t>
                  </w:r>
                </w:p>
              </w:tc>
              <w:tc>
                <w:tcPr>
                  <w:tcW w:w="2521" w:type="pct"/>
                  <w:tcBorders>
                    <w:tl2br w:val="nil"/>
                    <w:tr2bl w:val="nil"/>
                  </w:tcBorders>
                  <w:vAlign w:val="center"/>
                </w:tcPr>
                <w:p>
                  <w:pPr>
                    <w:pStyle w:val="34"/>
                    <w:bidi w:val="0"/>
                    <w:rPr>
                      <w:rFonts w:hint="default" w:eastAsia="宋体"/>
                      <w:color w:val="auto"/>
                      <w:highlight w:val="none"/>
                      <w:lang w:val="en-US" w:eastAsia="zh-CN"/>
                    </w:rPr>
                  </w:pPr>
                  <w:r>
                    <w:rPr>
                      <w:rFonts w:hint="eastAsia"/>
                      <w:color w:val="auto"/>
                      <w:highlight w:val="none"/>
                      <w:lang w:val="en-US" w:eastAsia="zh-CN"/>
                    </w:rPr>
                    <w:t>450</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436" w:type="pct"/>
                  <w:tcBorders>
                    <w:tl2br w:val="nil"/>
                    <w:tr2bl w:val="nil"/>
                  </w:tcBorders>
                  <w:vAlign w:val="center"/>
                </w:tcPr>
                <w:p>
                  <w:pPr>
                    <w:pStyle w:val="34"/>
                    <w:bidi w:val="0"/>
                    <w:rPr>
                      <w:rFonts w:hint="default" w:eastAsia="宋体"/>
                      <w:color w:val="auto"/>
                      <w:highlight w:val="none"/>
                      <w:lang w:val="en-US" w:eastAsia="zh-CN"/>
                    </w:rPr>
                  </w:pPr>
                  <w:r>
                    <w:rPr>
                      <w:rFonts w:hint="eastAsia"/>
                      <w:color w:val="auto"/>
                      <w:highlight w:val="none"/>
                      <w:lang w:val="en-US" w:eastAsia="zh-CN"/>
                    </w:rPr>
                    <w:t>13</w:t>
                  </w:r>
                </w:p>
              </w:tc>
              <w:tc>
                <w:tcPr>
                  <w:tcW w:w="2041" w:type="pct"/>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溶解性总固体/（mg/L）</w:t>
                  </w:r>
                </w:p>
              </w:tc>
              <w:tc>
                <w:tcPr>
                  <w:tcW w:w="2521" w:type="pct"/>
                  <w:tcBorders>
                    <w:tl2br w:val="nil"/>
                    <w:tr2bl w:val="nil"/>
                  </w:tcBorders>
                  <w:vAlign w:val="center"/>
                </w:tcPr>
                <w:p>
                  <w:pPr>
                    <w:pStyle w:val="34"/>
                    <w:bidi w:val="0"/>
                    <w:rPr>
                      <w:rFonts w:hint="default" w:eastAsia="宋体"/>
                      <w:color w:val="auto"/>
                      <w:highlight w:val="none"/>
                      <w:lang w:val="en-US" w:eastAsia="zh-CN"/>
                    </w:rPr>
                  </w:pPr>
                  <w:r>
                    <w:rPr>
                      <w:rFonts w:hint="eastAsia"/>
                      <w:color w:val="auto"/>
                      <w:highlight w:val="none"/>
                      <w:lang w:val="en-US" w:eastAsia="zh-CN"/>
                    </w:rPr>
                    <w:t>1500</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436" w:type="pct"/>
                  <w:tcBorders>
                    <w:tl2br w:val="nil"/>
                    <w:tr2bl w:val="nil"/>
                  </w:tcBorders>
                  <w:vAlign w:val="center"/>
                </w:tcPr>
                <w:p>
                  <w:pPr>
                    <w:pStyle w:val="34"/>
                    <w:bidi w:val="0"/>
                    <w:rPr>
                      <w:rFonts w:hint="default" w:eastAsia="宋体"/>
                      <w:color w:val="auto"/>
                      <w:highlight w:val="none"/>
                      <w:lang w:val="en-US" w:eastAsia="zh-CN"/>
                    </w:rPr>
                  </w:pPr>
                  <w:r>
                    <w:rPr>
                      <w:rFonts w:hint="eastAsia"/>
                      <w:color w:val="auto"/>
                      <w:highlight w:val="none"/>
                      <w:lang w:val="en-US" w:eastAsia="zh-CN"/>
                    </w:rPr>
                    <w:t>14</w:t>
                  </w:r>
                </w:p>
              </w:tc>
              <w:tc>
                <w:tcPr>
                  <w:tcW w:w="2041" w:type="pct"/>
                  <w:tcBorders>
                    <w:tl2br w:val="nil"/>
                    <w:tr2bl w:val="nil"/>
                  </w:tcBorders>
                  <w:vAlign w:val="center"/>
                </w:tcPr>
                <w:p>
                  <w:pPr>
                    <w:pStyle w:val="34"/>
                    <w:bidi w:val="0"/>
                    <w:rPr>
                      <w:rFonts w:hint="eastAsia"/>
                      <w:color w:val="auto"/>
                      <w:highlight w:val="none"/>
                      <w:lang w:val="en-US" w:eastAsia="zh-CN"/>
                    </w:rPr>
                  </w:pPr>
                  <w:r>
                    <w:rPr>
                      <w:rFonts w:hint="eastAsia"/>
                      <w:color w:val="auto"/>
                      <w:highlight w:val="none"/>
                      <w:lang w:val="en-US" w:eastAsia="zh-CN"/>
                    </w:rPr>
                    <w:t>氯</w:t>
                  </w:r>
                  <w:r>
                    <w:rPr>
                      <w:rFonts w:hint="eastAsia"/>
                      <w:color w:val="auto"/>
                      <w:highlight w:val="none"/>
                    </w:rPr>
                    <w:t>化物</w:t>
                  </w:r>
                  <w:r>
                    <w:rPr>
                      <w:rFonts w:hint="eastAsia"/>
                      <w:color w:val="auto"/>
                      <w:highlight w:val="none"/>
                      <w:lang w:val="en-US" w:eastAsia="zh-CN"/>
                    </w:rPr>
                    <w:t>/</w:t>
                  </w:r>
                  <w:r>
                    <w:rPr>
                      <w:color w:val="auto"/>
                      <w:highlight w:val="none"/>
                    </w:rPr>
                    <w:t>（mg/L）</w:t>
                  </w:r>
                </w:p>
              </w:tc>
              <w:tc>
                <w:tcPr>
                  <w:tcW w:w="2521" w:type="pct"/>
                  <w:tcBorders>
                    <w:tl2br w:val="nil"/>
                    <w:tr2bl w:val="nil"/>
                  </w:tcBorders>
                  <w:vAlign w:val="center"/>
                </w:tcPr>
                <w:p>
                  <w:pPr>
                    <w:pStyle w:val="34"/>
                    <w:bidi w:val="0"/>
                    <w:rPr>
                      <w:rFonts w:hint="default" w:eastAsia="宋体"/>
                      <w:color w:val="auto"/>
                      <w:highlight w:val="none"/>
                      <w:lang w:val="en-US" w:eastAsia="zh-CN"/>
                    </w:rPr>
                  </w:pPr>
                  <w:r>
                    <w:rPr>
                      <w:rFonts w:hint="eastAsia"/>
                      <w:color w:val="auto"/>
                      <w:highlight w:val="none"/>
                      <w:lang w:val="en-US" w:eastAsia="zh-CN"/>
                    </w:rPr>
                    <w:t>400</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436" w:type="pct"/>
                  <w:tcBorders>
                    <w:tl2br w:val="nil"/>
                    <w:tr2bl w:val="nil"/>
                  </w:tcBorders>
                  <w:vAlign w:val="center"/>
                </w:tcPr>
                <w:p>
                  <w:pPr>
                    <w:pStyle w:val="34"/>
                    <w:bidi w:val="0"/>
                    <w:rPr>
                      <w:rFonts w:hint="default" w:eastAsia="宋体"/>
                      <w:color w:val="auto"/>
                      <w:highlight w:val="none"/>
                      <w:lang w:val="en-US" w:eastAsia="zh-CN"/>
                    </w:rPr>
                  </w:pPr>
                  <w:r>
                    <w:rPr>
                      <w:rFonts w:hint="eastAsia"/>
                      <w:color w:val="auto"/>
                      <w:highlight w:val="none"/>
                      <w:lang w:val="en-US" w:eastAsia="zh-CN"/>
                    </w:rPr>
                    <w:t>15</w:t>
                  </w:r>
                </w:p>
              </w:tc>
              <w:tc>
                <w:tcPr>
                  <w:tcW w:w="2041" w:type="pct"/>
                  <w:tcBorders>
                    <w:tl2br w:val="nil"/>
                    <w:tr2bl w:val="nil"/>
                  </w:tcBorders>
                  <w:vAlign w:val="center"/>
                </w:tcPr>
                <w:p>
                  <w:pPr>
                    <w:pStyle w:val="34"/>
                    <w:bidi w:val="0"/>
                    <w:rPr>
                      <w:rFonts w:hint="default"/>
                      <w:color w:val="auto"/>
                      <w:highlight w:val="none"/>
                      <w:lang w:val="en-US" w:eastAsia="zh-CN"/>
                    </w:rPr>
                  </w:pPr>
                  <w:r>
                    <w:rPr>
                      <w:rFonts w:hint="eastAsia"/>
                      <w:color w:val="auto"/>
                      <w:highlight w:val="none"/>
                      <w:lang w:val="en-US" w:eastAsia="zh-CN"/>
                    </w:rPr>
                    <w:t>硫酸盐（以SO</w:t>
                  </w:r>
                  <w:r>
                    <w:rPr>
                      <w:rFonts w:hint="eastAsia"/>
                      <w:color w:val="auto"/>
                      <w:highlight w:val="none"/>
                      <w:vertAlign w:val="subscript"/>
                      <w:lang w:val="en-US" w:eastAsia="zh-CN"/>
                    </w:rPr>
                    <w:t>4</w:t>
                  </w:r>
                  <w:r>
                    <w:rPr>
                      <w:rFonts w:hint="eastAsia"/>
                      <w:color w:val="auto"/>
                      <w:highlight w:val="none"/>
                      <w:vertAlign w:val="superscript"/>
                      <w:lang w:val="en-US" w:eastAsia="zh-CN"/>
                    </w:rPr>
                    <w:t>2-</w:t>
                  </w:r>
                  <w:r>
                    <w:rPr>
                      <w:rFonts w:hint="eastAsia"/>
                      <w:color w:val="auto"/>
                      <w:highlight w:val="none"/>
                      <w:lang w:val="en-US" w:eastAsia="zh-CN"/>
                    </w:rPr>
                    <w:t>计）/（mg/L）</w:t>
                  </w:r>
                </w:p>
              </w:tc>
              <w:tc>
                <w:tcPr>
                  <w:tcW w:w="2521" w:type="pct"/>
                  <w:tcBorders>
                    <w:tl2br w:val="nil"/>
                    <w:tr2bl w:val="nil"/>
                  </w:tcBorders>
                  <w:vAlign w:val="center"/>
                </w:tcPr>
                <w:p>
                  <w:pPr>
                    <w:pStyle w:val="34"/>
                    <w:bidi w:val="0"/>
                    <w:rPr>
                      <w:rFonts w:hint="default" w:eastAsia="宋体"/>
                      <w:color w:val="auto"/>
                      <w:highlight w:val="none"/>
                      <w:lang w:val="en-US" w:eastAsia="zh-CN"/>
                    </w:rPr>
                  </w:pPr>
                  <w:r>
                    <w:rPr>
                      <w:rFonts w:hint="eastAsia"/>
                      <w:color w:val="auto"/>
                      <w:highlight w:val="none"/>
                      <w:lang w:val="en-US" w:eastAsia="zh-CN"/>
                    </w:rPr>
                    <w:t>600</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436" w:type="pct"/>
                  <w:tcBorders>
                    <w:tl2br w:val="nil"/>
                    <w:tr2bl w:val="nil"/>
                  </w:tcBorders>
                  <w:vAlign w:val="center"/>
                </w:tcPr>
                <w:p>
                  <w:pPr>
                    <w:pStyle w:val="34"/>
                    <w:bidi w:val="0"/>
                    <w:rPr>
                      <w:rFonts w:hint="default" w:eastAsia="宋体"/>
                      <w:color w:val="auto"/>
                      <w:highlight w:val="none"/>
                      <w:lang w:val="en-US" w:eastAsia="zh-CN"/>
                    </w:rPr>
                  </w:pPr>
                  <w:r>
                    <w:rPr>
                      <w:rFonts w:hint="eastAsia"/>
                      <w:color w:val="auto"/>
                      <w:highlight w:val="none"/>
                      <w:lang w:val="en-US" w:eastAsia="zh-CN"/>
                    </w:rPr>
                    <w:t>16</w:t>
                  </w:r>
                </w:p>
              </w:tc>
              <w:tc>
                <w:tcPr>
                  <w:tcW w:w="2041" w:type="pct"/>
                  <w:tcBorders>
                    <w:tl2br w:val="nil"/>
                    <w:tr2bl w:val="nil"/>
                  </w:tcBorders>
                  <w:vAlign w:val="center"/>
                </w:tcPr>
                <w:p>
                  <w:pPr>
                    <w:pStyle w:val="34"/>
                    <w:bidi w:val="0"/>
                    <w:rPr>
                      <w:rFonts w:hint="eastAsia"/>
                      <w:color w:val="auto"/>
                      <w:highlight w:val="none"/>
                      <w:lang w:val="en-US" w:eastAsia="zh-CN"/>
                    </w:rPr>
                  </w:pPr>
                  <w:r>
                    <w:rPr>
                      <w:rFonts w:hint="eastAsia"/>
                      <w:color w:val="auto"/>
                      <w:highlight w:val="none"/>
                      <w:lang w:val="en-US" w:eastAsia="zh-CN"/>
                    </w:rPr>
                    <w:t>铁/（mg/L）</w:t>
                  </w:r>
                </w:p>
              </w:tc>
              <w:tc>
                <w:tcPr>
                  <w:tcW w:w="2521" w:type="pct"/>
                  <w:tcBorders>
                    <w:tl2br w:val="nil"/>
                    <w:tr2bl w:val="nil"/>
                  </w:tcBorders>
                  <w:vAlign w:val="center"/>
                </w:tcPr>
                <w:p>
                  <w:pPr>
                    <w:pStyle w:val="34"/>
                    <w:bidi w:val="0"/>
                    <w:rPr>
                      <w:rFonts w:hint="default" w:eastAsia="宋体"/>
                      <w:color w:val="auto"/>
                      <w:highlight w:val="none"/>
                      <w:lang w:val="en-US" w:eastAsia="zh-CN"/>
                    </w:rPr>
                  </w:pPr>
                  <w:r>
                    <w:rPr>
                      <w:rFonts w:hint="eastAsia"/>
                      <w:color w:val="auto"/>
                      <w:highlight w:val="none"/>
                      <w:lang w:val="en-US" w:eastAsia="zh-CN"/>
                    </w:rPr>
                    <w:t>0.5</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436" w:type="pct"/>
                  <w:tcBorders>
                    <w:tl2br w:val="nil"/>
                    <w:tr2bl w:val="nil"/>
                  </w:tcBorders>
                  <w:vAlign w:val="center"/>
                </w:tcPr>
                <w:p>
                  <w:pPr>
                    <w:pStyle w:val="34"/>
                    <w:bidi w:val="0"/>
                    <w:rPr>
                      <w:rFonts w:hint="default" w:eastAsia="宋体"/>
                      <w:color w:val="auto"/>
                      <w:highlight w:val="none"/>
                      <w:lang w:val="en-US" w:eastAsia="zh-CN"/>
                    </w:rPr>
                  </w:pPr>
                  <w:r>
                    <w:rPr>
                      <w:rFonts w:hint="eastAsia"/>
                      <w:color w:val="auto"/>
                      <w:highlight w:val="none"/>
                      <w:lang w:val="en-US" w:eastAsia="zh-CN"/>
                    </w:rPr>
                    <w:t>17</w:t>
                  </w:r>
                </w:p>
              </w:tc>
              <w:tc>
                <w:tcPr>
                  <w:tcW w:w="2041" w:type="pct"/>
                  <w:tcBorders>
                    <w:tl2br w:val="nil"/>
                    <w:tr2bl w:val="nil"/>
                  </w:tcBorders>
                  <w:vAlign w:val="center"/>
                </w:tcPr>
                <w:p>
                  <w:pPr>
                    <w:pStyle w:val="34"/>
                    <w:bidi w:val="0"/>
                    <w:rPr>
                      <w:color w:val="auto"/>
                      <w:highlight w:val="none"/>
                    </w:rPr>
                  </w:pPr>
                  <w:r>
                    <w:rPr>
                      <w:rFonts w:hint="eastAsia"/>
                      <w:color w:val="auto"/>
                      <w:highlight w:val="none"/>
                      <w:lang w:val="en-US" w:eastAsia="zh-CN"/>
                    </w:rPr>
                    <w:t>锰</w:t>
                  </w:r>
                  <w:r>
                    <w:rPr>
                      <w:rFonts w:hint="default"/>
                      <w:color w:val="auto"/>
                      <w:highlight w:val="none"/>
                      <w:lang w:val="en-US" w:eastAsia="zh-CN"/>
                    </w:rPr>
                    <w:t>/</w:t>
                  </w:r>
                  <w:r>
                    <w:rPr>
                      <w:rFonts w:hint="eastAsia"/>
                      <w:color w:val="auto"/>
                      <w:highlight w:val="none"/>
                      <w:lang w:val="en-US" w:eastAsia="zh-CN"/>
                    </w:rPr>
                    <w:t>（</w:t>
                  </w:r>
                  <w:r>
                    <w:rPr>
                      <w:rFonts w:hint="default"/>
                      <w:color w:val="auto"/>
                      <w:highlight w:val="none"/>
                      <w:lang w:val="en-US" w:eastAsia="zh-CN"/>
                    </w:rPr>
                    <w:t>mg/L</w:t>
                  </w:r>
                  <w:r>
                    <w:rPr>
                      <w:rFonts w:hint="eastAsia"/>
                      <w:color w:val="auto"/>
                      <w:highlight w:val="none"/>
                      <w:lang w:val="en-US" w:eastAsia="zh-CN"/>
                    </w:rPr>
                    <w:t>）</w:t>
                  </w:r>
                </w:p>
              </w:tc>
              <w:tc>
                <w:tcPr>
                  <w:tcW w:w="2521" w:type="pct"/>
                  <w:tcBorders>
                    <w:tl2br w:val="nil"/>
                    <w:tr2bl w:val="nil"/>
                  </w:tcBorders>
                  <w:vAlign w:val="center"/>
                </w:tcPr>
                <w:p>
                  <w:pPr>
                    <w:pStyle w:val="34"/>
                    <w:bidi w:val="0"/>
                    <w:rPr>
                      <w:rFonts w:hint="default" w:eastAsia="宋体"/>
                      <w:color w:val="auto"/>
                      <w:highlight w:val="none"/>
                      <w:lang w:val="en-US" w:eastAsia="zh-CN"/>
                    </w:rPr>
                  </w:pPr>
                  <w:r>
                    <w:rPr>
                      <w:rFonts w:hint="eastAsia"/>
                      <w:color w:val="auto"/>
                      <w:highlight w:val="none"/>
                      <w:lang w:val="en-US" w:eastAsia="zh-CN"/>
                    </w:rPr>
                    <w:t>0.2</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436" w:type="pct"/>
                  <w:tcBorders>
                    <w:tl2br w:val="nil"/>
                    <w:tr2bl w:val="nil"/>
                  </w:tcBorders>
                  <w:vAlign w:val="center"/>
                </w:tcPr>
                <w:p>
                  <w:pPr>
                    <w:pStyle w:val="34"/>
                    <w:bidi w:val="0"/>
                    <w:rPr>
                      <w:rFonts w:hint="default" w:eastAsia="宋体"/>
                      <w:color w:val="auto"/>
                      <w:highlight w:val="none"/>
                      <w:lang w:val="en-US" w:eastAsia="zh-CN"/>
                    </w:rPr>
                  </w:pPr>
                  <w:r>
                    <w:rPr>
                      <w:rFonts w:hint="eastAsia"/>
                      <w:color w:val="auto"/>
                      <w:highlight w:val="none"/>
                      <w:lang w:val="en-US" w:eastAsia="zh-CN"/>
                    </w:rPr>
                    <w:t>18</w:t>
                  </w:r>
                </w:p>
              </w:tc>
              <w:tc>
                <w:tcPr>
                  <w:tcW w:w="2041" w:type="pct"/>
                  <w:tcBorders>
                    <w:tl2br w:val="nil"/>
                    <w:tr2bl w:val="nil"/>
                  </w:tcBorders>
                  <w:vAlign w:val="center"/>
                </w:tcPr>
                <w:p>
                  <w:pPr>
                    <w:pStyle w:val="34"/>
                    <w:bidi w:val="0"/>
                    <w:rPr>
                      <w:color w:val="auto"/>
                      <w:highlight w:val="none"/>
                    </w:rPr>
                  </w:pPr>
                  <w:r>
                    <w:rPr>
                      <w:rFonts w:hint="eastAsia"/>
                      <w:color w:val="auto"/>
                      <w:highlight w:val="none"/>
                      <w:lang w:val="en-US" w:eastAsia="zh-CN"/>
                    </w:rPr>
                    <w:t>二氧化硅</w:t>
                  </w:r>
                  <w:r>
                    <w:rPr>
                      <w:rFonts w:hint="default"/>
                      <w:color w:val="auto"/>
                      <w:highlight w:val="none"/>
                      <w:lang w:val="en-US" w:eastAsia="zh-CN"/>
                    </w:rPr>
                    <w:t>/</w:t>
                  </w:r>
                  <w:r>
                    <w:rPr>
                      <w:rFonts w:hint="eastAsia"/>
                      <w:color w:val="auto"/>
                      <w:highlight w:val="none"/>
                      <w:lang w:val="en-US" w:eastAsia="zh-CN"/>
                    </w:rPr>
                    <w:t>（</w:t>
                  </w:r>
                  <w:r>
                    <w:rPr>
                      <w:rFonts w:hint="default"/>
                      <w:color w:val="auto"/>
                      <w:highlight w:val="none"/>
                      <w:lang w:val="en-US" w:eastAsia="zh-CN"/>
                    </w:rPr>
                    <w:t>mg/L</w:t>
                  </w:r>
                  <w:r>
                    <w:rPr>
                      <w:rFonts w:hint="eastAsia"/>
                      <w:color w:val="auto"/>
                      <w:highlight w:val="none"/>
                      <w:lang w:val="en-US" w:eastAsia="zh-CN"/>
                    </w:rPr>
                    <w:t>）</w:t>
                  </w:r>
                </w:p>
              </w:tc>
              <w:tc>
                <w:tcPr>
                  <w:tcW w:w="2521" w:type="pct"/>
                  <w:tcBorders>
                    <w:tl2br w:val="nil"/>
                    <w:tr2bl w:val="nil"/>
                  </w:tcBorders>
                  <w:vAlign w:val="center"/>
                </w:tcPr>
                <w:p>
                  <w:pPr>
                    <w:pStyle w:val="34"/>
                    <w:bidi w:val="0"/>
                    <w:rPr>
                      <w:rFonts w:hint="default" w:eastAsia="宋体"/>
                      <w:color w:val="auto"/>
                      <w:highlight w:val="none"/>
                      <w:lang w:val="en-US" w:eastAsia="zh-CN"/>
                    </w:rPr>
                  </w:pPr>
                  <w:r>
                    <w:rPr>
                      <w:rFonts w:hint="eastAsia"/>
                      <w:color w:val="auto"/>
                      <w:highlight w:val="none"/>
                      <w:lang w:val="en-US" w:eastAsia="zh-CN"/>
                    </w:rPr>
                    <w:t>50</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436" w:type="pct"/>
                  <w:tcBorders>
                    <w:tl2br w:val="nil"/>
                    <w:tr2bl w:val="nil"/>
                  </w:tcBorders>
                  <w:vAlign w:val="center"/>
                </w:tcPr>
                <w:p>
                  <w:pPr>
                    <w:pStyle w:val="34"/>
                    <w:bidi w:val="0"/>
                    <w:rPr>
                      <w:rFonts w:hint="default" w:eastAsia="宋体"/>
                      <w:color w:val="auto"/>
                      <w:highlight w:val="none"/>
                      <w:lang w:val="en-US" w:eastAsia="zh-CN"/>
                    </w:rPr>
                  </w:pPr>
                  <w:r>
                    <w:rPr>
                      <w:rFonts w:hint="eastAsia"/>
                      <w:color w:val="auto"/>
                      <w:highlight w:val="none"/>
                      <w:lang w:val="en-US" w:eastAsia="zh-CN"/>
                    </w:rPr>
                    <w:t>19</w:t>
                  </w:r>
                </w:p>
              </w:tc>
              <w:tc>
                <w:tcPr>
                  <w:tcW w:w="2041" w:type="pct"/>
                  <w:tcBorders>
                    <w:tl2br w:val="nil"/>
                    <w:tr2bl w:val="nil"/>
                  </w:tcBorders>
                  <w:vAlign w:val="center"/>
                </w:tcPr>
                <w:p>
                  <w:pPr>
                    <w:pStyle w:val="34"/>
                    <w:bidi w:val="0"/>
                    <w:rPr>
                      <w:color w:val="auto"/>
                      <w:highlight w:val="none"/>
                    </w:rPr>
                  </w:pPr>
                  <w:r>
                    <w:rPr>
                      <w:rFonts w:hint="eastAsia"/>
                      <w:color w:val="auto"/>
                      <w:highlight w:val="none"/>
                      <w:lang w:val="en-US" w:eastAsia="zh-CN"/>
                    </w:rPr>
                    <w:t>粪大肠菌群</w:t>
                  </w:r>
                  <w:r>
                    <w:rPr>
                      <w:rFonts w:hint="default"/>
                      <w:color w:val="auto"/>
                      <w:highlight w:val="none"/>
                      <w:lang w:val="en-US" w:eastAsia="zh-CN"/>
                    </w:rPr>
                    <w:t>/</w:t>
                  </w:r>
                  <w:r>
                    <w:rPr>
                      <w:rFonts w:hint="eastAsia"/>
                      <w:color w:val="auto"/>
                      <w:highlight w:val="none"/>
                      <w:lang w:val="en-US" w:eastAsia="zh-CN"/>
                    </w:rPr>
                    <w:t>（</w:t>
                  </w:r>
                  <w:r>
                    <w:rPr>
                      <w:rFonts w:hint="default"/>
                      <w:color w:val="auto"/>
                      <w:highlight w:val="none"/>
                      <w:lang w:val="en-US" w:eastAsia="zh-CN"/>
                    </w:rPr>
                    <w:t>MPN/L</w:t>
                  </w:r>
                  <w:r>
                    <w:rPr>
                      <w:rFonts w:hint="eastAsia"/>
                      <w:color w:val="auto"/>
                      <w:highlight w:val="none"/>
                      <w:lang w:val="en-US" w:eastAsia="zh-CN"/>
                    </w:rPr>
                    <w:t>）≤</w:t>
                  </w:r>
                </w:p>
              </w:tc>
              <w:tc>
                <w:tcPr>
                  <w:tcW w:w="2521" w:type="pct"/>
                  <w:tcBorders>
                    <w:tl2br w:val="nil"/>
                    <w:tr2bl w:val="nil"/>
                  </w:tcBorders>
                  <w:vAlign w:val="center"/>
                </w:tcPr>
                <w:p>
                  <w:pPr>
                    <w:pStyle w:val="34"/>
                    <w:bidi w:val="0"/>
                    <w:rPr>
                      <w:rFonts w:hint="default" w:eastAsia="宋体"/>
                      <w:color w:val="auto"/>
                      <w:highlight w:val="none"/>
                      <w:lang w:val="en-US" w:eastAsia="zh-CN"/>
                    </w:rPr>
                  </w:pPr>
                  <w:r>
                    <w:rPr>
                      <w:rFonts w:hint="eastAsia"/>
                      <w:color w:val="auto"/>
                      <w:highlight w:val="none"/>
                      <w:lang w:val="en-US" w:eastAsia="zh-CN"/>
                    </w:rPr>
                    <w:t>1000</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436" w:type="pct"/>
                  <w:tcBorders>
                    <w:tl2br w:val="nil"/>
                    <w:tr2bl w:val="nil"/>
                  </w:tcBorders>
                  <w:vAlign w:val="center"/>
                </w:tcPr>
                <w:p>
                  <w:pPr>
                    <w:pStyle w:val="34"/>
                    <w:bidi w:val="0"/>
                    <w:rPr>
                      <w:rFonts w:hint="default" w:eastAsia="宋体"/>
                      <w:color w:val="auto"/>
                      <w:highlight w:val="none"/>
                      <w:lang w:val="en-US" w:eastAsia="zh-CN"/>
                    </w:rPr>
                  </w:pPr>
                  <w:r>
                    <w:rPr>
                      <w:rFonts w:hint="eastAsia"/>
                      <w:color w:val="auto"/>
                      <w:highlight w:val="none"/>
                      <w:lang w:val="en-US" w:eastAsia="zh-CN"/>
                    </w:rPr>
                    <w:t>20</w:t>
                  </w:r>
                </w:p>
              </w:tc>
              <w:tc>
                <w:tcPr>
                  <w:tcW w:w="2041" w:type="pct"/>
                  <w:tcBorders>
                    <w:tl2br w:val="nil"/>
                    <w:tr2bl w:val="nil"/>
                  </w:tcBorders>
                  <w:vAlign w:val="center"/>
                </w:tcPr>
                <w:p>
                  <w:pPr>
                    <w:pStyle w:val="34"/>
                    <w:bidi w:val="0"/>
                    <w:rPr>
                      <w:color w:val="auto"/>
                      <w:highlight w:val="none"/>
                    </w:rPr>
                  </w:pPr>
                  <w:r>
                    <w:rPr>
                      <w:rFonts w:hint="eastAsia"/>
                      <w:color w:val="auto"/>
                      <w:highlight w:val="none"/>
                      <w:lang w:val="en-US" w:eastAsia="zh-CN"/>
                    </w:rPr>
                    <w:t>总余氯</w:t>
                  </w:r>
                  <w:r>
                    <w:rPr>
                      <w:rFonts w:hint="default"/>
                      <w:color w:val="auto"/>
                      <w:highlight w:val="none"/>
                      <w:vertAlign w:val="superscript"/>
                      <w:lang w:val="en-US" w:eastAsia="zh-CN"/>
                    </w:rPr>
                    <w:t>b</w:t>
                  </w:r>
                  <w:r>
                    <w:rPr>
                      <w:rFonts w:hint="eastAsia"/>
                      <w:color w:val="auto"/>
                      <w:highlight w:val="none"/>
                      <w:lang w:val="en-US" w:eastAsia="zh-CN"/>
                    </w:rPr>
                    <w:t>（</w:t>
                  </w:r>
                  <w:r>
                    <w:rPr>
                      <w:rFonts w:hint="default"/>
                      <w:color w:val="auto"/>
                      <w:highlight w:val="none"/>
                      <w:lang w:val="en-US" w:eastAsia="zh-CN"/>
                    </w:rPr>
                    <w:t>mg/L</w:t>
                  </w:r>
                  <w:r>
                    <w:rPr>
                      <w:rFonts w:hint="eastAsia"/>
                      <w:color w:val="auto"/>
                      <w:highlight w:val="none"/>
                      <w:lang w:val="en-US" w:eastAsia="zh-CN"/>
                    </w:rPr>
                    <w:t>）</w:t>
                  </w:r>
                </w:p>
              </w:tc>
              <w:tc>
                <w:tcPr>
                  <w:tcW w:w="2521" w:type="pct"/>
                  <w:tcBorders>
                    <w:tl2br w:val="nil"/>
                    <w:tr2bl w:val="nil"/>
                  </w:tcBorders>
                  <w:vAlign w:val="center"/>
                </w:tcPr>
                <w:p>
                  <w:pPr>
                    <w:pStyle w:val="34"/>
                    <w:bidi w:val="0"/>
                    <w:rPr>
                      <w:rFonts w:hint="default" w:eastAsia="宋体"/>
                      <w:color w:val="auto"/>
                      <w:highlight w:val="none"/>
                      <w:lang w:val="en-US" w:eastAsia="zh-CN"/>
                    </w:rPr>
                  </w:pPr>
                  <w:r>
                    <w:rPr>
                      <w:rFonts w:hint="eastAsia"/>
                      <w:color w:val="auto"/>
                      <w:highlight w:val="none"/>
                      <w:lang w:val="en-US" w:eastAsia="zh-CN"/>
                    </w:rPr>
                    <w:t>01~0.2</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5000" w:type="pct"/>
                  <w:gridSpan w:val="3"/>
                  <w:tcBorders>
                    <w:tl2br w:val="nil"/>
                    <w:tr2bl w:val="nil"/>
                  </w:tcBorders>
                  <w:vAlign w:val="center"/>
                </w:tcPr>
                <w:p>
                  <w:pPr>
                    <w:pStyle w:val="34"/>
                    <w:bidi w:val="0"/>
                    <w:jc w:val="left"/>
                    <w:rPr>
                      <w:color w:val="auto"/>
                      <w:highlight w:val="none"/>
                    </w:rPr>
                  </w:pPr>
                  <w:r>
                    <w:rPr>
                      <w:rFonts w:hint="default"/>
                      <w:color w:val="auto"/>
                      <w:highlight w:val="none"/>
                      <w:lang w:val="en-US" w:eastAsia="zh-CN"/>
                    </w:rPr>
                    <w:t>a</w:t>
                  </w:r>
                  <w:r>
                    <w:rPr>
                      <w:rFonts w:hint="eastAsia"/>
                      <w:color w:val="auto"/>
                      <w:highlight w:val="none"/>
                      <w:lang w:val="en-US" w:eastAsia="zh-CN"/>
                    </w:rPr>
                    <w:t>用于间冷开式循环冷却水系统补充水，且换热器为铜合金材质时，氨氮指标应小于</w:t>
                  </w:r>
                  <w:r>
                    <w:rPr>
                      <w:rFonts w:hint="default"/>
                      <w:color w:val="auto"/>
                      <w:highlight w:val="none"/>
                      <w:lang w:val="en-US" w:eastAsia="zh-CN"/>
                    </w:rPr>
                    <w:t>1mg/L</w:t>
                  </w:r>
                  <w:r>
                    <w:rPr>
                      <w:rFonts w:hint="eastAsia"/>
                      <w:color w:val="auto"/>
                      <w:highlight w:val="none"/>
                      <w:lang w:val="en-US" w:eastAsia="zh-CN"/>
                    </w:rPr>
                    <w:t xml:space="preserve">。 </w:t>
                  </w:r>
                </w:p>
                <w:p>
                  <w:pPr>
                    <w:pStyle w:val="34"/>
                    <w:bidi w:val="0"/>
                    <w:jc w:val="left"/>
                    <w:rPr>
                      <w:color w:val="auto"/>
                      <w:highlight w:val="none"/>
                    </w:rPr>
                  </w:pPr>
                  <w:r>
                    <w:rPr>
                      <w:rFonts w:hint="default"/>
                      <w:color w:val="auto"/>
                      <w:highlight w:val="none"/>
                      <w:lang w:val="en-US" w:eastAsia="zh-CN"/>
                    </w:rPr>
                    <w:t>b</w:t>
                  </w:r>
                  <w:r>
                    <w:rPr>
                      <w:rFonts w:hint="eastAsia"/>
                      <w:color w:val="auto"/>
                      <w:highlight w:val="none"/>
                      <w:lang w:val="en-US" w:eastAsia="zh-CN"/>
                    </w:rPr>
                    <w:t>与用户管道连接处再生水中总余氯值。</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3</w:t>
            </w:r>
            <w:r>
              <w:rPr>
                <w:rFonts w:hint="default" w:ascii="黑体" w:hAnsi="黑体" w:eastAsia="黑体" w:cs="黑体"/>
                <w:color w:val="auto"/>
                <w:highlight w:val="none"/>
                <w:lang w:val="en-US" w:eastAsia="zh-CN"/>
              </w:rPr>
              <w:t>、噪声排放标准</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项目运营期厂界噪声执行《工业企业厂界环境噪声排放标准》（GB12348-2008）</w:t>
            </w:r>
            <w:r>
              <w:rPr>
                <w:rFonts w:hint="eastAsia" w:cs="Times New Roman"/>
                <w:color w:val="auto"/>
                <w:highlight w:val="none"/>
                <w:lang w:val="en-US" w:eastAsia="zh-CN"/>
              </w:rPr>
              <w:t>中3</w:t>
            </w:r>
            <w:r>
              <w:rPr>
                <w:rFonts w:hint="default" w:ascii="Times New Roman" w:hAnsi="Times New Roman" w:eastAsia="宋体" w:cs="Times New Roman"/>
                <w:color w:val="auto"/>
                <w:highlight w:val="none"/>
                <w:lang w:val="en-US" w:eastAsia="zh-CN"/>
              </w:rPr>
              <w:t>类区标准（噪声排放执行标准与现有项目相同），具体</w:t>
            </w:r>
            <w:r>
              <w:rPr>
                <w:rFonts w:hint="eastAsia" w:cs="Times New Roman"/>
                <w:color w:val="auto"/>
                <w:highlight w:val="none"/>
                <w:lang w:val="en-US" w:eastAsia="zh-CN"/>
              </w:rPr>
              <w:t>标准</w:t>
            </w:r>
            <w:r>
              <w:rPr>
                <w:rFonts w:hint="default" w:ascii="Times New Roman" w:hAnsi="Times New Roman" w:eastAsia="宋体" w:cs="Times New Roman"/>
                <w:color w:val="auto"/>
                <w:highlight w:val="none"/>
                <w:lang w:val="en-US" w:eastAsia="zh-CN"/>
              </w:rPr>
              <w:t>限</w:t>
            </w:r>
            <w:r>
              <w:rPr>
                <w:rFonts w:hint="default" w:ascii="Times New Roman" w:hAnsi="Times New Roman" w:cs="Times New Roman"/>
                <w:color w:val="auto"/>
                <w:highlight w:val="none"/>
                <w:lang w:val="en-US" w:eastAsia="zh-CN"/>
              </w:rPr>
              <w:t>值</w:t>
            </w:r>
            <w:r>
              <w:rPr>
                <w:rFonts w:hint="eastAsia" w:cs="Times New Roman"/>
                <w:color w:val="auto"/>
                <w:highlight w:val="none"/>
                <w:lang w:val="en-US" w:eastAsia="zh-CN"/>
              </w:rPr>
              <w:t>详见下表</w:t>
            </w:r>
            <w:r>
              <w:rPr>
                <w:rFonts w:hint="default" w:ascii="Times New Roman" w:hAnsi="Times New Roman" w:eastAsia="宋体" w:cs="Times New Roman"/>
                <w:color w:val="auto"/>
                <w:highlight w:val="none"/>
                <w:lang w:val="en-US" w:eastAsia="zh-CN"/>
              </w:rPr>
              <w:t>。</w:t>
            </w:r>
          </w:p>
          <w:p>
            <w:pPr>
              <w:pStyle w:val="35"/>
              <w:bidi w:val="0"/>
              <w:rPr>
                <w:rFonts w:hint="default"/>
                <w:color w:val="auto"/>
                <w:highlight w:val="none"/>
                <w:lang w:val="en-US" w:eastAsia="zh-CN"/>
              </w:rPr>
            </w:pPr>
            <w:r>
              <w:rPr>
                <w:rFonts w:hint="default"/>
                <w:color w:val="auto"/>
                <w:highlight w:val="none"/>
                <w:lang w:val="en-US" w:eastAsia="zh-CN"/>
              </w:rPr>
              <w:t>表3-</w:t>
            </w:r>
            <w:r>
              <w:rPr>
                <w:rFonts w:hint="eastAsia"/>
                <w:color w:val="auto"/>
                <w:highlight w:val="none"/>
                <w:lang w:val="en-US" w:eastAsia="zh-CN"/>
              </w:rPr>
              <w:t>8</w:t>
            </w:r>
            <w:r>
              <w:rPr>
                <w:rFonts w:hint="default"/>
                <w:color w:val="auto"/>
                <w:highlight w:val="none"/>
                <w:lang w:val="en-US" w:eastAsia="zh-CN"/>
              </w:rPr>
              <w:t xml:space="preserve"> </w:t>
            </w:r>
            <w:r>
              <w:rPr>
                <w:rFonts w:hint="eastAsia"/>
                <w:color w:val="auto"/>
                <w:highlight w:val="none"/>
                <w:lang w:val="en-US" w:eastAsia="zh-CN"/>
              </w:rPr>
              <w:t xml:space="preserve"> </w:t>
            </w:r>
            <w:r>
              <w:rPr>
                <w:rFonts w:hint="default"/>
                <w:color w:val="auto"/>
                <w:highlight w:val="none"/>
                <w:lang w:val="en-US" w:eastAsia="zh-CN"/>
              </w:rPr>
              <w:t>《工业企业厂界环境噪声排放标准》</w:t>
            </w:r>
            <w:r>
              <w:rPr>
                <w:rFonts w:hint="eastAsia"/>
                <w:color w:val="auto"/>
                <w:highlight w:val="none"/>
                <w:lang w:val="en-US" w:eastAsia="zh-CN"/>
              </w:rPr>
              <w:t xml:space="preserve">   单位：dB（A）</w:t>
            </w:r>
          </w:p>
          <w:tbl>
            <w:tblPr>
              <w:tblStyle w:val="24"/>
              <w:tblW w:w="760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4"/>
              <w:gridCol w:w="2425"/>
              <w:gridCol w:w="2075"/>
              <w:gridCol w:w="21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4" w:type="dxa"/>
                  <w:vMerge w:val="restart"/>
                  <w:tcBorders>
                    <w:tl2br w:val="nil"/>
                    <w:tr2bl w:val="nil"/>
                  </w:tcBorders>
                  <w:vAlign w:val="center"/>
                </w:tcPr>
                <w:p>
                  <w:pPr>
                    <w:tabs>
                      <w:tab w:val="left" w:pos="279"/>
                    </w:tabs>
                    <w:bidi w:val="0"/>
                    <w:spacing w:line="240" w:lineRule="auto"/>
                    <w:ind w:firstLine="0" w:firstLineChars="0"/>
                    <w:jc w:val="center"/>
                    <w:rPr>
                      <w:rFonts w:hint="default" w:ascii="Times New Roman" w:hAnsi="Times New Roman" w:eastAsia="宋体" w:cs="Times New Roman"/>
                      <w:b w:val="0"/>
                      <w:bCs w:val="0"/>
                      <w:color w:val="auto"/>
                      <w:sz w:val="18"/>
                      <w:szCs w:val="18"/>
                      <w:highlight w:val="none"/>
                      <w:vertAlign w:val="baseline"/>
                      <w:lang w:val="en-US" w:eastAsia="zh-CN"/>
                    </w:rPr>
                  </w:pPr>
                  <w:r>
                    <w:rPr>
                      <w:rFonts w:hint="default" w:ascii="Times New Roman" w:hAnsi="Times New Roman" w:eastAsia="宋体" w:cs="Times New Roman"/>
                      <w:b w:val="0"/>
                      <w:bCs w:val="0"/>
                      <w:color w:val="auto"/>
                      <w:sz w:val="18"/>
                      <w:szCs w:val="18"/>
                      <w:highlight w:val="none"/>
                      <w:vertAlign w:val="baseline"/>
                      <w:lang w:val="en-US" w:eastAsia="zh-CN"/>
                    </w:rPr>
                    <w:t>类别</w:t>
                  </w:r>
                </w:p>
              </w:tc>
              <w:tc>
                <w:tcPr>
                  <w:tcW w:w="2425" w:type="dxa"/>
                  <w:vMerge w:val="restart"/>
                  <w:tcBorders>
                    <w:tl2br w:val="nil"/>
                    <w:tr2bl w:val="nil"/>
                  </w:tcBorders>
                  <w:vAlign w:val="center"/>
                </w:tcPr>
                <w:p>
                  <w:pPr>
                    <w:tabs>
                      <w:tab w:val="left" w:pos="279"/>
                    </w:tabs>
                    <w:bidi w:val="0"/>
                    <w:spacing w:line="240" w:lineRule="auto"/>
                    <w:ind w:firstLine="0" w:firstLineChars="0"/>
                    <w:jc w:val="center"/>
                    <w:rPr>
                      <w:rFonts w:hint="default" w:ascii="Times New Roman" w:hAnsi="Times New Roman" w:eastAsia="宋体" w:cs="Times New Roman"/>
                      <w:b w:val="0"/>
                      <w:bCs w:val="0"/>
                      <w:color w:val="auto"/>
                      <w:sz w:val="18"/>
                      <w:szCs w:val="18"/>
                      <w:highlight w:val="none"/>
                      <w:vertAlign w:val="baseline"/>
                      <w:lang w:val="en-US" w:eastAsia="zh-CN"/>
                    </w:rPr>
                  </w:pPr>
                  <w:r>
                    <w:rPr>
                      <w:rFonts w:hint="default" w:ascii="Times New Roman" w:hAnsi="Times New Roman" w:eastAsia="宋体" w:cs="Times New Roman"/>
                      <w:b w:val="0"/>
                      <w:bCs w:val="0"/>
                      <w:color w:val="auto"/>
                      <w:sz w:val="18"/>
                      <w:szCs w:val="18"/>
                      <w:highlight w:val="none"/>
                      <w:vertAlign w:val="baseline"/>
                      <w:lang w:val="en-US" w:eastAsia="zh-CN"/>
                    </w:rPr>
                    <w:t>执行区域</w:t>
                  </w:r>
                </w:p>
              </w:tc>
              <w:tc>
                <w:tcPr>
                  <w:tcW w:w="4177" w:type="dxa"/>
                  <w:gridSpan w:val="2"/>
                  <w:tcBorders>
                    <w:tl2br w:val="nil"/>
                    <w:tr2bl w:val="nil"/>
                  </w:tcBorders>
                  <w:vAlign w:val="center"/>
                </w:tcPr>
                <w:p>
                  <w:pPr>
                    <w:tabs>
                      <w:tab w:val="left" w:pos="279"/>
                    </w:tabs>
                    <w:bidi w:val="0"/>
                    <w:spacing w:line="240" w:lineRule="auto"/>
                    <w:ind w:firstLine="0" w:firstLineChars="0"/>
                    <w:jc w:val="center"/>
                    <w:rPr>
                      <w:rFonts w:hint="default" w:ascii="Times New Roman" w:hAnsi="Times New Roman" w:eastAsia="宋体" w:cs="Times New Roman"/>
                      <w:b w:val="0"/>
                      <w:bCs w:val="0"/>
                      <w:color w:val="auto"/>
                      <w:sz w:val="18"/>
                      <w:szCs w:val="18"/>
                      <w:highlight w:val="none"/>
                      <w:vertAlign w:val="baseline"/>
                      <w:lang w:val="en-US" w:eastAsia="zh-CN"/>
                    </w:rPr>
                  </w:pPr>
                  <w:r>
                    <w:rPr>
                      <w:rFonts w:hint="default" w:ascii="Times New Roman" w:hAnsi="Times New Roman" w:eastAsia="宋体" w:cs="Times New Roman"/>
                      <w:b w:val="0"/>
                      <w:bCs w:val="0"/>
                      <w:color w:val="auto"/>
                      <w:sz w:val="18"/>
                      <w:szCs w:val="18"/>
                      <w:highlight w:val="none"/>
                      <w:vertAlign w:val="baseline"/>
                      <w:lang w:val="en-US" w:eastAsia="zh-CN"/>
                    </w:rPr>
                    <w:t>等效声级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4" w:type="dxa"/>
                  <w:vMerge w:val="continue"/>
                  <w:tcBorders>
                    <w:tl2br w:val="nil"/>
                    <w:tr2bl w:val="nil"/>
                  </w:tcBorders>
                  <w:vAlign w:val="center"/>
                </w:tcPr>
                <w:p>
                  <w:pPr>
                    <w:tabs>
                      <w:tab w:val="left" w:pos="279"/>
                    </w:tabs>
                    <w:bidi w:val="0"/>
                    <w:spacing w:line="240" w:lineRule="auto"/>
                    <w:ind w:firstLine="0" w:firstLineChars="0"/>
                    <w:jc w:val="center"/>
                    <w:rPr>
                      <w:rFonts w:hint="default" w:ascii="Times New Roman" w:hAnsi="Times New Roman" w:eastAsia="宋体" w:cs="Times New Roman"/>
                      <w:b w:val="0"/>
                      <w:bCs w:val="0"/>
                      <w:color w:val="auto"/>
                      <w:sz w:val="18"/>
                      <w:szCs w:val="18"/>
                      <w:highlight w:val="none"/>
                      <w:vertAlign w:val="baseline"/>
                      <w:lang w:val="en-US" w:eastAsia="zh-CN"/>
                    </w:rPr>
                  </w:pPr>
                </w:p>
              </w:tc>
              <w:tc>
                <w:tcPr>
                  <w:tcW w:w="2425" w:type="dxa"/>
                  <w:vMerge w:val="continue"/>
                  <w:tcBorders>
                    <w:tl2br w:val="nil"/>
                    <w:tr2bl w:val="nil"/>
                  </w:tcBorders>
                  <w:vAlign w:val="center"/>
                </w:tcPr>
                <w:p>
                  <w:pPr>
                    <w:tabs>
                      <w:tab w:val="left" w:pos="279"/>
                    </w:tabs>
                    <w:bidi w:val="0"/>
                    <w:spacing w:line="240" w:lineRule="auto"/>
                    <w:ind w:firstLine="0" w:firstLineChars="0"/>
                    <w:jc w:val="center"/>
                    <w:rPr>
                      <w:rFonts w:hint="default" w:ascii="Times New Roman" w:hAnsi="Times New Roman" w:eastAsia="宋体" w:cs="Times New Roman"/>
                      <w:b w:val="0"/>
                      <w:bCs w:val="0"/>
                      <w:color w:val="auto"/>
                      <w:sz w:val="18"/>
                      <w:szCs w:val="18"/>
                      <w:highlight w:val="none"/>
                      <w:vertAlign w:val="baseline"/>
                      <w:lang w:val="en-US" w:eastAsia="zh-CN"/>
                    </w:rPr>
                  </w:pPr>
                </w:p>
              </w:tc>
              <w:tc>
                <w:tcPr>
                  <w:tcW w:w="2075" w:type="dxa"/>
                  <w:tcBorders>
                    <w:tl2br w:val="nil"/>
                    <w:tr2bl w:val="nil"/>
                  </w:tcBorders>
                  <w:vAlign w:val="center"/>
                </w:tcPr>
                <w:p>
                  <w:pPr>
                    <w:tabs>
                      <w:tab w:val="left" w:pos="279"/>
                    </w:tabs>
                    <w:bidi w:val="0"/>
                    <w:spacing w:line="240" w:lineRule="auto"/>
                    <w:ind w:firstLine="0" w:firstLineChars="0"/>
                    <w:jc w:val="center"/>
                    <w:rPr>
                      <w:rFonts w:hint="default" w:ascii="Times New Roman" w:hAnsi="Times New Roman" w:eastAsia="宋体" w:cs="Times New Roman"/>
                      <w:b w:val="0"/>
                      <w:bCs w:val="0"/>
                      <w:color w:val="auto"/>
                      <w:sz w:val="18"/>
                      <w:szCs w:val="18"/>
                      <w:highlight w:val="none"/>
                      <w:vertAlign w:val="baseline"/>
                      <w:lang w:val="en-US" w:eastAsia="zh-CN"/>
                    </w:rPr>
                  </w:pPr>
                  <w:r>
                    <w:rPr>
                      <w:rFonts w:hint="default" w:ascii="Times New Roman" w:hAnsi="Times New Roman" w:eastAsia="宋体" w:cs="Times New Roman"/>
                      <w:b w:val="0"/>
                      <w:bCs w:val="0"/>
                      <w:color w:val="auto"/>
                      <w:sz w:val="18"/>
                      <w:szCs w:val="18"/>
                      <w:highlight w:val="none"/>
                      <w:vertAlign w:val="baseline"/>
                      <w:lang w:val="en-US" w:eastAsia="zh-CN"/>
                    </w:rPr>
                    <w:t>昼间</w:t>
                  </w:r>
                </w:p>
              </w:tc>
              <w:tc>
                <w:tcPr>
                  <w:tcW w:w="2102" w:type="dxa"/>
                  <w:tcBorders>
                    <w:tl2br w:val="nil"/>
                    <w:tr2bl w:val="nil"/>
                  </w:tcBorders>
                  <w:vAlign w:val="center"/>
                </w:tcPr>
                <w:p>
                  <w:pPr>
                    <w:tabs>
                      <w:tab w:val="left" w:pos="279"/>
                    </w:tabs>
                    <w:bidi w:val="0"/>
                    <w:spacing w:line="240" w:lineRule="auto"/>
                    <w:ind w:firstLine="0" w:firstLineChars="0"/>
                    <w:jc w:val="center"/>
                    <w:rPr>
                      <w:rFonts w:hint="default" w:ascii="Times New Roman" w:hAnsi="Times New Roman" w:eastAsia="宋体" w:cs="Times New Roman"/>
                      <w:b w:val="0"/>
                      <w:bCs w:val="0"/>
                      <w:color w:val="auto"/>
                      <w:sz w:val="18"/>
                      <w:szCs w:val="18"/>
                      <w:highlight w:val="none"/>
                      <w:vertAlign w:val="baseline"/>
                      <w:lang w:val="en-US" w:eastAsia="zh-CN"/>
                    </w:rPr>
                  </w:pPr>
                  <w:r>
                    <w:rPr>
                      <w:rFonts w:hint="default" w:ascii="Times New Roman" w:hAnsi="Times New Roman" w:eastAsia="宋体" w:cs="Times New Roman"/>
                      <w:b w:val="0"/>
                      <w:bCs w:val="0"/>
                      <w:color w:val="auto"/>
                      <w:sz w:val="18"/>
                      <w:szCs w:val="18"/>
                      <w:highlight w:val="none"/>
                      <w:vertAlign w:val="baseline"/>
                      <w:lang w:val="en-US" w:eastAsia="zh-CN"/>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4" w:type="dxa"/>
                  <w:tcBorders>
                    <w:tl2br w:val="nil"/>
                    <w:tr2bl w:val="nil"/>
                  </w:tcBorders>
                  <w:vAlign w:val="center"/>
                </w:tcPr>
                <w:p>
                  <w:pPr>
                    <w:tabs>
                      <w:tab w:val="left" w:pos="279"/>
                    </w:tabs>
                    <w:bidi w:val="0"/>
                    <w:spacing w:line="240" w:lineRule="auto"/>
                    <w:ind w:firstLine="0" w:firstLineChars="0"/>
                    <w:jc w:val="center"/>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3</w:t>
                  </w:r>
                  <w:r>
                    <w:rPr>
                      <w:rFonts w:hint="default" w:ascii="Times New Roman" w:hAnsi="Times New Roman" w:eastAsia="宋体" w:cs="Times New Roman"/>
                      <w:b w:val="0"/>
                      <w:bCs w:val="0"/>
                      <w:color w:val="auto"/>
                      <w:sz w:val="18"/>
                      <w:szCs w:val="18"/>
                      <w:highlight w:val="none"/>
                      <w:vertAlign w:val="baseline"/>
                      <w:lang w:val="en-US" w:eastAsia="zh-CN"/>
                    </w:rPr>
                    <w:t>类</w:t>
                  </w:r>
                </w:p>
              </w:tc>
              <w:tc>
                <w:tcPr>
                  <w:tcW w:w="2425" w:type="dxa"/>
                  <w:tcBorders>
                    <w:tl2br w:val="nil"/>
                    <w:tr2bl w:val="nil"/>
                  </w:tcBorders>
                  <w:vAlign w:val="center"/>
                </w:tcPr>
                <w:p>
                  <w:pPr>
                    <w:tabs>
                      <w:tab w:val="left" w:pos="279"/>
                    </w:tabs>
                    <w:bidi w:val="0"/>
                    <w:spacing w:line="240" w:lineRule="auto"/>
                    <w:ind w:firstLine="0" w:firstLineChars="0"/>
                    <w:jc w:val="center"/>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易门铜业有限公司全厂</w:t>
                  </w:r>
                  <w:r>
                    <w:rPr>
                      <w:rFonts w:hint="default" w:ascii="Times New Roman" w:hAnsi="Times New Roman" w:eastAsia="宋体" w:cs="Times New Roman"/>
                      <w:b w:val="0"/>
                      <w:bCs w:val="0"/>
                      <w:color w:val="auto"/>
                      <w:sz w:val="18"/>
                      <w:szCs w:val="18"/>
                      <w:highlight w:val="none"/>
                      <w:vertAlign w:val="baseline"/>
                      <w:lang w:val="en-US" w:eastAsia="zh-CN"/>
                    </w:rPr>
                    <w:t>厂界</w:t>
                  </w:r>
                </w:p>
              </w:tc>
              <w:tc>
                <w:tcPr>
                  <w:tcW w:w="2075" w:type="dxa"/>
                  <w:tcBorders>
                    <w:tl2br w:val="nil"/>
                    <w:tr2bl w:val="nil"/>
                  </w:tcBorders>
                  <w:vAlign w:val="center"/>
                </w:tcPr>
                <w:p>
                  <w:pPr>
                    <w:tabs>
                      <w:tab w:val="left" w:pos="279"/>
                    </w:tabs>
                    <w:bidi w:val="0"/>
                    <w:spacing w:line="240" w:lineRule="auto"/>
                    <w:ind w:firstLine="0" w:firstLineChars="0"/>
                    <w:jc w:val="center"/>
                    <w:rPr>
                      <w:rFonts w:hint="default" w:ascii="Times New Roman" w:hAnsi="Times New Roman" w:eastAsia="宋体" w:cs="Times New Roman"/>
                      <w:b w:val="0"/>
                      <w:bCs w:val="0"/>
                      <w:color w:val="auto"/>
                      <w:sz w:val="18"/>
                      <w:szCs w:val="18"/>
                      <w:highlight w:val="none"/>
                      <w:vertAlign w:val="baseline"/>
                      <w:lang w:val="en-US" w:eastAsia="zh-CN"/>
                    </w:rPr>
                  </w:pPr>
                  <w:r>
                    <w:rPr>
                      <w:rFonts w:hint="default" w:ascii="Times New Roman" w:hAnsi="Times New Roman" w:cs="Times New Roman"/>
                      <w:b w:val="0"/>
                      <w:bCs w:val="0"/>
                      <w:color w:val="auto"/>
                      <w:sz w:val="18"/>
                      <w:szCs w:val="18"/>
                      <w:highlight w:val="none"/>
                      <w:vertAlign w:val="baseline"/>
                      <w:lang w:val="en-US" w:eastAsia="zh-CN"/>
                    </w:rPr>
                    <w:t>≤</w:t>
                  </w:r>
                  <w:r>
                    <w:rPr>
                      <w:rFonts w:hint="default" w:ascii="Times New Roman" w:hAnsi="Times New Roman" w:eastAsia="宋体" w:cs="Times New Roman"/>
                      <w:b w:val="0"/>
                      <w:bCs w:val="0"/>
                      <w:color w:val="auto"/>
                      <w:sz w:val="18"/>
                      <w:szCs w:val="18"/>
                      <w:highlight w:val="none"/>
                      <w:vertAlign w:val="baseline"/>
                      <w:lang w:val="en-US" w:eastAsia="zh-CN"/>
                    </w:rPr>
                    <w:t>6</w:t>
                  </w:r>
                  <w:r>
                    <w:rPr>
                      <w:rFonts w:hint="eastAsia" w:cs="Times New Roman"/>
                      <w:b w:val="0"/>
                      <w:bCs w:val="0"/>
                      <w:color w:val="auto"/>
                      <w:sz w:val="18"/>
                      <w:szCs w:val="18"/>
                      <w:highlight w:val="none"/>
                      <w:vertAlign w:val="baseline"/>
                      <w:lang w:val="en-US" w:eastAsia="zh-CN"/>
                    </w:rPr>
                    <w:t>5</w:t>
                  </w:r>
                </w:p>
              </w:tc>
              <w:tc>
                <w:tcPr>
                  <w:tcW w:w="2102" w:type="dxa"/>
                  <w:tcBorders>
                    <w:tl2br w:val="nil"/>
                    <w:tr2bl w:val="nil"/>
                  </w:tcBorders>
                  <w:vAlign w:val="center"/>
                </w:tcPr>
                <w:p>
                  <w:pPr>
                    <w:tabs>
                      <w:tab w:val="left" w:pos="279"/>
                    </w:tabs>
                    <w:bidi w:val="0"/>
                    <w:spacing w:line="240" w:lineRule="auto"/>
                    <w:ind w:firstLine="0" w:firstLineChars="0"/>
                    <w:jc w:val="center"/>
                    <w:rPr>
                      <w:rFonts w:hint="default" w:ascii="Times New Roman" w:hAnsi="Times New Roman" w:eastAsia="宋体" w:cs="Times New Roman"/>
                      <w:b w:val="0"/>
                      <w:bCs w:val="0"/>
                      <w:color w:val="auto"/>
                      <w:sz w:val="18"/>
                      <w:szCs w:val="18"/>
                      <w:highlight w:val="none"/>
                      <w:vertAlign w:val="baseline"/>
                      <w:lang w:val="en-US" w:eastAsia="zh-CN"/>
                    </w:rPr>
                  </w:pPr>
                  <w:r>
                    <w:rPr>
                      <w:rFonts w:hint="default" w:ascii="Times New Roman" w:hAnsi="Times New Roman" w:cs="Times New Roman"/>
                      <w:b w:val="0"/>
                      <w:bCs w:val="0"/>
                      <w:color w:val="auto"/>
                      <w:sz w:val="18"/>
                      <w:szCs w:val="18"/>
                      <w:highlight w:val="none"/>
                      <w:vertAlign w:val="baseline"/>
                      <w:lang w:val="en-US" w:eastAsia="zh-CN"/>
                    </w:rPr>
                    <w:t>≤</w:t>
                  </w:r>
                  <w:r>
                    <w:rPr>
                      <w:rFonts w:hint="default" w:ascii="Times New Roman" w:hAnsi="Times New Roman" w:eastAsia="宋体" w:cs="Times New Roman"/>
                      <w:b w:val="0"/>
                      <w:bCs w:val="0"/>
                      <w:color w:val="auto"/>
                      <w:sz w:val="18"/>
                      <w:szCs w:val="18"/>
                      <w:highlight w:val="none"/>
                      <w:vertAlign w:val="baseline"/>
                      <w:lang w:val="en-US" w:eastAsia="zh-CN"/>
                    </w:rPr>
                    <w:t>5</w:t>
                  </w:r>
                  <w:r>
                    <w:rPr>
                      <w:rFonts w:hint="eastAsia" w:cs="Times New Roman"/>
                      <w:b w:val="0"/>
                      <w:bCs w:val="0"/>
                      <w:color w:val="auto"/>
                      <w:sz w:val="18"/>
                      <w:szCs w:val="18"/>
                      <w:highlight w:val="none"/>
                      <w:vertAlign w:val="baseline"/>
                      <w:lang w:val="en-US" w:eastAsia="zh-CN"/>
                    </w:rPr>
                    <w:t>5</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4</w:t>
            </w:r>
            <w:r>
              <w:rPr>
                <w:rFonts w:hint="default" w:ascii="黑体" w:hAnsi="黑体" w:eastAsia="黑体" w:cs="黑体"/>
                <w:color w:val="auto"/>
                <w:highlight w:val="none"/>
                <w:lang w:val="en-US" w:eastAsia="zh-CN"/>
              </w:rPr>
              <w:t>、固体废物处置标准</w:t>
            </w:r>
          </w:p>
          <w:p>
            <w:pPr>
              <w:bidi w:val="0"/>
              <w:rPr>
                <w:rFonts w:hint="default"/>
                <w:color w:val="auto"/>
                <w:highlight w:val="none"/>
                <w:lang w:val="en-US" w:eastAsia="zh-CN"/>
              </w:rPr>
            </w:pPr>
            <w:r>
              <w:rPr>
                <w:rFonts w:hint="eastAsia"/>
                <w:color w:val="auto"/>
                <w:highlight w:val="none"/>
                <w:lang w:val="en-US" w:eastAsia="zh-CN"/>
              </w:rPr>
              <w:t>本项目运营过程中产生的一般固废</w:t>
            </w:r>
            <w:r>
              <w:rPr>
                <w:rFonts w:hint="default"/>
                <w:color w:val="auto"/>
                <w:highlight w:val="none"/>
                <w:lang w:val="en-US" w:eastAsia="zh-CN"/>
              </w:rPr>
              <w:t>执行《一般工业固体废物贮存和填埋污染控制标准》（GB18599-2020）中的</w:t>
            </w:r>
            <w:r>
              <w:rPr>
                <w:rFonts w:hint="eastAsia"/>
                <w:color w:val="auto"/>
                <w:highlight w:val="none"/>
                <w:lang w:val="en-US" w:eastAsia="zh-CN"/>
              </w:rPr>
              <w:t>相关要求；危险废物执行《危险废物贮存污染控制标准》（GB18597-2023）中相关要求。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7" w:hRule="atLeast"/>
        </w:trPr>
        <w:tc>
          <w:tcPr>
            <w:tcW w:w="590" w:type="dxa"/>
            <w:vAlign w:val="center"/>
          </w:tcPr>
          <w:p>
            <w:pPr>
              <w:pStyle w:val="41"/>
              <w:bidi w:val="0"/>
              <w:rPr>
                <w:rFonts w:hint="default"/>
                <w:color w:val="auto"/>
                <w:highlight w:val="none"/>
                <w:lang w:val="en-US" w:eastAsia="zh-CN"/>
              </w:rPr>
            </w:pPr>
            <w:bookmarkStart w:id="244" w:name="_Toc5812"/>
            <w:r>
              <w:rPr>
                <w:rFonts w:hint="default"/>
                <w:color w:val="auto"/>
                <w:highlight w:val="none"/>
                <w:lang w:val="en-US" w:eastAsia="zh-CN"/>
              </w:rPr>
              <w:t>总量控制指标</w:t>
            </w:r>
          </w:p>
        </w:tc>
        <w:tc>
          <w:tcPr>
            <w:tcW w:w="7938" w:type="dxa"/>
            <w:vAlign w:val="top"/>
          </w:tcPr>
          <w:p>
            <w:pPr>
              <w:keepNext w:val="0"/>
              <w:keepLines w:val="0"/>
              <w:pageBreakBefore w:val="0"/>
              <w:widowControl w:val="0"/>
              <w:kinsoku/>
              <w:wordWrap/>
              <w:overflowPunct/>
              <w:topLinePunct w:val="0"/>
              <w:autoSpaceDE/>
              <w:autoSpaceDN/>
              <w:bidi w:val="0"/>
              <w:adjustRightInd/>
              <w:snapToGrid/>
              <w:spacing w:before="79" w:beforeLines="25"/>
              <w:textAlignment w:val="auto"/>
              <w:rPr>
                <w:rFonts w:hint="default"/>
                <w:color w:val="auto"/>
                <w:highlight w:val="none"/>
                <w:lang w:val="en-US" w:eastAsia="zh-CN"/>
              </w:rPr>
            </w:pPr>
            <w:r>
              <w:rPr>
                <w:rFonts w:hint="default"/>
                <w:color w:val="auto"/>
                <w:highlight w:val="none"/>
                <w:lang w:val="en-US" w:eastAsia="zh-CN"/>
              </w:rPr>
              <w:t>国家“十四五”总量控制污染物包括：氮氧化物、挥发性有机物、COD</w:t>
            </w:r>
            <w:r>
              <w:rPr>
                <w:rFonts w:hint="default"/>
                <w:color w:val="auto"/>
                <w:highlight w:val="none"/>
                <w:vertAlign w:val="subscript"/>
                <w:lang w:val="en-US" w:eastAsia="zh-CN"/>
              </w:rPr>
              <w:t>Cr</w:t>
            </w:r>
            <w:r>
              <w:rPr>
                <w:rFonts w:hint="default"/>
                <w:color w:val="auto"/>
                <w:highlight w:val="none"/>
                <w:lang w:val="en-US" w:eastAsia="zh-CN"/>
              </w:rPr>
              <w:t>、氨氮等</w:t>
            </w:r>
            <w:r>
              <w:rPr>
                <w:rFonts w:hint="eastAsia"/>
                <w:color w:val="auto"/>
                <w:highlight w:val="none"/>
                <w:lang w:val="en-US" w:eastAsia="zh-CN"/>
              </w:rPr>
              <w:t>。本项目运营期无废气污染物产生</w:t>
            </w:r>
            <w:r>
              <w:rPr>
                <w:rFonts w:hint="default"/>
                <w:color w:val="auto"/>
                <w:highlight w:val="none"/>
                <w:lang w:val="en-US" w:eastAsia="zh-CN"/>
              </w:rPr>
              <w:t>，</w:t>
            </w:r>
            <w:r>
              <w:rPr>
                <w:rFonts w:hint="eastAsia"/>
                <w:color w:val="auto"/>
                <w:highlight w:val="none"/>
                <w:lang w:val="en-US" w:eastAsia="zh-CN"/>
              </w:rPr>
              <w:t>不设</w:t>
            </w:r>
            <w:r>
              <w:rPr>
                <w:rFonts w:hint="default"/>
                <w:color w:val="auto"/>
                <w:highlight w:val="none"/>
                <w:lang w:val="en-US" w:eastAsia="zh-CN"/>
              </w:rPr>
              <w:t>废气</w:t>
            </w:r>
            <w:r>
              <w:rPr>
                <w:rFonts w:hint="eastAsia"/>
                <w:color w:val="auto"/>
                <w:highlight w:val="none"/>
                <w:lang w:val="en-US" w:eastAsia="zh-CN"/>
              </w:rPr>
              <w:t>污染物</w:t>
            </w:r>
            <w:r>
              <w:rPr>
                <w:rFonts w:hint="default"/>
                <w:color w:val="auto"/>
                <w:highlight w:val="none"/>
                <w:lang w:val="en-US" w:eastAsia="zh-CN"/>
              </w:rPr>
              <w:t>总量控制指标</w:t>
            </w:r>
            <w:r>
              <w:rPr>
                <w:rFonts w:hint="eastAsia"/>
                <w:color w:val="auto"/>
                <w:highlight w:val="none"/>
                <w:lang w:val="en-US" w:eastAsia="zh-CN"/>
              </w:rPr>
              <w:t>；运营期生活污水经收集后进入厂区生活污水处理站进行处理，处理达标后回用于绿化浇洒，不外排；生产废水（循环冷却系统排污水）经污水管道排入厂区生产废水深度水处理站处理达标后回用于易门铜业有限公司冶炼渣缓冷场，不外排，不设废水污染物总量控制指标</w:t>
            </w:r>
            <w:r>
              <w:rPr>
                <w:rFonts w:hint="default"/>
                <w:color w:val="auto"/>
                <w:highlight w:val="none"/>
                <w:lang w:val="en-US" w:eastAsia="zh-CN"/>
              </w:rPr>
              <w:t>。</w:t>
            </w:r>
            <w:r>
              <w:rPr>
                <w:rFonts w:hint="eastAsia"/>
                <w:color w:val="auto"/>
                <w:highlight w:val="none"/>
                <w:lang w:val="en-US" w:eastAsia="zh-CN"/>
              </w:rPr>
              <w:t>项目运营期</w:t>
            </w:r>
            <w:r>
              <w:rPr>
                <w:rFonts w:hint="default"/>
                <w:color w:val="auto"/>
                <w:highlight w:val="none"/>
                <w:lang w:val="en-US" w:eastAsia="zh-CN"/>
              </w:rPr>
              <w:t>固废处置率</w:t>
            </w:r>
            <w:r>
              <w:rPr>
                <w:rFonts w:hint="eastAsia"/>
                <w:color w:val="auto"/>
                <w:highlight w:val="none"/>
                <w:lang w:val="en-US" w:eastAsia="zh-CN"/>
              </w:rPr>
              <w:t>为</w:t>
            </w:r>
            <w:r>
              <w:rPr>
                <w:rFonts w:hint="default"/>
                <w:color w:val="auto"/>
                <w:highlight w:val="none"/>
                <w:lang w:val="en-US" w:eastAsia="zh-CN"/>
              </w:rPr>
              <w:t>100%。</w:t>
            </w:r>
          </w:p>
          <w:p>
            <w:pPr>
              <w:rPr>
                <w:rFonts w:hint="default"/>
                <w:color w:val="auto"/>
                <w:highlight w:val="none"/>
                <w:lang w:val="en-US" w:eastAsia="zh-CN"/>
              </w:rPr>
            </w:pPr>
          </w:p>
          <w:p>
            <w:pPr>
              <w:rPr>
                <w:rFonts w:hint="default"/>
                <w:color w:val="auto"/>
                <w:highlight w:val="none"/>
                <w:lang w:val="en-US" w:eastAsia="zh-CN"/>
              </w:rPr>
            </w:pPr>
          </w:p>
          <w:p>
            <w:pPr>
              <w:ind w:left="0" w:leftChars="0" w:firstLine="0" w:firstLineChars="0"/>
              <w:rPr>
                <w:rFonts w:hint="default"/>
                <w:color w:val="auto"/>
                <w:highlight w:val="none"/>
                <w:lang w:val="en-US" w:eastAsia="zh-CN"/>
              </w:rPr>
            </w:pPr>
          </w:p>
          <w:p>
            <w:pPr>
              <w:rPr>
                <w:rFonts w:hint="default"/>
                <w:color w:val="auto"/>
                <w:highlight w:val="none"/>
                <w:lang w:val="en-US" w:eastAsia="zh-CN"/>
              </w:rPr>
            </w:pPr>
          </w:p>
          <w:p>
            <w:pPr>
              <w:rPr>
                <w:rFonts w:hint="default"/>
                <w:color w:val="auto"/>
                <w:highlight w:val="none"/>
                <w:lang w:val="en-US" w:eastAsia="zh-CN"/>
              </w:rPr>
            </w:pPr>
          </w:p>
          <w:p>
            <w:pPr>
              <w:rPr>
                <w:rFonts w:hint="default"/>
                <w:color w:val="auto"/>
                <w:highlight w:val="none"/>
                <w:lang w:val="en-US" w:eastAsia="zh-CN"/>
              </w:rPr>
            </w:pPr>
          </w:p>
          <w:p>
            <w:pPr>
              <w:ind w:left="0" w:leftChars="0" w:firstLine="0" w:firstLineChars="0"/>
              <w:rPr>
                <w:rFonts w:hint="default"/>
                <w:color w:val="auto"/>
                <w:highlight w:val="none"/>
                <w:lang w:val="en-US" w:eastAsia="zh-CN"/>
              </w:rPr>
            </w:pPr>
          </w:p>
          <w:p>
            <w:pPr>
              <w:rPr>
                <w:rFonts w:hint="default"/>
                <w:color w:val="auto"/>
                <w:highlight w:val="none"/>
                <w:lang w:val="en-US" w:eastAsia="zh-CN"/>
              </w:rPr>
            </w:pPr>
          </w:p>
          <w:p>
            <w:pPr>
              <w:ind w:left="0" w:leftChars="0" w:firstLine="0" w:firstLineChars="0"/>
              <w:rPr>
                <w:rFonts w:hint="default"/>
                <w:color w:val="auto"/>
                <w:highlight w:val="none"/>
                <w:lang w:val="en-US" w:eastAsia="zh-CN"/>
              </w:rPr>
            </w:pPr>
          </w:p>
        </w:tc>
      </w:tr>
    </w:tbl>
    <w:p>
      <w:pPr>
        <w:pStyle w:val="2"/>
        <w:bidi w:val="0"/>
        <w:rPr>
          <w:rFonts w:hint="default"/>
          <w:color w:val="auto"/>
          <w:highlight w:val="none"/>
          <w:lang w:eastAsia="zh-CN"/>
        </w:rPr>
      </w:pPr>
      <w:bookmarkStart w:id="245" w:name="_Toc30736"/>
      <w:r>
        <w:rPr>
          <w:rFonts w:hint="default"/>
          <w:color w:val="auto"/>
          <w:highlight w:val="none"/>
          <w:lang w:eastAsia="zh-CN"/>
        </w:rPr>
        <w:t>四、主要环境影响和保护措施</w:t>
      </w:r>
      <w:bookmarkEnd w:id="244"/>
      <w:bookmarkEnd w:id="245"/>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
        <w:gridCol w:w="7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7" w:hRule="atLeast"/>
        </w:trPr>
        <w:tc>
          <w:tcPr>
            <w:tcW w:w="558" w:type="dxa"/>
            <w:vAlign w:val="center"/>
          </w:tcPr>
          <w:p>
            <w:pPr>
              <w:pStyle w:val="41"/>
              <w:bidi w:val="0"/>
              <w:rPr>
                <w:rFonts w:hint="default"/>
                <w:color w:val="auto"/>
                <w:highlight w:val="none"/>
                <w:lang w:eastAsia="zh-CN"/>
              </w:rPr>
            </w:pPr>
            <w:r>
              <w:rPr>
                <w:rFonts w:hint="default"/>
                <w:color w:val="auto"/>
                <w:highlight w:val="none"/>
                <w:lang w:val="en-US" w:eastAsia="zh-CN"/>
              </w:rPr>
              <w:t>施工期环境保护措施</w:t>
            </w:r>
          </w:p>
        </w:tc>
        <w:tc>
          <w:tcPr>
            <w:tcW w:w="7970" w:type="dxa"/>
          </w:tcPr>
          <w:p>
            <w:pPr>
              <w:bidi w:val="0"/>
              <w:rPr>
                <w:color w:val="auto"/>
                <w:highlight w:val="none"/>
              </w:rPr>
            </w:pPr>
            <w:r>
              <w:rPr>
                <w:rFonts w:hint="eastAsia"/>
                <w:color w:val="auto"/>
                <w:highlight w:val="none"/>
                <w:lang w:val="en-US" w:eastAsia="zh-CN"/>
              </w:rPr>
              <w:t>本项目为改建项目，现有工程主体内容已基本建成，本次施工期施工内容仅包括：</w:t>
            </w:r>
            <w:r>
              <w:rPr>
                <w:rFonts w:hint="default"/>
                <w:color w:val="auto"/>
                <w:highlight w:val="none"/>
                <w:lang w:val="en-US" w:eastAsia="zh-CN"/>
              </w:rPr>
              <w:t>现有6500Nm³/h变压吸附制氧装置拆除、原厂房内设备管道及基础拆除、厂房向西扩建20m、新建高压变频器室、新建设备基础及配套设施安装等</w:t>
            </w:r>
            <w:r>
              <w:rPr>
                <w:rFonts w:hint="eastAsia"/>
                <w:color w:val="auto"/>
                <w:highlight w:val="none"/>
                <w:lang w:val="en-US" w:eastAsia="zh-CN"/>
              </w:rPr>
              <w:t>，总体来说施工内容较为简单。</w:t>
            </w:r>
            <w:r>
              <w:rPr>
                <w:color w:val="auto"/>
                <w:highlight w:val="none"/>
              </w:rPr>
              <w:t>施工期环境影响及</w:t>
            </w:r>
            <w:r>
              <w:rPr>
                <w:rFonts w:hint="eastAsia"/>
                <w:color w:val="auto"/>
                <w:highlight w:val="none"/>
              </w:rPr>
              <w:t>环境</w:t>
            </w:r>
            <w:r>
              <w:rPr>
                <w:color w:val="auto"/>
                <w:highlight w:val="none"/>
              </w:rPr>
              <w:t>保护措施如下：</w:t>
            </w:r>
          </w:p>
          <w:p>
            <w:pPr>
              <w:bidi w:val="0"/>
              <w:rPr>
                <w:b/>
                <w:bCs/>
                <w:color w:val="auto"/>
                <w:highlight w:val="none"/>
              </w:rPr>
            </w:pPr>
            <w:r>
              <w:rPr>
                <w:rFonts w:hint="eastAsia" w:ascii="黑体" w:hAnsi="黑体" w:eastAsia="黑体" w:cs="黑体"/>
                <w:color w:val="auto"/>
                <w:highlight w:val="none"/>
              </w:rPr>
              <w:t>1、大气</w:t>
            </w:r>
            <w:r>
              <w:rPr>
                <w:rFonts w:hint="eastAsia" w:ascii="黑体" w:hAnsi="黑体" w:eastAsia="黑体" w:cs="黑体"/>
                <w:color w:val="auto"/>
                <w:highlight w:val="none"/>
                <w:lang w:val="en-US" w:eastAsia="zh-CN"/>
              </w:rPr>
              <w:t>污染</w:t>
            </w:r>
            <w:r>
              <w:rPr>
                <w:rFonts w:hint="eastAsia" w:ascii="黑体" w:hAnsi="黑体" w:eastAsia="黑体" w:cs="黑体"/>
                <w:color w:val="auto"/>
                <w:highlight w:val="none"/>
              </w:rPr>
              <w:t>防治措施</w:t>
            </w:r>
          </w:p>
          <w:p>
            <w:pPr>
              <w:bidi w:val="0"/>
              <w:rPr>
                <w:rFonts w:hint="eastAsia"/>
                <w:color w:val="auto"/>
                <w:highlight w:val="none"/>
              </w:rPr>
            </w:pPr>
            <w:r>
              <w:rPr>
                <w:rFonts w:hint="eastAsia"/>
                <w:color w:val="auto"/>
                <w:highlight w:val="none"/>
              </w:rPr>
              <w:t>项目</w:t>
            </w:r>
            <w:r>
              <w:rPr>
                <w:rFonts w:hint="eastAsia"/>
                <w:color w:val="auto"/>
                <w:highlight w:val="none"/>
                <w:lang w:val="en-US" w:eastAsia="zh-CN"/>
              </w:rPr>
              <w:t>施工期</w:t>
            </w:r>
            <w:r>
              <w:rPr>
                <w:rFonts w:hint="eastAsia"/>
                <w:color w:val="auto"/>
                <w:highlight w:val="none"/>
              </w:rPr>
              <w:t>大气污染主要为</w:t>
            </w:r>
            <w:r>
              <w:rPr>
                <w:rFonts w:hint="eastAsia"/>
                <w:color w:val="auto"/>
                <w:highlight w:val="none"/>
                <w:lang w:val="en-US" w:eastAsia="zh-CN"/>
              </w:rPr>
              <w:t>施工</w:t>
            </w:r>
            <w:r>
              <w:rPr>
                <w:rFonts w:hint="eastAsia"/>
                <w:color w:val="auto"/>
                <w:highlight w:val="none"/>
              </w:rPr>
              <w:t>扬尘、机械废气</w:t>
            </w:r>
            <w:r>
              <w:rPr>
                <w:rFonts w:hint="eastAsia"/>
                <w:color w:val="auto"/>
                <w:highlight w:val="none"/>
                <w:lang w:val="en-US" w:eastAsia="zh-CN"/>
              </w:rPr>
              <w:t>污染影响</w:t>
            </w:r>
            <w:r>
              <w:rPr>
                <w:rFonts w:hint="eastAsia"/>
                <w:color w:val="auto"/>
                <w:highlight w:val="none"/>
              </w:rPr>
              <w:t>。</w:t>
            </w:r>
          </w:p>
          <w:p>
            <w:pPr>
              <w:bidi w:val="0"/>
              <w:rPr>
                <w:rFonts w:hint="eastAsia"/>
                <w:color w:val="auto"/>
                <w:highlight w:val="none"/>
              </w:rPr>
            </w:pPr>
            <w:r>
              <w:rPr>
                <w:rFonts w:hint="eastAsia"/>
                <w:color w:val="auto"/>
                <w:highlight w:val="none"/>
              </w:rPr>
              <w:t>（1）</w:t>
            </w:r>
            <w:r>
              <w:rPr>
                <w:rFonts w:hint="eastAsia"/>
                <w:color w:val="auto"/>
                <w:highlight w:val="none"/>
                <w:lang w:val="en-US" w:eastAsia="zh-CN"/>
              </w:rPr>
              <w:t>施工</w:t>
            </w:r>
            <w:r>
              <w:rPr>
                <w:rFonts w:hint="eastAsia"/>
                <w:color w:val="auto"/>
                <w:highlight w:val="none"/>
              </w:rPr>
              <w:t>扬尘防治措施</w:t>
            </w:r>
          </w:p>
          <w:p>
            <w:pPr>
              <w:bidi w:val="0"/>
              <w:rPr>
                <w:color w:val="auto"/>
                <w:highlight w:val="none"/>
              </w:rPr>
            </w:pPr>
            <w:r>
              <w:rPr>
                <w:color w:val="auto"/>
                <w:highlight w:val="none"/>
              </w:rPr>
              <w:t>施工扬尘主要来源于</w:t>
            </w:r>
            <w:r>
              <w:rPr>
                <w:rFonts w:hint="eastAsia"/>
                <w:color w:val="auto"/>
                <w:highlight w:val="none"/>
                <w:lang w:val="en-US" w:eastAsia="zh-CN"/>
              </w:rPr>
              <w:t>极少量的基坑开挖</w:t>
            </w:r>
            <w:r>
              <w:rPr>
                <w:color w:val="auto"/>
                <w:highlight w:val="none"/>
              </w:rPr>
              <w:t>以及原材料运输、堆放等作业，主要污染物为TSP</w:t>
            </w:r>
            <w:r>
              <w:rPr>
                <w:rFonts w:hint="eastAsia"/>
                <w:color w:val="auto"/>
                <w:highlight w:val="none"/>
              </w:rPr>
              <w:t>，</w:t>
            </w:r>
            <w:r>
              <w:rPr>
                <w:color w:val="auto"/>
                <w:highlight w:val="none"/>
              </w:rPr>
              <w:t>不含有毒有害的特殊污染物质，对施工环境</w:t>
            </w:r>
            <w:r>
              <w:rPr>
                <w:rFonts w:hint="eastAsia"/>
                <w:color w:val="auto"/>
                <w:highlight w:val="none"/>
                <w:lang w:val="en-US" w:eastAsia="zh-CN"/>
              </w:rPr>
              <w:t>及周边环境保护目标</w:t>
            </w:r>
            <w:r>
              <w:rPr>
                <w:color w:val="auto"/>
                <w:highlight w:val="none"/>
              </w:rPr>
              <w:t>有</w:t>
            </w:r>
            <w:r>
              <w:rPr>
                <w:rFonts w:hint="eastAsia"/>
                <w:color w:val="auto"/>
                <w:highlight w:val="none"/>
                <w:lang w:val="en-US" w:eastAsia="zh-CN"/>
              </w:rPr>
              <w:t>一</w:t>
            </w:r>
            <w:r>
              <w:rPr>
                <w:color w:val="auto"/>
                <w:highlight w:val="none"/>
              </w:rPr>
              <w:t>定的污染。</w:t>
            </w:r>
            <w:r>
              <w:rPr>
                <w:rFonts w:hint="eastAsia"/>
                <w:color w:val="auto"/>
                <w:highlight w:val="none"/>
                <w:lang w:val="en-US" w:eastAsia="zh-CN"/>
              </w:rPr>
              <w:t>施工扬尘</w:t>
            </w:r>
            <w:r>
              <w:rPr>
                <w:color w:val="auto"/>
                <w:highlight w:val="none"/>
              </w:rPr>
              <w:t>呈无组织排放，其产生强度与施工方式、气象条件有关，一般风大时产生扬尘</w:t>
            </w:r>
            <w:r>
              <w:rPr>
                <w:rFonts w:hint="eastAsia"/>
                <w:color w:val="auto"/>
                <w:highlight w:val="none"/>
                <w:lang w:val="en-US" w:eastAsia="zh-CN"/>
              </w:rPr>
              <w:t>量</w:t>
            </w:r>
            <w:r>
              <w:rPr>
                <w:color w:val="auto"/>
                <w:highlight w:val="none"/>
              </w:rPr>
              <w:t>较多。</w:t>
            </w:r>
            <w:r>
              <w:rPr>
                <w:rFonts w:hint="eastAsia"/>
                <w:color w:val="auto"/>
                <w:highlight w:val="none"/>
                <w:lang w:eastAsia="zh-CN"/>
              </w:rPr>
              <w:t>本次</w:t>
            </w:r>
            <w:r>
              <w:rPr>
                <w:color w:val="auto"/>
                <w:highlight w:val="none"/>
              </w:rPr>
              <w:t>环评提出如下降尘措施</w:t>
            </w:r>
            <w:r>
              <w:rPr>
                <w:rFonts w:hint="eastAsia"/>
                <w:color w:val="auto"/>
                <w:highlight w:val="none"/>
              </w:rPr>
              <w:t>：</w:t>
            </w:r>
          </w:p>
          <w:p>
            <w:pPr>
              <w:bidi w:val="0"/>
              <w:rPr>
                <w:color w:val="auto"/>
                <w:highlight w:val="none"/>
              </w:rPr>
            </w:pPr>
            <w:r>
              <w:rPr>
                <w:rFonts w:hint="eastAsia"/>
                <w:color w:val="auto"/>
                <w:highlight w:val="none"/>
              </w:rPr>
              <w:t>①</w:t>
            </w:r>
            <w:r>
              <w:rPr>
                <w:color w:val="auto"/>
                <w:highlight w:val="none"/>
              </w:rPr>
              <w:t>在施工工作面，配套洒水设备，专人负责，定期洒水，在大风干燥日要加大洒水量和洒水次数</w:t>
            </w:r>
            <w:r>
              <w:rPr>
                <w:rFonts w:hint="eastAsia"/>
                <w:color w:val="auto"/>
                <w:highlight w:val="none"/>
                <w:lang w:eastAsia="zh-CN"/>
              </w:rPr>
              <w:t>，</w:t>
            </w:r>
            <w:r>
              <w:rPr>
                <w:rFonts w:hint="eastAsia"/>
                <w:color w:val="auto"/>
                <w:highlight w:val="none"/>
                <w:lang w:val="en-US" w:eastAsia="zh-CN"/>
              </w:rPr>
              <w:t>降低扬尘产生量，减轻扬尘污染对周边环境保护目标的影响</w:t>
            </w:r>
            <w:r>
              <w:rPr>
                <w:color w:val="auto"/>
                <w:highlight w:val="none"/>
              </w:rPr>
              <w:t>。</w:t>
            </w:r>
          </w:p>
          <w:p>
            <w:pPr>
              <w:bidi w:val="0"/>
              <w:rPr>
                <w:color w:val="auto"/>
                <w:highlight w:val="none"/>
              </w:rPr>
            </w:pPr>
            <w:r>
              <w:rPr>
                <w:rFonts w:hint="eastAsia"/>
                <w:color w:val="auto"/>
                <w:highlight w:val="none"/>
              </w:rPr>
              <w:t>②</w:t>
            </w:r>
            <w:r>
              <w:rPr>
                <w:color w:val="auto"/>
                <w:highlight w:val="none"/>
              </w:rPr>
              <w:t>施工现场内运输道路应洒水降尘，</w:t>
            </w:r>
            <w:r>
              <w:rPr>
                <w:rFonts w:hint="eastAsia"/>
                <w:color w:val="auto"/>
                <w:highlight w:val="none"/>
                <w:lang w:val="en-US" w:eastAsia="zh-CN"/>
              </w:rPr>
              <w:t>运输车辆经过居民区时应</w:t>
            </w:r>
            <w:r>
              <w:rPr>
                <w:color w:val="auto"/>
                <w:highlight w:val="none"/>
              </w:rPr>
              <w:t>尽量减缓车速</w:t>
            </w:r>
            <w:r>
              <w:rPr>
                <w:rFonts w:hint="eastAsia"/>
                <w:color w:val="auto"/>
                <w:highlight w:val="none"/>
                <w:lang w:eastAsia="zh-CN"/>
              </w:rPr>
              <w:t>，</w:t>
            </w:r>
            <w:r>
              <w:rPr>
                <w:color w:val="auto"/>
                <w:highlight w:val="none"/>
              </w:rPr>
              <w:t>以减少汽车行驶扬尘。</w:t>
            </w:r>
          </w:p>
          <w:p>
            <w:pPr>
              <w:bidi w:val="0"/>
              <w:rPr>
                <w:color w:val="auto"/>
                <w:highlight w:val="none"/>
              </w:rPr>
            </w:pPr>
            <w:r>
              <w:rPr>
                <w:rFonts w:hint="eastAsia"/>
                <w:color w:val="auto"/>
                <w:highlight w:val="none"/>
              </w:rPr>
              <w:t>③使用商品混凝土</w:t>
            </w:r>
            <w:r>
              <w:rPr>
                <w:color w:val="auto"/>
                <w:highlight w:val="none"/>
              </w:rPr>
              <w:t>。</w:t>
            </w:r>
          </w:p>
          <w:p>
            <w:pPr>
              <w:bidi w:val="0"/>
              <w:rPr>
                <w:rFonts w:hint="eastAsia" w:eastAsia="宋体"/>
                <w:color w:val="auto"/>
                <w:highlight w:val="none"/>
                <w:lang w:eastAsia="zh-CN"/>
              </w:rPr>
            </w:pPr>
            <w:r>
              <w:rPr>
                <w:rFonts w:hint="eastAsia"/>
                <w:color w:val="auto"/>
                <w:highlight w:val="none"/>
              </w:rPr>
              <w:t>④</w:t>
            </w:r>
            <w:r>
              <w:rPr>
                <w:color w:val="auto"/>
                <w:highlight w:val="none"/>
              </w:rPr>
              <w:t>施工过程中使用的细颗粒散装原料应贮存于库房内或密闭存放，避免露天堆放。细颗粒物料运输应采用密闭式槽车运输，装卸时要采取措施减少扬尘量</w:t>
            </w:r>
            <w:r>
              <w:rPr>
                <w:rFonts w:hint="eastAsia"/>
                <w:color w:val="auto"/>
                <w:highlight w:val="none"/>
                <w:lang w:eastAsia="zh-CN"/>
              </w:rPr>
              <w:t>。</w:t>
            </w:r>
          </w:p>
          <w:p>
            <w:pPr>
              <w:bidi w:val="0"/>
              <w:rPr>
                <w:color w:val="auto"/>
                <w:highlight w:val="none"/>
              </w:rPr>
            </w:pPr>
            <w:r>
              <w:rPr>
                <w:rFonts w:hint="eastAsia"/>
                <w:color w:val="auto"/>
                <w:highlight w:val="none"/>
              </w:rPr>
              <w:t>⑤运输车辆尽可能采用密闭车斗，并保证物料不遗撒外漏。无密闭车斗的，物料的装载高度不超过车辆槽帮上沿，车斗用苫布遮盖严实等。</w:t>
            </w:r>
          </w:p>
          <w:p>
            <w:pPr>
              <w:bidi w:val="0"/>
              <w:rPr>
                <w:rFonts w:hint="default"/>
                <w:color w:val="auto"/>
                <w:highlight w:val="none"/>
                <w:lang w:val="en-US" w:eastAsia="zh-CN"/>
              </w:rPr>
            </w:pPr>
            <w:r>
              <w:rPr>
                <w:rFonts w:hint="eastAsia"/>
                <w:color w:val="auto"/>
                <w:highlight w:val="none"/>
                <w:lang w:val="en-US" w:eastAsia="zh-CN"/>
              </w:rPr>
              <w:t>综上所述，经采取以上防治措施后，项目施工期扬尘对周围环境及周边环境保护目标影响较小，且项目施工工期较短，施工扬尘影响将随着施工期结束而结束。</w:t>
            </w:r>
          </w:p>
          <w:p>
            <w:pPr>
              <w:bidi w:val="0"/>
              <w:rPr>
                <w:rFonts w:hint="eastAsia"/>
                <w:color w:val="auto"/>
                <w:highlight w:val="none"/>
              </w:rPr>
            </w:pPr>
            <w:r>
              <w:rPr>
                <w:rFonts w:hint="eastAsia"/>
                <w:color w:val="auto"/>
                <w:highlight w:val="none"/>
              </w:rPr>
              <w:t>（2）机械废气防治措施</w:t>
            </w:r>
          </w:p>
          <w:p>
            <w:pPr>
              <w:bidi w:val="0"/>
              <w:rPr>
                <w:color w:val="auto"/>
                <w:highlight w:val="none"/>
              </w:rPr>
            </w:pPr>
            <w:r>
              <w:rPr>
                <w:color w:val="auto"/>
                <w:highlight w:val="none"/>
              </w:rPr>
              <w:t>施工中施工机械运行产生的废气、运输车辆运输产生的尾气均是动力燃料柴油和汽油燃烧后所产生，是影响空气环境的主要污染物之一，</w:t>
            </w:r>
            <w:r>
              <w:rPr>
                <w:rFonts w:hint="eastAsia"/>
                <w:color w:val="auto"/>
                <w:highlight w:val="none"/>
                <w:lang w:eastAsia="zh-CN"/>
              </w:rPr>
              <w:t>主要成分是</w:t>
            </w:r>
            <w:r>
              <w:rPr>
                <w:color w:val="auto"/>
                <w:highlight w:val="none"/>
              </w:rPr>
              <w:t>碳氢类化合物、CO和NO</w:t>
            </w:r>
            <w:r>
              <w:rPr>
                <w:rFonts w:hint="eastAsia"/>
                <w:color w:val="auto"/>
                <w:highlight w:val="none"/>
                <w:vertAlign w:val="subscript"/>
                <w:lang w:val="en-US" w:eastAsia="zh-CN"/>
              </w:rPr>
              <w:t>X</w:t>
            </w:r>
            <w:r>
              <w:rPr>
                <w:color w:val="auto"/>
                <w:highlight w:val="none"/>
              </w:rPr>
              <w:t>，属无组织排放，产生量较小</w:t>
            </w:r>
            <w:r>
              <w:rPr>
                <w:rFonts w:hint="eastAsia"/>
                <w:color w:val="auto"/>
                <w:highlight w:val="none"/>
              </w:rPr>
              <w:t>，主要通过自然扩散</w:t>
            </w:r>
            <w:r>
              <w:rPr>
                <w:rFonts w:hint="eastAsia"/>
                <w:color w:val="auto"/>
                <w:highlight w:val="none"/>
                <w:lang w:val="en-US" w:eastAsia="zh-CN"/>
              </w:rPr>
              <w:t>形式排放，对周边环境影响较小</w:t>
            </w:r>
            <w:r>
              <w:rPr>
                <w:color w:val="auto"/>
                <w:highlight w:val="none"/>
              </w:rPr>
              <w:t>。</w:t>
            </w:r>
          </w:p>
          <w:p>
            <w:pPr>
              <w:bidi w:val="0"/>
              <w:rPr>
                <w:rFonts w:hint="eastAsia" w:ascii="黑体" w:hAnsi="黑体" w:eastAsia="黑体" w:cs="黑体"/>
                <w:b w:val="0"/>
                <w:bCs w:val="0"/>
                <w:color w:val="auto"/>
                <w:highlight w:val="none"/>
              </w:rPr>
            </w:pPr>
            <w:r>
              <w:rPr>
                <w:rFonts w:hint="eastAsia" w:ascii="黑体" w:hAnsi="黑体" w:eastAsia="黑体" w:cs="黑体"/>
                <w:b w:val="0"/>
                <w:bCs w:val="0"/>
                <w:color w:val="auto"/>
                <w:highlight w:val="none"/>
              </w:rPr>
              <w:t>2、废水处置措施</w:t>
            </w:r>
          </w:p>
          <w:p>
            <w:pPr>
              <w:bidi w:val="0"/>
              <w:rPr>
                <w:rFonts w:hint="eastAsia" w:eastAsia="宋体"/>
                <w:color w:val="auto"/>
                <w:highlight w:val="none"/>
                <w:lang w:eastAsia="zh-CN"/>
              </w:rPr>
            </w:pPr>
            <w:r>
              <w:rPr>
                <w:rFonts w:hint="eastAsia"/>
                <w:color w:val="auto"/>
                <w:highlight w:val="none"/>
                <w:lang w:val="en-US" w:eastAsia="zh-CN"/>
              </w:rPr>
              <w:t>项目施工期拟使用的混凝土均为商品混凝土，无施工废水产生。因此，项目</w:t>
            </w:r>
            <w:r>
              <w:rPr>
                <w:color w:val="auto"/>
                <w:highlight w:val="none"/>
              </w:rPr>
              <w:t>施工</w:t>
            </w:r>
            <w:r>
              <w:rPr>
                <w:rFonts w:hint="eastAsia"/>
                <w:color w:val="auto"/>
                <w:highlight w:val="none"/>
                <w:lang w:val="en-US" w:eastAsia="zh-CN"/>
              </w:rPr>
              <w:t>期</w:t>
            </w:r>
            <w:r>
              <w:rPr>
                <w:color w:val="auto"/>
                <w:highlight w:val="none"/>
              </w:rPr>
              <w:t>废水主要</w:t>
            </w:r>
            <w:r>
              <w:rPr>
                <w:rFonts w:hint="eastAsia"/>
                <w:color w:val="auto"/>
                <w:highlight w:val="none"/>
                <w:lang w:val="en-US" w:eastAsia="zh-CN"/>
              </w:rPr>
              <w:t>为</w:t>
            </w:r>
            <w:r>
              <w:rPr>
                <w:color w:val="auto"/>
                <w:highlight w:val="none"/>
              </w:rPr>
              <w:t>施工人员</w:t>
            </w:r>
            <w:r>
              <w:rPr>
                <w:rFonts w:hint="eastAsia"/>
                <w:color w:val="auto"/>
                <w:highlight w:val="none"/>
                <w:lang w:val="en-US" w:eastAsia="zh-CN"/>
              </w:rPr>
              <w:t>产生的少量生活污水</w:t>
            </w:r>
            <w:r>
              <w:rPr>
                <w:rFonts w:hint="eastAsia"/>
                <w:color w:val="auto"/>
                <w:highlight w:val="none"/>
                <w:lang w:eastAsia="zh-CN"/>
              </w:rPr>
              <w:t>。</w:t>
            </w:r>
          </w:p>
          <w:p>
            <w:pPr>
              <w:bidi w:val="0"/>
              <w:rPr>
                <w:rFonts w:hint="default" w:eastAsia="宋体"/>
                <w:color w:val="auto"/>
                <w:highlight w:val="none"/>
                <w:lang w:val="en-US" w:eastAsia="zh-CN"/>
              </w:rPr>
            </w:pPr>
            <w:r>
              <w:rPr>
                <w:color w:val="auto"/>
                <w:highlight w:val="none"/>
              </w:rPr>
              <w:t>本项目施工期</w:t>
            </w:r>
            <w:r>
              <w:rPr>
                <w:rFonts w:hint="eastAsia"/>
                <w:color w:val="auto"/>
                <w:highlight w:val="none"/>
                <w:lang w:val="en-US" w:eastAsia="zh-CN"/>
              </w:rPr>
              <w:t>最大施工</w:t>
            </w:r>
            <w:r>
              <w:rPr>
                <w:color w:val="auto"/>
                <w:highlight w:val="none"/>
              </w:rPr>
              <w:t>人员</w:t>
            </w:r>
            <w:r>
              <w:rPr>
                <w:rFonts w:hint="eastAsia"/>
                <w:color w:val="auto"/>
                <w:highlight w:val="none"/>
                <w:lang w:val="en-US" w:eastAsia="zh-CN"/>
              </w:rPr>
              <w:t>数量约为20</w:t>
            </w:r>
            <w:r>
              <w:rPr>
                <w:color w:val="auto"/>
                <w:highlight w:val="none"/>
              </w:rPr>
              <w:t>人，</w:t>
            </w:r>
            <w:r>
              <w:rPr>
                <w:rFonts w:hint="eastAsia"/>
                <w:color w:val="auto"/>
                <w:highlight w:val="none"/>
                <w:lang w:val="en-US" w:eastAsia="zh-CN"/>
              </w:rPr>
              <w:t>均</w:t>
            </w:r>
            <w:r>
              <w:rPr>
                <w:color w:val="auto"/>
                <w:highlight w:val="none"/>
              </w:rPr>
              <w:t>不在项目区内食宿</w:t>
            </w:r>
            <w:r>
              <w:rPr>
                <w:rFonts w:hint="eastAsia"/>
                <w:color w:val="auto"/>
                <w:highlight w:val="none"/>
              </w:rPr>
              <w:t>，</w:t>
            </w:r>
            <w:r>
              <w:rPr>
                <w:rFonts w:hint="eastAsia"/>
                <w:color w:val="auto"/>
                <w:highlight w:val="none"/>
                <w:lang w:val="en-US" w:eastAsia="zh-CN"/>
              </w:rPr>
              <w:t>产生的少量生活污水</w:t>
            </w:r>
            <w:r>
              <w:rPr>
                <w:rFonts w:hint="eastAsia"/>
                <w:color w:val="auto"/>
                <w:highlight w:val="none"/>
              </w:rPr>
              <w:t>主要为</w:t>
            </w:r>
            <w:r>
              <w:rPr>
                <w:rFonts w:hint="eastAsia"/>
                <w:color w:val="auto"/>
                <w:highlight w:val="none"/>
                <w:lang w:val="en-US" w:eastAsia="zh-CN"/>
              </w:rPr>
              <w:t>个人清洁</w:t>
            </w:r>
            <w:r>
              <w:rPr>
                <w:rFonts w:hint="eastAsia"/>
                <w:color w:val="auto"/>
                <w:highlight w:val="none"/>
              </w:rPr>
              <w:t>用水，用水</w:t>
            </w:r>
            <w:r>
              <w:rPr>
                <w:color w:val="auto"/>
                <w:highlight w:val="none"/>
              </w:rPr>
              <w:t>量按</w:t>
            </w:r>
            <w:r>
              <w:rPr>
                <w:rFonts w:hint="eastAsia"/>
                <w:color w:val="auto"/>
                <w:highlight w:val="none"/>
                <w:lang w:val="en-US" w:eastAsia="zh-CN"/>
              </w:rPr>
              <w:t>10</w:t>
            </w:r>
            <w:r>
              <w:rPr>
                <w:color w:val="auto"/>
                <w:highlight w:val="none"/>
              </w:rPr>
              <w:t>L/（人·d）计，用水量为</w:t>
            </w:r>
            <w:r>
              <w:rPr>
                <w:rFonts w:hint="eastAsia"/>
                <w:color w:val="auto"/>
                <w:highlight w:val="none"/>
                <w:lang w:val="en-US" w:eastAsia="zh-CN"/>
              </w:rPr>
              <w:t>0.2</w:t>
            </w:r>
            <w:r>
              <w:rPr>
                <w:color w:val="auto"/>
                <w:highlight w:val="none"/>
              </w:rPr>
              <w:t>m</w:t>
            </w:r>
            <w:r>
              <w:rPr>
                <w:color w:val="auto"/>
                <w:highlight w:val="none"/>
                <w:vertAlign w:val="superscript"/>
              </w:rPr>
              <w:t>3</w:t>
            </w:r>
            <w:r>
              <w:rPr>
                <w:color w:val="auto"/>
                <w:highlight w:val="none"/>
              </w:rPr>
              <w:t>/d，废水产生系数按80%计，</w:t>
            </w:r>
            <w:r>
              <w:rPr>
                <w:rFonts w:hint="default"/>
                <w:color w:val="auto"/>
                <w:highlight w:val="none"/>
                <w:lang w:val="en-US" w:eastAsia="zh-CN"/>
              </w:rPr>
              <w:t>生活</w:t>
            </w:r>
            <w:r>
              <w:rPr>
                <w:rFonts w:hint="eastAsia"/>
                <w:color w:val="auto"/>
                <w:highlight w:val="none"/>
                <w:lang w:val="en-US" w:eastAsia="zh-CN"/>
              </w:rPr>
              <w:t>污</w:t>
            </w:r>
            <w:r>
              <w:rPr>
                <w:rFonts w:hint="default"/>
                <w:color w:val="auto"/>
                <w:highlight w:val="none"/>
                <w:lang w:val="en-US" w:eastAsia="zh-CN"/>
              </w:rPr>
              <w:t>水</w:t>
            </w:r>
            <w:r>
              <w:rPr>
                <w:color w:val="auto"/>
                <w:highlight w:val="none"/>
              </w:rPr>
              <w:t>产生量为</w:t>
            </w:r>
            <w:r>
              <w:rPr>
                <w:rFonts w:hint="eastAsia"/>
                <w:color w:val="auto"/>
                <w:highlight w:val="none"/>
                <w:lang w:val="en-US" w:eastAsia="zh-CN"/>
              </w:rPr>
              <w:t>0.16</w:t>
            </w:r>
            <w:r>
              <w:rPr>
                <w:color w:val="auto"/>
                <w:highlight w:val="none"/>
              </w:rPr>
              <w:t>m</w:t>
            </w:r>
            <w:r>
              <w:rPr>
                <w:color w:val="auto"/>
                <w:highlight w:val="none"/>
                <w:vertAlign w:val="superscript"/>
              </w:rPr>
              <w:t>3</w:t>
            </w:r>
            <w:r>
              <w:rPr>
                <w:color w:val="auto"/>
                <w:highlight w:val="none"/>
              </w:rPr>
              <w:t>/d，</w:t>
            </w:r>
            <w:r>
              <w:rPr>
                <w:rFonts w:hint="eastAsia"/>
                <w:color w:val="auto"/>
                <w:highlight w:val="none"/>
                <w:lang w:val="en-US" w:eastAsia="zh-CN"/>
              </w:rPr>
              <w:t>经施工场地设置的临时沉淀池沉淀预处理后回用于场地洒水降尘</w:t>
            </w:r>
            <w:r>
              <w:rPr>
                <w:color w:val="auto"/>
                <w:highlight w:val="none"/>
              </w:rPr>
              <w:t>。</w:t>
            </w:r>
            <w:r>
              <w:rPr>
                <w:rFonts w:hint="eastAsia"/>
                <w:color w:val="auto"/>
                <w:highlight w:val="none"/>
                <w:lang w:val="en-US" w:eastAsia="zh-CN"/>
              </w:rPr>
              <w:t>因此，项目施工期无废水外排，对周边地表水环境影响较小。</w:t>
            </w:r>
          </w:p>
          <w:p>
            <w:pPr>
              <w:bidi w:val="0"/>
              <w:rPr>
                <w:rFonts w:hint="eastAsia" w:ascii="黑体" w:hAnsi="黑体" w:eastAsia="黑体" w:cs="黑体"/>
                <w:b w:val="0"/>
                <w:bCs w:val="0"/>
                <w:color w:val="auto"/>
                <w:highlight w:val="none"/>
              </w:rPr>
            </w:pPr>
            <w:r>
              <w:rPr>
                <w:rFonts w:hint="eastAsia" w:ascii="黑体" w:hAnsi="黑体" w:eastAsia="黑体" w:cs="黑体"/>
                <w:b w:val="0"/>
                <w:bCs w:val="0"/>
                <w:color w:val="auto"/>
                <w:highlight w:val="none"/>
              </w:rPr>
              <w:t>3、</w:t>
            </w:r>
            <w:r>
              <w:rPr>
                <w:rFonts w:hint="eastAsia" w:ascii="黑体" w:hAnsi="黑体" w:eastAsia="黑体" w:cs="黑体"/>
                <w:b w:val="0"/>
                <w:bCs w:val="0"/>
                <w:color w:val="auto"/>
                <w:highlight w:val="none"/>
                <w:lang w:val="en-US" w:eastAsia="zh-CN"/>
              </w:rPr>
              <w:t>噪声污染</w:t>
            </w:r>
            <w:r>
              <w:rPr>
                <w:rFonts w:hint="eastAsia" w:ascii="黑体" w:hAnsi="黑体" w:eastAsia="黑体" w:cs="黑体"/>
                <w:b w:val="0"/>
                <w:bCs w:val="0"/>
                <w:color w:val="auto"/>
                <w:highlight w:val="none"/>
              </w:rPr>
              <w:t>防治措施</w:t>
            </w:r>
          </w:p>
          <w:p>
            <w:pPr>
              <w:bidi w:val="0"/>
              <w:rPr>
                <w:rFonts w:hint="eastAsia"/>
                <w:color w:val="auto"/>
                <w:highlight w:val="none"/>
              </w:rPr>
            </w:pPr>
            <w:r>
              <w:rPr>
                <w:color w:val="auto"/>
                <w:highlight w:val="none"/>
              </w:rPr>
              <w:t>施工期间噪声主要为施工机械和施工车辆产生的噪声，主要有载重汽车、切割机、电焊机、电钻等，源强在75~105dB（A）之间</w:t>
            </w:r>
            <w:r>
              <w:rPr>
                <w:rFonts w:hint="eastAsia"/>
                <w:color w:val="auto"/>
                <w:highlight w:val="none"/>
                <w:lang w:eastAsia="zh-CN"/>
              </w:rPr>
              <w:t>，</w:t>
            </w:r>
            <w:r>
              <w:rPr>
                <w:rFonts w:hint="eastAsia"/>
                <w:color w:val="auto"/>
                <w:highlight w:val="none"/>
                <w:lang w:val="en-US" w:eastAsia="zh-CN"/>
              </w:rPr>
              <w:t>施工噪声会对周围环境造成一定影响，因此，</w:t>
            </w:r>
            <w:r>
              <w:rPr>
                <w:color w:val="auto"/>
                <w:highlight w:val="none"/>
              </w:rPr>
              <w:t>本环评提出如下</w:t>
            </w:r>
            <w:r>
              <w:rPr>
                <w:rFonts w:hint="eastAsia"/>
                <w:color w:val="auto"/>
                <w:highlight w:val="none"/>
                <w:lang w:val="en-US" w:eastAsia="zh-CN"/>
              </w:rPr>
              <w:t>降</w:t>
            </w:r>
            <w:r>
              <w:rPr>
                <w:color w:val="auto"/>
                <w:highlight w:val="none"/>
              </w:rPr>
              <w:t>噪措施</w:t>
            </w:r>
            <w:r>
              <w:rPr>
                <w:rFonts w:hint="eastAsia"/>
                <w:color w:val="auto"/>
                <w:highlight w:val="none"/>
              </w:rPr>
              <w:t>：</w:t>
            </w:r>
          </w:p>
          <w:p>
            <w:pPr>
              <w:bidi w:val="0"/>
              <w:rPr>
                <w:rFonts w:hint="eastAsia"/>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建筑施工过程中使用机械设备，可能产生环境噪声污染的</w:t>
            </w:r>
            <w:r>
              <w:rPr>
                <w:rFonts w:hint="eastAsia"/>
                <w:color w:val="auto"/>
                <w:highlight w:val="none"/>
                <w:lang w:val="en-US" w:eastAsia="zh-CN"/>
              </w:rPr>
              <w:t>施工作业</w:t>
            </w:r>
            <w:r>
              <w:rPr>
                <w:rFonts w:hint="eastAsia"/>
                <w:color w:val="auto"/>
                <w:highlight w:val="none"/>
              </w:rPr>
              <w:t>，施工单位应当在工程开工前十五日向工程所在地的区县环境保护行政主管部门申报该项目的名称、施工场所和期限、可能产生的环境噪声值以及所采取的环境噪声污染防治措施的情况。</w:t>
            </w:r>
          </w:p>
          <w:p>
            <w:pPr>
              <w:bidi w:val="0"/>
              <w:rPr>
                <w:rFonts w:hint="eastAsia"/>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禁止在22时至次日6时进行施工作业、除工艺需要外。施工单位因工艺</w:t>
            </w:r>
            <w:r>
              <w:rPr>
                <w:rFonts w:hint="eastAsia"/>
                <w:color w:val="auto"/>
                <w:highlight w:val="none"/>
                <w:lang w:eastAsia="zh-CN"/>
              </w:rPr>
              <w:t>需要</w:t>
            </w:r>
            <w:r>
              <w:rPr>
                <w:rFonts w:hint="eastAsia"/>
                <w:color w:val="auto"/>
                <w:highlight w:val="none"/>
              </w:rPr>
              <w:t>连续施工的，需要向当地环保部门进行申请及备案，并提前</w:t>
            </w:r>
            <w:r>
              <w:rPr>
                <w:rFonts w:hint="eastAsia"/>
                <w:color w:val="auto"/>
                <w:highlight w:val="none"/>
                <w:lang w:val="en-US" w:eastAsia="zh-CN"/>
              </w:rPr>
              <w:t>张贴</w:t>
            </w:r>
            <w:r>
              <w:rPr>
                <w:rFonts w:hint="eastAsia"/>
                <w:color w:val="auto"/>
                <w:highlight w:val="none"/>
              </w:rPr>
              <w:t>公告</w:t>
            </w:r>
            <w:r>
              <w:rPr>
                <w:rFonts w:hint="eastAsia"/>
                <w:color w:val="auto"/>
                <w:highlight w:val="none"/>
                <w:lang w:eastAsia="zh-CN"/>
              </w:rPr>
              <w:t>，</w:t>
            </w:r>
            <w:r>
              <w:rPr>
                <w:rFonts w:hint="eastAsia"/>
                <w:color w:val="auto"/>
                <w:highlight w:val="none"/>
                <w:lang w:val="en-US" w:eastAsia="zh-CN"/>
              </w:rPr>
              <w:t>告知可能受影响的周边居民</w:t>
            </w:r>
            <w:r>
              <w:rPr>
                <w:rFonts w:hint="eastAsia"/>
                <w:color w:val="auto"/>
                <w:highlight w:val="none"/>
              </w:rPr>
              <w:t>。</w:t>
            </w:r>
          </w:p>
          <w:p>
            <w:pPr>
              <w:bidi w:val="0"/>
              <w:rPr>
                <w:rFonts w:hint="eastAsia"/>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rPr>
              <w:t>施工单位应选用噪声低、振动小的设备。同时施工单位应设专人对设备进行定期保养和维护，并负责对现场工作人员进行培训，严格按操作规范使用各种机械。同时，需合理布局施工设备，高噪声设备</w:t>
            </w:r>
            <w:r>
              <w:rPr>
                <w:rFonts w:hint="eastAsia"/>
                <w:color w:val="auto"/>
                <w:highlight w:val="none"/>
                <w:lang w:val="en-US" w:eastAsia="zh-CN"/>
              </w:rPr>
              <w:t>应</w:t>
            </w:r>
            <w:r>
              <w:rPr>
                <w:rFonts w:hint="eastAsia"/>
                <w:color w:val="auto"/>
                <w:highlight w:val="none"/>
              </w:rPr>
              <w:t>布局</w:t>
            </w:r>
            <w:r>
              <w:rPr>
                <w:rFonts w:hint="eastAsia"/>
                <w:color w:val="auto"/>
                <w:highlight w:val="none"/>
                <w:lang w:val="en-US" w:eastAsia="zh-CN"/>
              </w:rPr>
              <w:t>在</w:t>
            </w:r>
            <w:r>
              <w:rPr>
                <w:rFonts w:hint="eastAsia"/>
                <w:color w:val="auto"/>
                <w:highlight w:val="none"/>
              </w:rPr>
              <w:t>项目区中部</w:t>
            </w:r>
            <w:r>
              <w:rPr>
                <w:rFonts w:hint="eastAsia"/>
                <w:color w:val="auto"/>
                <w:highlight w:val="none"/>
                <w:lang w:eastAsia="zh-CN"/>
              </w:rPr>
              <w:t>，</w:t>
            </w:r>
            <w:r>
              <w:rPr>
                <w:rFonts w:hint="eastAsia"/>
                <w:color w:val="auto"/>
                <w:highlight w:val="none"/>
                <w:lang w:val="en-US" w:eastAsia="zh-CN"/>
              </w:rPr>
              <w:t>尽量远离周边居民</w:t>
            </w:r>
            <w:r>
              <w:rPr>
                <w:rFonts w:hint="eastAsia"/>
                <w:color w:val="auto"/>
                <w:highlight w:val="none"/>
              </w:rPr>
              <w:t>。</w:t>
            </w:r>
          </w:p>
          <w:p>
            <w:pPr>
              <w:bidi w:val="0"/>
              <w:rPr>
                <w:b/>
                <w:bCs/>
                <w:color w:val="auto"/>
                <w:highlight w:val="none"/>
              </w:rPr>
            </w:pPr>
            <w:r>
              <w:rPr>
                <w:rFonts w:hint="eastAsia"/>
                <w:color w:val="auto"/>
                <w:highlight w:val="none"/>
                <w:lang w:val="en-US" w:eastAsia="zh-CN"/>
              </w:rPr>
              <w:t>综上所述，经采取以上防治措施后，项目施工期噪声对周围环境及周边环境保护目标影响较小，且项目施工工期较短，施工噪声影响将随着施工期结束而结束。</w:t>
            </w:r>
          </w:p>
          <w:p>
            <w:pPr>
              <w:bidi w:val="0"/>
              <w:rPr>
                <w:rFonts w:hint="eastAsia" w:ascii="黑体" w:hAnsi="黑体" w:eastAsia="黑体" w:cs="黑体"/>
                <w:b w:val="0"/>
                <w:bCs w:val="0"/>
                <w:color w:val="auto"/>
                <w:highlight w:val="none"/>
              </w:rPr>
            </w:pPr>
            <w:r>
              <w:rPr>
                <w:rFonts w:hint="eastAsia" w:ascii="黑体" w:hAnsi="黑体" w:eastAsia="黑体" w:cs="黑体"/>
                <w:b w:val="0"/>
                <w:bCs w:val="0"/>
                <w:color w:val="auto"/>
                <w:highlight w:val="none"/>
              </w:rPr>
              <w:t>4、固体废物处置措施</w:t>
            </w:r>
          </w:p>
          <w:p>
            <w:pPr>
              <w:bidi w:val="0"/>
              <w:rPr>
                <w:color w:val="auto"/>
                <w:highlight w:val="none"/>
              </w:rPr>
            </w:pPr>
            <w:r>
              <w:rPr>
                <w:rFonts w:hint="eastAsia"/>
                <w:color w:val="auto"/>
                <w:highlight w:val="none"/>
                <w:lang w:val="en-US" w:eastAsia="zh-CN"/>
              </w:rPr>
              <w:t>项目</w:t>
            </w:r>
            <w:r>
              <w:rPr>
                <w:rFonts w:hint="eastAsia"/>
                <w:color w:val="auto"/>
                <w:highlight w:val="none"/>
              </w:rPr>
              <w:t>施工</w:t>
            </w:r>
            <w:r>
              <w:rPr>
                <w:rFonts w:hint="eastAsia"/>
                <w:color w:val="auto"/>
                <w:highlight w:val="none"/>
                <w:lang w:val="en-US" w:eastAsia="zh-CN"/>
              </w:rPr>
              <w:t>期产生的</w:t>
            </w:r>
            <w:r>
              <w:rPr>
                <w:rFonts w:hint="eastAsia"/>
                <w:color w:val="auto"/>
                <w:highlight w:val="none"/>
              </w:rPr>
              <w:t>固体废弃物主要为</w:t>
            </w:r>
            <w:r>
              <w:rPr>
                <w:rFonts w:hint="eastAsia"/>
                <w:color w:val="auto"/>
                <w:highlight w:val="none"/>
                <w:lang w:val="en-US" w:eastAsia="zh-CN"/>
              </w:rPr>
              <w:t>拆除的部分设备/金属类固废、</w:t>
            </w:r>
            <w:r>
              <w:rPr>
                <w:rFonts w:hint="eastAsia"/>
                <w:color w:val="auto"/>
                <w:highlight w:val="none"/>
              </w:rPr>
              <w:t>建筑垃圾、</w:t>
            </w:r>
            <w:r>
              <w:rPr>
                <w:rFonts w:hint="default"/>
                <w:color w:val="auto"/>
                <w:highlight w:val="none"/>
              </w:rPr>
              <w:t>废分子筛</w:t>
            </w:r>
            <w:r>
              <w:rPr>
                <w:rFonts w:hint="eastAsia"/>
                <w:color w:val="auto"/>
                <w:highlight w:val="none"/>
                <w:lang w:eastAsia="zh-CN"/>
              </w:rPr>
              <w:t>、</w:t>
            </w:r>
            <w:r>
              <w:rPr>
                <w:rFonts w:hint="eastAsia"/>
                <w:color w:val="auto"/>
                <w:highlight w:val="none"/>
                <w:lang w:val="en-US" w:eastAsia="zh-CN"/>
              </w:rPr>
              <w:t>废</w:t>
            </w:r>
            <w:r>
              <w:rPr>
                <w:rFonts w:hint="default"/>
                <w:color w:val="auto"/>
                <w:highlight w:val="none"/>
              </w:rPr>
              <w:t>氧化铝</w:t>
            </w:r>
            <w:r>
              <w:rPr>
                <w:rFonts w:hint="eastAsia"/>
                <w:color w:val="auto"/>
                <w:highlight w:val="none"/>
                <w:lang w:eastAsia="zh-CN"/>
              </w:rPr>
              <w:t>、</w:t>
            </w:r>
            <w:r>
              <w:rPr>
                <w:rFonts w:hint="default"/>
                <w:color w:val="auto"/>
                <w:highlight w:val="none"/>
              </w:rPr>
              <w:t>废滤芯</w:t>
            </w:r>
            <w:r>
              <w:rPr>
                <w:rFonts w:hint="eastAsia"/>
                <w:color w:val="auto"/>
                <w:highlight w:val="none"/>
                <w:lang w:eastAsia="zh-CN"/>
              </w:rPr>
              <w:t>、</w:t>
            </w:r>
            <w:r>
              <w:rPr>
                <w:rFonts w:hint="eastAsia"/>
                <w:color w:val="auto"/>
                <w:highlight w:val="none"/>
                <w:lang w:val="en-US" w:eastAsia="zh-CN"/>
              </w:rPr>
              <w:t>废润滑油、</w:t>
            </w:r>
            <w:r>
              <w:rPr>
                <w:rFonts w:hint="eastAsia"/>
                <w:color w:val="auto"/>
                <w:highlight w:val="none"/>
              </w:rPr>
              <w:t>施工人员生活垃圾</w:t>
            </w:r>
            <w:r>
              <w:rPr>
                <w:rFonts w:hint="eastAsia"/>
                <w:color w:val="auto"/>
                <w:highlight w:val="none"/>
                <w:lang w:val="en-US" w:eastAsia="zh-CN"/>
              </w:rPr>
              <w:t>等</w:t>
            </w:r>
            <w:r>
              <w:rPr>
                <w:rFonts w:hint="eastAsia"/>
                <w:color w:val="auto"/>
                <w:highlight w:val="none"/>
              </w:rPr>
              <w:t>。</w:t>
            </w:r>
          </w:p>
          <w:p>
            <w:pPr>
              <w:bidi w:val="0"/>
              <w:rPr>
                <w:rFonts w:hint="eastAsia" w:ascii="黑体" w:hAnsi="黑体" w:eastAsia="黑体" w:cs="黑体"/>
                <w:b w:val="0"/>
                <w:bCs w:val="0"/>
                <w:color w:val="auto"/>
                <w:highlight w:val="none"/>
              </w:rPr>
            </w:pPr>
            <w:r>
              <w:rPr>
                <w:rFonts w:hint="eastAsia"/>
                <w:color w:val="auto"/>
                <w:highlight w:val="none"/>
              </w:rPr>
              <w:t>（1）生活垃圾</w:t>
            </w:r>
          </w:p>
          <w:p>
            <w:pPr>
              <w:bidi w:val="0"/>
              <w:rPr>
                <w:color w:val="auto"/>
                <w:highlight w:val="none"/>
              </w:rPr>
            </w:pPr>
            <w:r>
              <w:rPr>
                <w:color w:val="auto"/>
                <w:highlight w:val="none"/>
              </w:rPr>
              <w:t>本项目</w:t>
            </w:r>
            <w:r>
              <w:rPr>
                <w:rFonts w:hint="eastAsia"/>
                <w:color w:val="auto"/>
                <w:highlight w:val="none"/>
                <w:lang w:eastAsia="zh-CN"/>
              </w:rPr>
              <w:t>施工</w:t>
            </w:r>
            <w:r>
              <w:rPr>
                <w:color w:val="auto"/>
                <w:highlight w:val="none"/>
              </w:rPr>
              <w:t>人员</w:t>
            </w:r>
            <w:r>
              <w:rPr>
                <w:rFonts w:hint="eastAsia"/>
                <w:color w:val="auto"/>
                <w:highlight w:val="none"/>
                <w:lang w:val="en-US" w:eastAsia="zh-CN"/>
              </w:rPr>
              <w:t>20</w:t>
            </w:r>
            <w:r>
              <w:rPr>
                <w:color w:val="auto"/>
                <w:highlight w:val="none"/>
              </w:rPr>
              <w:t>人/d，均不在工地食宿，</w:t>
            </w:r>
            <w:r>
              <w:rPr>
                <w:rFonts w:hint="eastAsia"/>
                <w:color w:val="auto"/>
                <w:highlight w:val="none"/>
                <w:lang w:val="en-US" w:eastAsia="zh-CN"/>
              </w:rPr>
              <w:t>施工人员</w:t>
            </w:r>
            <w:r>
              <w:rPr>
                <w:color w:val="auto"/>
                <w:highlight w:val="none"/>
              </w:rPr>
              <w:t>生活垃圾按每人每天产生0.5kg计，产生量为</w:t>
            </w:r>
            <w:r>
              <w:rPr>
                <w:rFonts w:hint="eastAsia"/>
                <w:color w:val="auto"/>
                <w:highlight w:val="none"/>
                <w:lang w:val="en-US" w:eastAsia="zh-CN"/>
              </w:rPr>
              <w:t>10</w:t>
            </w:r>
            <w:r>
              <w:rPr>
                <w:color w:val="auto"/>
                <w:highlight w:val="none"/>
              </w:rPr>
              <w:t>kg/d，</w:t>
            </w:r>
            <w:r>
              <w:rPr>
                <w:rFonts w:hint="eastAsia"/>
                <w:color w:val="auto"/>
                <w:highlight w:val="none"/>
                <w:lang w:val="en-US" w:eastAsia="zh-CN"/>
              </w:rPr>
              <w:t>生活垃圾由厂区垃圾桶集中收集后定期外运至工业园区生活垃圾集中收集点，由环卫部门集中处理，</w:t>
            </w:r>
            <w:r>
              <w:rPr>
                <w:color w:val="auto"/>
                <w:highlight w:val="none"/>
              </w:rPr>
              <w:t>严禁施工期间生活垃圾乱堆乱放。</w:t>
            </w:r>
          </w:p>
          <w:p>
            <w:pPr>
              <w:bidi w:val="0"/>
              <w:rPr>
                <w:rFonts w:hint="eastAsia" w:ascii="Times New Roman" w:hAnsi="Times New Roman" w:eastAsia="宋体"/>
                <w:color w:val="auto"/>
                <w:highlight w:val="none"/>
              </w:rPr>
            </w:pPr>
            <w:r>
              <w:rPr>
                <w:rFonts w:hint="eastAsia" w:ascii="Times New Roman" w:hAnsi="Times New Roman" w:eastAsia="宋体"/>
                <w:color w:val="auto"/>
                <w:highlight w:val="none"/>
              </w:rPr>
              <w:t>（2）建筑垃圾</w:t>
            </w:r>
          </w:p>
          <w:p>
            <w:pPr>
              <w:bidi w:val="0"/>
              <w:rPr>
                <w:rFonts w:hint="eastAsia"/>
                <w:color w:val="auto"/>
                <w:highlight w:val="none"/>
              </w:rPr>
            </w:pPr>
            <w:r>
              <w:rPr>
                <w:color w:val="auto"/>
                <w:highlight w:val="none"/>
              </w:rPr>
              <w:t>项目在施工过程中</w:t>
            </w:r>
            <w:r>
              <w:rPr>
                <w:rFonts w:hint="eastAsia"/>
                <w:color w:val="auto"/>
                <w:highlight w:val="none"/>
                <w:lang w:val="en-US" w:eastAsia="zh-CN"/>
              </w:rPr>
              <w:t>可能会</w:t>
            </w:r>
            <w:r>
              <w:rPr>
                <w:color w:val="auto"/>
                <w:highlight w:val="none"/>
              </w:rPr>
              <w:t>产生一定量的建筑垃圾，产生量</w:t>
            </w:r>
            <w:r>
              <w:rPr>
                <w:rFonts w:hint="eastAsia"/>
                <w:color w:val="auto"/>
                <w:highlight w:val="none"/>
                <w:lang w:val="en-US" w:eastAsia="zh-CN"/>
              </w:rPr>
              <w:t>预估</w:t>
            </w:r>
            <w:r>
              <w:rPr>
                <w:color w:val="auto"/>
                <w:highlight w:val="none"/>
              </w:rPr>
              <w:t>为</w:t>
            </w:r>
            <w:r>
              <w:rPr>
                <w:rFonts w:hint="eastAsia"/>
                <w:color w:val="auto"/>
                <w:highlight w:val="none"/>
                <w:lang w:val="en-US" w:eastAsia="zh-CN"/>
              </w:rPr>
              <w:t>80</w:t>
            </w:r>
            <w:r>
              <w:rPr>
                <w:color w:val="auto"/>
                <w:highlight w:val="none"/>
              </w:rPr>
              <w:t>t，本</w:t>
            </w:r>
            <w:r>
              <w:rPr>
                <w:rFonts w:hint="eastAsia"/>
                <w:color w:val="auto"/>
                <w:highlight w:val="none"/>
                <w:lang w:val="en-US" w:eastAsia="zh-CN"/>
              </w:rPr>
              <w:t>次</w:t>
            </w:r>
            <w:r>
              <w:rPr>
                <w:color w:val="auto"/>
                <w:highlight w:val="none"/>
              </w:rPr>
              <w:t>环评要求对</w:t>
            </w:r>
            <w:r>
              <w:rPr>
                <w:rFonts w:hint="eastAsia"/>
                <w:color w:val="auto"/>
                <w:highlight w:val="none"/>
                <w:lang w:val="en-US" w:eastAsia="zh-CN"/>
              </w:rPr>
              <w:t>施工期产生的</w:t>
            </w:r>
            <w:r>
              <w:rPr>
                <w:color w:val="auto"/>
                <w:highlight w:val="none"/>
              </w:rPr>
              <w:t>建筑垃圾</w:t>
            </w:r>
            <w:r>
              <w:rPr>
                <w:rFonts w:hint="eastAsia"/>
                <w:color w:val="auto"/>
                <w:highlight w:val="none"/>
                <w:lang w:val="en-US" w:eastAsia="zh-CN"/>
              </w:rPr>
              <w:t>进行</w:t>
            </w:r>
            <w:r>
              <w:rPr>
                <w:color w:val="auto"/>
                <w:highlight w:val="none"/>
              </w:rPr>
              <w:t>分类处理</w:t>
            </w:r>
            <w:r>
              <w:rPr>
                <w:rFonts w:hint="eastAsia"/>
                <w:color w:val="auto"/>
                <w:highlight w:val="none"/>
                <w:lang w:eastAsia="zh-CN"/>
              </w:rPr>
              <w:t>，对</w:t>
            </w:r>
            <w:r>
              <w:rPr>
                <w:color w:val="auto"/>
                <w:highlight w:val="none"/>
              </w:rPr>
              <w:t>建筑垃圾中可回收综合利用的进行回收利用，不可回收利用部分统一收集后运至当地城建部门指定的地点进行妥善处置。</w:t>
            </w:r>
          </w:p>
          <w:p>
            <w:pPr>
              <w:bidi w:val="0"/>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3</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拆除的部分设备/金属类固废</w:t>
            </w:r>
          </w:p>
          <w:p>
            <w:pPr>
              <w:bidi w:val="0"/>
              <w:rPr>
                <w:rFonts w:hint="eastAsia" w:eastAsia="宋体"/>
                <w:color w:val="auto"/>
                <w:highlight w:val="none"/>
                <w:lang w:val="en-US" w:eastAsia="zh-CN"/>
              </w:rPr>
            </w:pPr>
            <w:r>
              <w:rPr>
                <w:rFonts w:hint="eastAsia"/>
                <w:color w:val="auto"/>
                <w:highlight w:val="none"/>
                <w:lang w:val="en-US" w:eastAsia="zh-CN"/>
              </w:rPr>
              <w:t>项目施工过程中拆除的部分设备/金属类固废包括：废旧吸附塔（5套）、风机、真空泵、管道阀门、</w:t>
            </w:r>
            <w:r>
              <w:rPr>
                <w:rFonts w:ascii="Segoe UI" w:hAnsi="Segoe UI" w:eastAsia="Segoe UI" w:cs="Segoe UI"/>
                <w:i w:val="0"/>
                <w:iCs w:val="0"/>
                <w:caps w:val="0"/>
                <w:color w:val="auto"/>
                <w:spacing w:val="0"/>
                <w:sz w:val="22"/>
                <w:szCs w:val="22"/>
                <w:highlight w:val="none"/>
                <w:shd w:val="clear" w:fill="FFFFFF"/>
              </w:rPr>
              <w:t>淘汰落后电机、电控设备</w:t>
            </w:r>
            <w:r>
              <w:rPr>
                <w:rFonts w:hint="eastAsia"/>
                <w:color w:val="auto"/>
                <w:highlight w:val="none"/>
                <w:lang w:val="en-US" w:eastAsia="zh-CN"/>
              </w:rPr>
              <w:t>等，产生量约为40t，交由</w:t>
            </w:r>
            <w:r>
              <w:rPr>
                <w:rFonts w:ascii="Segoe UI" w:hAnsi="Segoe UI" w:eastAsia="Segoe UI" w:cs="Segoe UI"/>
                <w:i w:val="0"/>
                <w:iCs w:val="0"/>
                <w:caps w:val="0"/>
                <w:color w:val="auto"/>
                <w:spacing w:val="0"/>
                <w:sz w:val="22"/>
                <w:szCs w:val="22"/>
                <w:highlight w:val="none"/>
                <w:shd w:val="clear" w:fill="FFFFFF"/>
              </w:rPr>
              <w:t>具有</w:t>
            </w:r>
            <w:r>
              <w:rPr>
                <w:rFonts w:hint="eastAsia" w:ascii="Segoe UI" w:hAnsi="Segoe UI" w:eastAsia="宋体" w:cs="Segoe UI"/>
                <w:i w:val="0"/>
                <w:iCs w:val="0"/>
                <w:caps w:val="0"/>
                <w:color w:val="auto"/>
                <w:spacing w:val="0"/>
                <w:sz w:val="22"/>
                <w:szCs w:val="22"/>
                <w:highlight w:val="none"/>
                <w:shd w:val="clear" w:fill="FFFFFF"/>
                <w:lang w:val="en-US" w:eastAsia="zh-CN"/>
              </w:rPr>
              <w:t>相关</w:t>
            </w:r>
            <w:r>
              <w:rPr>
                <w:rFonts w:ascii="Segoe UI" w:hAnsi="Segoe UI" w:eastAsia="Segoe UI" w:cs="Segoe UI"/>
                <w:i w:val="0"/>
                <w:iCs w:val="0"/>
                <w:caps w:val="0"/>
                <w:color w:val="auto"/>
                <w:spacing w:val="0"/>
                <w:sz w:val="22"/>
                <w:szCs w:val="22"/>
                <w:highlight w:val="none"/>
                <w:shd w:val="clear" w:fill="FFFFFF"/>
              </w:rPr>
              <w:t>资质的再生资源回收单位拆解回收</w:t>
            </w:r>
            <w:r>
              <w:rPr>
                <w:rFonts w:hint="eastAsia" w:ascii="Segoe UI" w:hAnsi="Segoe UI" w:eastAsia="宋体" w:cs="Segoe UI"/>
                <w:i w:val="0"/>
                <w:iCs w:val="0"/>
                <w:caps w:val="0"/>
                <w:color w:val="auto"/>
                <w:spacing w:val="0"/>
                <w:sz w:val="22"/>
                <w:szCs w:val="22"/>
                <w:highlight w:val="none"/>
                <w:shd w:val="clear" w:fill="FFFFFF"/>
                <w:lang w:eastAsia="zh-CN"/>
              </w:rPr>
              <w:t>。</w:t>
            </w:r>
          </w:p>
          <w:p>
            <w:pPr>
              <w:bidi w:val="0"/>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4</w:t>
            </w:r>
            <w:r>
              <w:rPr>
                <w:rFonts w:hint="eastAsia" w:ascii="Times New Roman" w:hAnsi="Times New Roman" w:eastAsia="宋体"/>
                <w:color w:val="auto"/>
                <w:highlight w:val="none"/>
                <w:lang w:eastAsia="zh-CN"/>
              </w:rPr>
              <w:t>）废分子筛</w:t>
            </w:r>
          </w:p>
          <w:p>
            <w:pPr>
              <w:bidi w:val="0"/>
              <w:rPr>
                <w:rFonts w:hint="eastAsia" w:eastAsia="宋体"/>
                <w:color w:val="auto"/>
                <w:highlight w:val="none"/>
                <w:lang w:val="en-US" w:eastAsia="zh-CN"/>
              </w:rPr>
            </w:pPr>
            <w:r>
              <w:rPr>
                <w:rFonts w:hint="eastAsia"/>
                <w:color w:val="auto"/>
                <w:highlight w:val="none"/>
                <w:lang w:val="en-US" w:eastAsia="zh-CN"/>
              </w:rPr>
              <w:t>现有项目</w:t>
            </w:r>
            <w:r>
              <w:rPr>
                <w:rFonts w:hint="default"/>
                <w:color w:val="auto"/>
                <w:highlight w:val="none"/>
              </w:rPr>
              <w:t>吸附塔内装填</w:t>
            </w:r>
            <w:r>
              <w:rPr>
                <w:rFonts w:hint="eastAsia"/>
                <w:color w:val="auto"/>
                <w:highlight w:val="none"/>
                <w:lang w:val="en-US" w:eastAsia="zh-CN"/>
              </w:rPr>
              <w:t>的</w:t>
            </w:r>
            <w:r>
              <w:rPr>
                <w:rFonts w:hint="default"/>
                <w:color w:val="auto"/>
                <w:highlight w:val="none"/>
              </w:rPr>
              <w:t>锂基分子筛</w:t>
            </w:r>
            <w:r>
              <w:rPr>
                <w:rFonts w:hint="eastAsia"/>
                <w:color w:val="auto"/>
                <w:highlight w:val="none"/>
                <w:lang w:val="en-US" w:eastAsia="zh-CN"/>
              </w:rPr>
              <w:t>基本已达到设计使用寿命，本次施工期将对其进行拆除，废分子筛产生量为</w:t>
            </w:r>
            <w:r>
              <w:rPr>
                <w:rFonts w:hint="default"/>
                <w:color w:val="auto"/>
                <w:highlight w:val="none"/>
              </w:rPr>
              <w:t>5</w:t>
            </w:r>
            <w:r>
              <w:rPr>
                <w:rFonts w:hint="eastAsia"/>
                <w:color w:val="auto"/>
                <w:highlight w:val="none"/>
                <w:lang w:val="en-US" w:eastAsia="zh-CN"/>
              </w:rPr>
              <w:t>0</w:t>
            </w:r>
            <w:r>
              <w:rPr>
                <w:rFonts w:hint="default"/>
                <w:color w:val="auto"/>
                <w:highlight w:val="none"/>
              </w:rPr>
              <w:t>t</w:t>
            </w:r>
            <w:r>
              <w:rPr>
                <w:rFonts w:hint="eastAsia"/>
                <w:color w:val="auto"/>
                <w:highlight w:val="none"/>
                <w:lang w:eastAsia="zh-CN"/>
              </w:rPr>
              <w:t>，</w:t>
            </w:r>
            <w:r>
              <w:rPr>
                <w:rFonts w:hint="default"/>
                <w:color w:val="auto"/>
                <w:highlight w:val="none"/>
              </w:rPr>
              <w:t>由厂家</w:t>
            </w:r>
            <w:r>
              <w:rPr>
                <w:rFonts w:hint="eastAsia"/>
                <w:color w:val="auto"/>
                <w:highlight w:val="none"/>
                <w:lang w:val="en-US" w:eastAsia="zh-CN"/>
              </w:rPr>
              <w:t>拆除后自行带走</w:t>
            </w:r>
            <w:r>
              <w:rPr>
                <w:rFonts w:hint="default"/>
                <w:color w:val="auto"/>
                <w:highlight w:val="none"/>
              </w:rPr>
              <w:t>处置</w:t>
            </w:r>
            <w:r>
              <w:rPr>
                <w:rFonts w:hint="eastAsia"/>
                <w:color w:val="auto"/>
                <w:highlight w:val="none"/>
                <w:lang w:eastAsia="zh-CN"/>
              </w:rPr>
              <w:t>，</w:t>
            </w:r>
            <w:r>
              <w:rPr>
                <w:rFonts w:hint="eastAsia"/>
                <w:color w:val="auto"/>
                <w:highlight w:val="none"/>
                <w:lang w:val="en-US" w:eastAsia="zh-CN"/>
              </w:rPr>
              <w:t>不在厂区内贮存</w:t>
            </w:r>
            <w:r>
              <w:rPr>
                <w:rFonts w:hint="default"/>
                <w:color w:val="auto"/>
                <w:highlight w:val="none"/>
              </w:rPr>
              <w:t>。</w:t>
            </w:r>
          </w:p>
          <w:p>
            <w:pPr>
              <w:bidi w:val="0"/>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5</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废</w:t>
            </w:r>
            <w:r>
              <w:rPr>
                <w:rFonts w:hint="default" w:ascii="Times New Roman" w:hAnsi="Times New Roman" w:eastAsia="宋体"/>
                <w:color w:val="auto"/>
                <w:highlight w:val="none"/>
                <w:lang w:eastAsia="zh-CN"/>
              </w:rPr>
              <w:t>氧化铝</w:t>
            </w:r>
          </w:p>
          <w:p>
            <w:pPr>
              <w:bidi w:val="0"/>
              <w:rPr>
                <w:rFonts w:hint="eastAsia"/>
                <w:color w:val="auto"/>
                <w:highlight w:val="none"/>
              </w:rPr>
            </w:pPr>
            <w:r>
              <w:rPr>
                <w:rFonts w:hint="default"/>
                <w:color w:val="auto"/>
                <w:highlight w:val="none"/>
              </w:rPr>
              <w:t>吸附塔底层装填活性氧化铝用于吸附原料空气中的水分，以保护上层分子筛。更换周期与分子筛同步，</w:t>
            </w:r>
            <w:r>
              <w:rPr>
                <w:rFonts w:hint="eastAsia"/>
                <w:color w:val="auto"/>
                <w:highlight w:val="none"/>
                <w:lang w:val="en-US" w:eastAsia="zh-CN"/>
              </w:rPr>
              <w:t>现有项目</w:t>
            </w:r>
            <w:r>
              <w:rPr>
                <w:rFonts w:hint="default"/>
                <w:color w:val="auto"/>
                <w:highlight w:val="none"/>
              </w:rPr>
              <w:t>装填量约为15t，</w:t>
            </w:r>
            <w:r>
              <w:rPr>
                <w:rFonts w:hint="eastAsia"/>
                <w:color w:val="auto"/>
                <w:highlight w:val="none"/>
                <w:lang w:val="en-US" w:eastAsia="zh-CN"/>
              </w:rPr>
              <w:t>本次施工期</w:t>
            </w:r>
            <w:r>
              <w:rPr>
                <w:rFonts w:hint="default"/>
                <w:color w:val="auto"/>
                <w:highlight w:val="none"/>
              </w:rPr>
              <w:t>更换下来的废氧化铝由厂家</w:t>
            </w:r>
            <w:r>
              <w:rPr>
                <w:rFonts w:hint="eastAsia"/>
                <w:color w:val="auto"/>
                <w:highlight w:val="none"/>
                <w:lang w:val="en-US" w:eastAsia="zh-CN"/>
              </w:rPr>
              <w:t>自行带走</w:t>
            </w:r>
            <w:r>
              <w:rPr>
                <w:rFonts w:hint="default"/>
                <w:color w:val="auto"/>
                <w:highlight w:val="none"/>
              </w:rPr>
              <w:t>处置</w:t>
            </w:r>
            <w:r>
              <w:rPr>
                <w:rFonts w:hint="eastAsia"/>
                <w:color w:val="auto"/>
                <w:highlight w:val="none"/>
                <w:lang w:eastAsia="zh-CN"/>
              </w:rPr>
              <w:t>，</w:t>
            </w:r>
            <w:r>
              <w:rPr>
                <w:rFonts w:hint="eastAsia"/>
                <w:color w:val="auto"/>
                <w:highlight w:val="none"/>
                <w:lang w:val="en-US" w:eastAsia="zh-CN"/>
              </w:rPr>
              <w:t>不在厂区内贮存</w:t>
            </w:r>
            <w:r>
              <w:rPr>
                <w:rFonts w:hint="default"/>
                <w:color w:val="auto"/>
                <w:highlight w:val="none"/>
              </w:rPr>
              <w:t>。</w:t>
            </w:r>
          </w:p>
          <w:p>
            <w:pPr>
              <w:bidi w:val="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6</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废滤芯</w:t>
            </w:r>
          </w:p>
          <w:p>
            <w:pPr>
              <w:bidi w:val="0"/>
              <w:rPr>
                <w:rFonts w:hint="eastAsia"/>
                <w:color w:val="auto"/>
                <w:highlight w:val="none"/>
              </w:rPr>
            </w:pPr>
            <w:r>
              <w:rPr>
                <w:rFonts w:hint="eastAsia"/>
                <w:color w:val="auto"/>
                <w:highlight w:val="none"/>
                <w:lang w:val="en-US" w:eastAsia="zh-CN"/>
              </w:rPr>
              <w:t>本次施工期需对</w:t>
            </w:r>
            <w:r>
              <w:rPr>
                <w:rFonts w:hint="eastAsia"/>
                <w:color w:val="auto"/>
                <w:highlight w:val="none"/>
              </w:rPr>
              <w:t>入口空气过滤器滤芯</w:t>
            </w:r>
            <w:r>
              <w:rPr>
                <w:rFonts w:hint="eastAsia"/>
                <w:color w:val="auto"/>
                <w:highlight w:val="none"/>
                <w:lang w:val="en-US" w:eastAsia="zh-CN"/>
              </w:rPr>
              <w:t>进行</w:t>
            </w:r>
            <w:r>
              <w:rPr>
                <w:rFonts w:hint="eastAsia"/>
                <w:color w:val="auto"/>
                <w:highlight w:val="none"/>
              </w:rPr>
              <w:t>更换，废滤芯产生量约0.</w:t>
            </w:r>
            <w:r>
              <w:rPr>
                <w:rFonts w:hint="eastAsia"/>
                <w:color w:val="auto"/>
                <w:highlight w:val="none"/>
                <w:lang w:val="en-US" w:eastAsia="zh-CN"/>
              </w:rPr>
              <w:t>2</w:t>
            </w:r>
            <w:r>
              <w:rPr>
                <w:rFonts w:hint="eastAsia"/>
                <w:color w:val="auto"/>
                <w:highlight w:val="none"/>
              </w:rPr>
              <w:t>5t</w:t>
            </w:r>
            <w:r>
              <w:rPr>
                <w:rFonts w:hint="eastAsia"/>
                <w:color w:val="auto"/>
                <w:highlight w:val="none"/>
                <w:lang w:eastAsia="zh-CN"/>
              </w:rPr>
              <w:t>，</w:t>
            </w:r>
            <w:r>
              <w:rPr>
                <w:rFonts w:hint="eastAsia"/>
                <w:color w:val="auto"/>
                <w:highlight w:val="none"/>
                <w:lang w:val="en-US" w:eastAsia="zh-CN"/>
              </w:rPr>
              <w:t>更换的废滤芯</w:t>
            </w:r>
            <w:r>
              <w:rPr>
                <w:rFonts w:hint="eastAsia"/>
                <w:color w:val="auto"/>
                <w:highlight w:val="none"/>
              </w:rPr>
              <w:t>由厂家</w:t>
            </w:r>
            <w:r>
              <w:rPr>
                <w:rFonts w:hint="eastAsia"/>
                <w:color w:val="auto"/>
                <w:highlight w:val="none"/>
                <w:lang w:val="en-US" w:eastAsia="zh-CN"/>
              </w:rPr>
              <w:t>自行带走</w:t>
            </w:r>
            <w:r>
              <w:rPr>
                <w:rFonts w:hint="eastAsia"/>
                <w:color w:val="auto"/>
                <w:highlight w:val="none"/>
              </w:rPr>
              <w:t>处置</w:t>
            </w:r>
            <w:r>
              <w:rPr>
                <w:rFonts w:hint="eastAsia"/>
                <w:color w:val="auto"/>
                <w:highlight w:val="none"/>
                <w:lang w:eastAsia="zh-CN"/>
              </w:rPr>
              <w:t>，</w:t>
            </w:r>
            <w:r>
              <w:rPr>
                <w:rFonts w:hint="eastAsia"/>
                <w:color w:val="auto"/>
                <w:highlight w:val="none"/>
                <w:lang w:val="en-US" w:eastAsia="zh-CN"/>
              </w:rPr>
              <w:t>不在厂区内贮存</w:t>
            </w:r>
            <w:r>
              <w:rPr>
                <w:rFonts w:hint="eastAsia"/>
                <w:color w:val="auto"/>
                <w:highlight w:val="none"/>
              </w:rPr>
              <w:t>。</w:t>
            </w:r>
          </w:p>
          <w:p>
            <w:pPr>
              <w:bidi w:val="0"/>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7</w:t>
            </w:r>
            <w:r>
              <w:rPr>
                <w:rFonts w:hint="eastAsia" w:ascii="Times New Roman" w:hAnsi="Times New Roman" w:eastAsia="宋体"/>
                <w:color w:val="auto"/>
                <w:highlight w:val="none"/>
                <w:lang w:eastAsia="zh-CN"/>
              </w:rPr>
              <w:t>）废土石方</w:t>
            </w:r>
          </w:p>
          <w:p>
            <w:pPr>
              <w:bidi w:val="0"/>
              <w:rPr>
                <w:color w:val="auto"/>
                <w:highlight w:val="none"/>
              </w:rPr>
            </w:pPr>
            <w:r>
              <w:rPr>
                <w:color w:val="auto"/>
                <w:highlight w:val="none"/>
              </w:rPr>
              <w:t>本项目建设过程中</w:t>
            </w:r>
            <w:r>
              <w:rPr>
                <w:rFonts w:hint="eastAsia"/>
                <w:color w:val="auto"/>
                <w:highlight w:val="none"/>
                <w:lang w:val="en-US" w:eastAsia="zh-CN"/>
              </w:rPr>
              <w:t>预计会产生较少量的土石方</w:t>
            </w:r>
            <w:r>
              <w:rPr>
                <w:rFonts w:hint="eastAsia"/>
                <w:color w:val="auto"/>
                <w:highlight w:val="none"/>
                <w:lang w:eastAsia="zh-CN"/>
              </w:rPr>
              <w:t>，</w:t>
            </w:r>
            <w:r>
              <w:rPr>
                <w:rFonts w:hint="eastAsia"/>
                <w:color w:val="auto"/>
                <w:highlight w:val="none"/>
                <w:lang w:val="en-US" w:eastAsia="zh-CN"/>
              </w:rPr>
              <w:t>产生的土石方全部就地</w:t>
            </w:r>
            <w:r>
              <w:rPr>
                <w:color w:val="auto"/>
                <w:highlight w:val="none"/>
              </w:rPr>
              <w:t>回填</w:t>
            </w:r>
            <w:r>
              <w:rPr>
                <w:rFonts w:hint="eastAsia"/>
                <w:color w:val="auto"/>
                <w:highlight w:val="none"/>
                <w:lang w:eastAsia="zh-CN"/>
              </w:rPr>
              <w:t>，</w:t>
            </w:r>
            <w:r>
              <w:rPr>
                <w:rFonts w:hint="eastAsia"/>
                <w:color w:val="auto"/>
                <w:highlight w:val="none"/>
                <w:lang w:val="en-US" w:eastAsia="zh-CN"/>
              </w:rPr>
              <w:t>不产生废弃土石方</w:t>
            </w:r>
            <w:r>
              <w:rPr>
                <w:color w:val="auto"/>
                <w:highlight w:val="none"/>
              </w:rPr>
              <w:t>。</w:t>
            </w:r>
          </w:p>
          <w:p>
            <w:pPr>
              <w:bidi w:val="0"/>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8</w:t>
            </w:r>
            <w:r>
              <w:rPr>
                <w:rFonts w:hint="eastAsia"/>
                <w:color w:val="auto"/>
                <w:highlight w:val="none"/>
                <w:lang w:eastAsia="zh-CN"/>
              </w:rPr>
              <w:t>）</w:t>
            </w:r>
            <w:r>
              <w:rPr>
                <w:rFonts w:hint="eastAsia"/>
                <w:color w:val="auto"/>
                <w:highlight w:val="none"/>
                <w:lang w:val="en-US" w:eastAsia="zh-CN"/>
              </w:rPr>
              <w:t>废润滑油</w:t>
            </w:r>
          </w:p>
          <w:p>
            <w:pPr>
              <w:bidi w:val="0"/>
              <w:rPr>
                <w:rFonts w:hint="default" w:eastAsia="宋体"/>
                <w:color w:val="auto"/>
                <w:highlight w:val="none"/>
                <w:lang w:val="en-US" w:eastAsia="zh-CN"/>
              </w:rPr>
            </w:pPr>
            <w:r>
              <w:rPr>
                <w:rFonts w:hint="eastAsia"/>
                <w:color w:val="auto"/>
                <w:highlight w:val="none"/>
                <w:lang w:val="en-US" w:eastAsia="zh-CN"/>
              </w:rPr>
              <w:t>项目施工期进行设备检修及设备拆除过程中会产生少量的废润滑油，废润滑油属于危险废物，产生量约为0.1t，依托易门铜业有限公司已建5#危险废物贮存库进行暂存，然后委托云南广莱再生资源回收有限公司定期进行清运处置。</w:t>
            </w:r>
          </w:p>
          <w:p>
            <w:pPr>
              <w:bidi w:val="0"/>
              <w:rPr>
                <w:rFonts w:hint="eastAsia" w:ascii="黑体" w:hAnsi="黑体" w:eastAsia="黑体" w:cs="黑体"/>
                <w:b w:val="0"/>
                <w:bCs w:val="0"/>
                <w:color w:val="auto"/>
                <w:highlight w:val="none"/>
              </w:rPr>
            </w:pPr>
            <w:r>
              <w:rPr>
                <w:rFonts w:hint="eastAsia" w:ascii="黑体" w:hAnsi="黑体" w:eastAsia="黑体" w:cs="黑体"/>
                <w:b w:val="0"/>
                <w:bCs w:val="0"/>
                <w:color w:val="auto"/>
                <w:highlight w:val="none"/>
              </w:rPr>
              <w:t>5、生态环境保护措施</w:t>
            </w:r>
          </w:p>
          <w:p>
            <w:pPr>
              <w:bidi w:val="0"/>
              <w:rPr>
                <w:rFonts w:hint="default"/>
                <w:color w:val="auto"/>
                <w:highlight w:val="none"/>
                <w:lang w:val="en-US" w:eastAsia="zh-CN"/>
              </w:rPr>
            </w:pPr>
            <w:r>
              <w:rPr>
                <w:rFonts w:hint="eastAsia"/>
                <w:color w:val="auto"/>
                <w:highlight w:val="none"/>
                <w:lang w:val="en-US" w:eastAsia="zh-CN"/>
              </w:rPr>
              <w:t>本项目位于云南易门产业园区大椿树片区，本次项目改建仅在易门铜业有限公司既有厂区范围内进行改造，不新增占地。</w:t>
            </w:r>
            <w:r>
              <w:rPr>
                <w:rFonts w:hint="eastAsia"/>
                <w:color w:val="auto"/>
                <w:highlight w:val="none"/>
              </w:rPr>
              <w:t>项目区占地范围及周</w:t>
            </w:r>
            <w:r>
              <w:rPr>
                <w:rFonts w:hint="eastAsia"/>
                <w:color w:val="auto"/>
                <w:highlight w:val="none"/>
                <w:lang w:val="en-US" w:eastAsia="zh-CN"/>
              </w:rPr>
              <w:t>边</w:t>
            </w:r>
            <w:r>
              <w:rPr>
                <w:rFonts w:hint="eastAsia"/>
                <w:color w:val="auto"/>
                <w:highlight w:val="none"/>
              </w:rPr>
              <w:t>目前没有自然分布的国家和省级珍稀濒危物种，也没有名木古树分布，多为</w:t>
            </w:r>
            <w:r>
              <w:rPr>
                <w:rFonts w:hint="eastAsia"/>
                <w:color w:val="auto"/>
                <w:highlight w:val="none"/>
                <w:lang w:val="en-US" w:eastAsia="zh-CN"/>
              </w:rPr>
              <w:t>当地</w:t>
            </w:r>
            <w:r>
              <w:rPr>
                <w:rFonts w:hint="eastAsia"/>
                <w:color w:val="auto"/>
                <w:highlight w:val="none"/>
              </w:rPr>
              <w:t>常见物种。域内无大型兽类的隐蔽地、栖息地和生活场所。项目周边不涉及生态环境保护目标。</w:t>
            </w:r>
            <w:r>
              <w:rPr>
                <w:rFonts w:hint="eastAsia"/>
                <w:color w:val="auto"/>
                <w:highlight w:val="none"/>
                <w:lang w:val="en-US" w:eastAsia="zh-CN"/>
              </w:rPr>
              <w:t>建议建设单位应合理利用项目区空余土地进行绿化种植，优化项目区内生态环境。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8" w:type="dxa"/>
            <w:vAlign w:val="center"/>
          </w:tcPr>
          <w:p>
            <w:pPr>
              <w:pStyle w:val="41"/>
              <w:bidi w:val="0"/>
              <w:rPr>
                <w:rFonts w:hint="default"/>
                <w:color w:val="auto"/>
                <w:highlight w:val="none"/>
                <w:lang w:val="en-US" w:eastAsia="zh-CN"/>
              </w:rPr>
            </w:pPr>
            <w:bookmarkStart w:id="246" w:name="_Toc6572"/>
            <w:r>
              <w:rPr>
                <w:rFonts w:hint="default"/>
                <w:color w:val="auto"/>
                <w:highlight w:val="none"/>
                <w:lang w:val="en-US" w:eastAsia="zh-CN"/>
              </w:rPr>
              <w:t>运营期环境影响和环境保护措施</w:t>
            </w:r>
          </w:p>
        </w:tc>
        <w:tc>
          <w:tcPr>
            <w:tcW w:w="7970" w:type="dxa"/>
            <w:vAlign w:val="top"/>
          </w:tcPr>
          <w:p>
            <w:pPr>
              <w:keepNext w:val="0"/>
              <w:keepLines w:val="0"/>
              <w:pageBreakBefore w:val="0"/>
              <w:widowControl w:val="0"/>
              <w:kinsoku/>
              <w:wordWrap/>
              <w:overflowPunct/>
              <w:topLinePunct w:val="0"/>
              <w:autoSpaceDE/>
              <w:autoSpaceDN/>
              <w:bidi w:val="0"/>
              <w:adjustRightInd/>
              <w:snapToGrid/>
              <w:spacing w:before="95" w:beforeLines="30"/>
              <w:textAlignment w:val="auto"/>
              <w:rPr>
                <w:rFonts w:hint="eastAsia"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（一）废气</w:t>
            </w:r>
          </w:p>
          <w:p>
            <w:pPr>
              <w:bidi w:val="0"/>
              <w:rPr>
                <w:rFonts w:hint="eastAsia"/>
                <w:color w:val="auto"/>
                <w:highlight w:val="none"/>
                <w:lang w:val="en-US" w:eastAsia="zh-CN"/>
              </w:rPr>
            </w:pPr>
            <w:r>
              <w:rPr>
                <w:rFonts w:hint="eastAsia"/>
                <w:color w:val="auto"/>
                <w:highlight w:val="none"/>
                <w:lang w:val="en-US" w:eastAsia="zh-CN"/>
              </w:rPr>
              <w:t>本项目运营过程中产生的</w:t>
            </w:r>
            <w:r>
              <w:rPr>
                <w:rFonts w:hint="default"/>
                <w:color w:val="auto"/>
                <w:highlight w:val="none"/>
              </w:rPr>
              <w:t>废气主要为污氮（主要成分为氮气，含少量氧气、二氧化碳等），为空气组分，</w:t>
            </w:r>
            <w:r>
              <w:rPr>
                <w:rFonts w:hint="eastAsia"/>
                <w:color w:val="auto"/>
                <w:highlight w:val="none"/>
                <w:lang w:val="en-US" w:eastAsia="zh-CN"/>
              </w:rPr>
              <w:t>不属于大气污染物，</w:t>
            </w:r>
            <w:r>
              <w:rPr>
                <w:rFonts w:hint="default"/>
                <w:color w:val="auto"/>
                <w:highlight w:val="none"/>
              </w:rPr>
              <w:t>不含其他有毒有害</w:t>
            </w:r>
            <w:r>
              <w:rPr>
                <w:rFonts w:hint="eastAsia"/>
                <w:color w:val="auto"/>
                <w:highlight w:val="none"/>
                <w:lang w:val="en-US" w:eastAsia="zh-CN"/>
              </w:rPr>
              <w:t>物质</w:t>
            </w:r>
            <w:r>
              <w:rPr>
                <w:rFonts w:hint="default"/>
                <w:color w:val="auto"/>
                <w:highlight w:val="none"/>
              </w:rPr>
              <w:t>，</w:t>
            </w:r>
            <w:r>
              <w:rPr>
                <w:rFonts w:hint="eastAsia"/>
                <w:color w:val="auto"/>
                <w:highlight w:val="none"/>
                <w:lang w:val="en-US" w:eastAsia="zh-CN"/>
              </w:rPr>
              <w:t>直接</w:t>
            </w:r>
            <w:r>
              <w:rPr>
                <w:rFonts w:hint="default"/>
                <w:color w:val="auto"/>
                <w:highlight w:val="none"/>
              </w:rPr>
              <w:t>排放至大气</w:t>
            </w:r>
            <w:r>
              <w:rPr>
                <w:rFonts w:hint="eastAsia"/>
                <w:color w:val="auto"/>
                <w:highlight w:val="none"/>
                <w:lang w:val="en-US" w:eastAsia="zh-CN"/>
              </w:rPr>
              <w:t>环境</w:t>
            </w:r>
            <w:r>
              <w:rPr>
                <w:rFonts w:hint="default"/>
                <w:color w:val="auto"/>
                <w:highlight w:val="none"/>
              </w:rPr>
              <w:t>，对</w:t>
            </w:r>
            <w:r>
              <w:rPr>
                <w:rFonts w:hint="eastAsia"/>
                <w:color w:val="auto"/>
                <w:highlight w:val="none"/>
                <w:lang w:val="en-US" w:eastAsia="zh-CN"/>
              </w:rPr>
              <w:t>周边</w:t>
            </w:r>
            <w:r>
              <w:rPr>
                <w:rFonts w:hint="default"/>
                <w:color w:val="auto"/>
                <w:highlight w:val="none"/>
              </w:rPr>
              <w:t>环境空气影响</w:t>
            </w:r>
            <w:r>
              <w:rPr>
                <w:rFonts w:hint="eastAsia"/>
                <w:color w:val="auto"/>
                <w:highlight w:val="none"/>
                <w:lang w:val="en-US" w:eastAsia="zh-CN"/>
              </w:rPr>
              <w:t>较小</w:t>
            </w:r>
            <w:r>
              <w:rPr>
                <w:rFonts w:hint="default"/>
                <w:color w:val="auto"/>
                <w:highlight w:val="none"/>
              </w:rPr>
              <w:t>。</w:t>
            </w:r>
          </w:p>
          <w:p>
            <w:pPr>
              <w:bidi w:val="0"/>
              <w:rPr>
                <w:rFonts w:hint="eastAsia"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（二）废水</w:t>
            </w:r>
          </w:p>
          <w:p>
            <w:pPr>
              <w:bidi w:val="0"/>
              <w:rPr>
                <w:rFonts w:hint="default"/>
                <w:color w:val="auto"/>
                <w:highlight w:val="none"/>
                <w:lang w:val="en-US" w:eastAsia="zh-CN"/>
              </w:rPr>
            </w:pPr>
            <w:r>
              <w:rPr>
                <w:rFonts w:hint="eastAsia" w:ascii="黑体" w:hAnsi="黑体" w:eastAsia="黑体" w:cs="黑体"/>
                <w:color w:val="auto"/>
                <w:highlight w:val="none"/>
                <w:lang w:val="en-US" w:eastAsia="zh-CN"/>
              </w:rPr>
              <w:t>1、项目废水污染物源强核算</w:t>
            </w:r>
          </w:p>
          <w:p>
            <w:pPr>
              <w:bidi w:val="0"/>
              <w:rPr>
                <w:rFonts w:hint="default"/>
                <w:color w:val="auto"/>
                <w:highlight w:val="none"/>
                <w:lang w:val="en-US" w:eastAsia="zh-CN"/>
              </w:rPr>
            </w:pPr>
            <w:r>
              <w:rPr>
                <w:rFonts w:hint="eastAsia"/>
                <w:color w:val="auto"/>
                <w:highlight w:val="none"/>
                <w:lang w:val="en-US" w:eastAsia="zh-CN"/>
              </w:rPr>
              <w:t>（1）生活污水</w:t>
            </w:r>
          </w:p>
          <w:p>
            <w:pPr>
              <w:bidi w:val="0"/>
              <w:rPr>
                <w:rFonts w:hint="eastAsia"/>
                <w:color w:val="auto"/>
                <w:sz w:val="24"/>
                <w:highlight w:val="none"/>
                <w:lang w:eastAsia="zh-CN"/>
              </w:rPr>
            </w:pPr>
            <w:r>
              <w:rPr>
                <w:rFonts w:hint="eastAsia" w:ascii="Times New Roman" w:hAnsi="Times New Roman" w:eastAsia="宋体" w:cs="Times New Roman"/>
                <w:color w:val="auto"/>
                <w:sz w:val="24"/>
                <w:highlight w:val="none"/>
                <w:lang w:val="en-US" w:eastAsia="zh-CN"/>
              </w:rPr>
              <w:t>项目改造</w:t>
            </w:r>
            <w:r>
              <w:rPr>
                <w:rFonts w:hint="eastAsia" w:cs="Times New Roman"/>
                <w:color w:val="auto"/>
                <w:sz w:val="24"/>
                <w:highlight w:val="none"/>
                <w:lang w:val="en-US" w:eastAsia="zh-CN"/>
              </w:rPr>
              <w:t>完成</w:t>
            </w:r>
            <w:r>
              <w:rPr>
                <w:rFonts w:hint="eastAsia" w:ascii="Times New Roman" w:hAnsi="Times New Roman" w:eastAsia="宋体" w:cs="Times New Roman"/>
                <w:color w:val="auto"/>
                <w:sz w:val="24"/>
                <w:highlight w:val="none"/>
                <w:lang w:val="en-US" w:eastAsia="zh-CN"/>
              </w:rPr>
              <w:t>后，无需增加劳动定员，现有岗位人员</w:t>
            </w:r>
            <w:r>
              <w:rPr>
                <w:rFonts w:hint="eastAsia" w:cs="Times New Roman"/>
                <w:color w:val="auto"/>
                <w:sz w:val="24"/>
                <w:highlight w:val="none"/>
                <w:lang w:val="en-US" w:eastAsia="zh-CN"/>
              </w:rPr>
              <w:t>共10人，</w:t>
            </w:r>
            <w:r>
              <w:rPr>
                <w:rFonts w:hint="eastAsia" w:ascii="Times New Roman" w:hAnsi="Times New Roman" w:eastAsia="宋体" w:cs="Times New Roman"/>
                <w:color w:val="auto"/>
                <w:sz w:val="24"/>
                <w:highlight w:val="none"/>
                <w:lang w:val="en-US" w:eastAsia="zh-CN"/>
              </w:rPr>
              <w:t>可满足生产需求。</w:t>
            </w:r>
            <w:r>
              <w:rPr>
                <w:rFonts w:hint="eastAsia"/>
                <w:color w:val="auto"/>
                <w:highlight w:val="none"/>
                <w:lang w:val="en-US" w:eastAsia="zh-CN"/>
              </w:rPr>
              <w:t>根据水平衡章节</w:t>
            </w:r>
            <w:r>
              <w:rPr>
                <w:rFonts w:hint="eastAsia"/>
                <w:color w:val="auto"/>
                <w:sz w:val="24"/>
                <w:highlight w:val="none"/>
                <w:lang w:val="en-US" w:eastAsia="zh-CN"/>
              </w:rPr>
              <w:t>，项目办公生活</w:t>
            </w:r>
            <w:r>
              <w:rPr>
                <w:rFonts w:hint="eastAsia"/>
                <w:color w:val="auto"/>
                <w:highlight w:val="none"/>
                <w:lang w:val="en-US" w:eastAsia="zh-CN"/>
              </w:rPr>
              <w:t>用水量约为1.2m</w:t>
            </w:r>
            <w:r>
              <w:rPr>
                <w:rFonts w:hint="eastAsia"/>
                <w:color w:val="auto"/>
                <w:highlight w:val="none"/>
                <w:vertAlign w:val="superscript"/>
                <w:lang w:val="en-US" w:eastAsia="zh-CN"/>
              </w:rPr>
              <w:t>3</w:t>
            </w:r>
            <w:r>
              <w:rPr>
                <w:rFonts w:hint="eastAsia"/>
                <w:color w:val="auto"/>
                <w:highlight w:val="none"/>
                <w:lang w:val="en-US" w:eastAsia="zh-CN"/>
              </w:rPr>
              <w:t>/d，污水产生量约为0.96m</w:t>
            </w:r>
            <w:r>
              <w:rPr>
                <w:rFonts w:hint="eastAsia"/>
                <w:color w:val="auto"/>
                <w:highlight w:val="none"/>
                <w:vertAlign w:val="superscript"/>
                <w:lang w:val="en-US" w:eastAsia="zh-CN"/>
              </w:rPr>
              <w:t>3</w:t>
            </w:r>
            <w:r>
              <w:rPr>
                <w:rFonts w:hint="eastAsia"/>
                <w:color w:val="auto"/>
                <w:highlight w:val="none"/>
                <w:lang w:val="en-US" w:eastAsia="zh-CN"/>
              </w:rPr>
              <w:t>/d。</w:t>
            </w:r>
          </w:p>
          <w:p>
            <w:pPr>
              <w:bidi w:val="0"/>
              <w:rPr>
                <w:rFonts w:hint="default"/>
                <w:color w:val="auto"/>
                <w:highlight w:val="none"/>
                <w:lang w:val="en-US" w:eastAsia="zh-CN"/>
              </w:rPr>
            </w:pPr>
            <w:r>
              <w:rPr>
                <w:rFonts w:hint="eastAsia"/>
                <w:color w:val="auto"/>
                <w:highlight w:val="none"/>
                <w:lang w:val="en-US" w:eastAsia="zh-CN"/>
              </w:rPr>
              <w:t>（2）生产废水</w:t>
            </w:r>
          </w:p>
          <w:p>
            <w:pPr>
              <w:bidi w:val="0"/>
              <w:rPr>
                <w:rFonts w:hint="default" w:ascii="Times New Roman" w:hAnsi="Times New Roman" w:cs="Times New Roman"/>
                <w:color w:val="auto"/>
                <w:highlight w:val="none"/>
                <w:lang w:val="en-US" w:eastAsia="zh-CN"/>
              </w:rPr>
            </w:pPr>
            <w:r>
              <w:rPr>
                <w:rFonts w:hint="eastAsia"/>
                <w:color w:val="auto"/>
                <w:highlight w:val="none"/>
                <w:lang w:val="en-US" w:eastAsia="zh-CN"/>
              </w:rPr>
              <w:t>本项目运营期生产废水主要为循环冷却系统</w:t>
            </w:r>
            <w:r>
              <w:rPr>
                <w:rFonts w:hint="eastAsia"/>
                <w:color w:val="auto"/>
                <w:highlight w:val="none"/>
              </w:rPr>
              <w:t>检修清理</w:t>
            </w:r>
            <w:r>
              <w:rPr>
                <w:rFonts w:hint="eastAsia"/>
                <w:color w:val="auto"/>
                <w:highlight w:val="none"/>
                <w:lang w:val="en-US" w:eastAsia="zh-CN"/>
              </w:rPr>
              <w:t>循环</w:t>
            </w:r>
            <w:r>
              <w:rPr>
                <w:rFonts w:hint="eastAsia"/>
                <w:color w:val="auto"/>
                <w:highlight w:val="none"/>
              </w:rPr>
              <w:t>水池排</w:t>
            </w:r>
            <w:r>
              <w:rPr>
                <w:rFonts w:hint="eastAsia"/>
                <w:color w:val="auto"/>
                <w:highlight w:val="none"/>
                <w:lang w:val="en-US" w:eastAsia="zh-CN"/>
              </w:rPr>
              <w:t>污</w:t>
            </w:r>
            <w:r>
              <w:rPr>
                <w:rFonts w:hint="eastAsia"/>
                <w:color w:val="auto"/>
                <w:highlight w:val="none"/>
              </w:rPr>
              <w:t>水</w:t>
            </w:r>
            <w:r>
              <w:rPr>
                <w:rFonts w:hint="eastAsia"/>
                <w:color w:val="auto"/>
                <w:highlight w:val="none"/>
                <w:lang w:val="en-US" w:eastAsia="zh-CN"/>
              </w:rPr>
              <w:t>，根据建设单位提供的资料，现有</w:t>
            </w:r>
            <w:r>
              <w:rPr>
                <w:rFonts w:hint="default" w:ascii="Times New Roman" w:hAnsi="Times New Roman" w:eastAsia="宋体"/>
                <w:color w:val="auto"/>
                <w:sz w:val="24"/>
                <w:highlight w:val="none"/>
              </w:rPr>
              <w:t>6500Nm</w:t>
            </w:r>
            <w:r>
              <w:rPr>
                <w:rFonts w:hint="eastAsia" w:ascii="Times New Roman" w:hAnsi="Times New Roman"/>
                <w:color w:val="auto"/>
                <w:sz w:val="24"/>
                <w:highlight w:val="none"/>
                <w:vertAlign w:val="superscript"/>
                <w:lang w:val="en-US" w:eastAsia="zh-CN"/>
              </w:rPr>
              <w:t>3</w:t>
            </w:r>
            <w:r>
              <w:rPr>
                <w:rFonts w:hint="default" w:ascii="Times New Roman" w:hAnsi="Times New Roman" w:eastAsia="宋体"/>
                <w:color w:val="auto"/>
                <w:sz w:val="24"/>
                <w:highlight w:val="none"/>
              </w:rPr>
              <w:t>/h</w:t>
            </w:r>
            <w:r>
              <w:rPr>
                <w:rFonts w:hint="default" w:ascii="Times New Roman" w:hAnsi="Times New Roman" w:eastAsia="宋体"/>
                <w:color w:val="auto"/>
                <w:sz w:val="24"/>
                <w:highlight w:val="none"/>
                <w:lang w:eastAsia="zh-CN"/>
              </w:rPr>
              <w:t>（</w:t>
            </w:r>
            <w:r>
              <w:rPr>
                <w:rFonts w:hint="default" w:ascii="Times New Roman" w:hAnsi="Times New Roman" w:eastAsia="宋体"/>
                <w:color w:val="auto"/>
                <w:sz w:val="24"/>
                <w:highlight w:val="none"/>
                <w:lang w:val="en-US" w:eastAsia="zh-CN"/>
              </w:rPr>
              <w:t>2006年投产</w:t>
            </w:r>
            <w:r>
              <w:rPr>
                <w:rFonts w:hint="default" w:ascii="Times New Roman" w:hAnsi="Times New Roman" w:eastAsia="宋体"/>
                <w:color w:val="auto"/>
                <w:sz w:val="24"/>
                <w:highlight w:val="none"/>
                <w:lang w:eastAsia="zh-CN"/>
              </w:rPr>
              <w:t>）</w:t>
            </w:r>
            <w:r>
              <w:rPr>
                <w:rFonts w:hint="default" w:ascii="Times New Roman" w:hAnsi="Times New Roman" w:eastAsia="宋体"/>
                <w:color w:val="auto"/>
                <w:sz w:val="24"/>
                <w:highlight w:val="none"/>
              </w:rPr>
              <w:t>变压吸附制氧装置</w:t>
            </w:r>
            <w:r>
              <w:rPr>
                <w:rFonts w:hint="eastAsia" w:ascii="Times New Roman" w:hAnsi="Times New Roman"/>
                <w:color w:val="auto"/>
                <w:sz w:val="24"/>
                <w:highlight w:val="none"/>
                <w:lang w:val="en-US" w:eastAsia="zh-CN"/>
              </w:rPr>
              <w:t>循环冷却系统新鲜水补充量为125m</w:t>
            </w:r>
            <w:r>
              <w:rPr>
                <w:rFonts w:hint="eastAsia" w:ascii="Times New Roman" w:hAnsi="Times New Roman"/>
                <w:color w:val="auto"/>
                <w:sz w:val="24"/>
                <w:highlight w:val="none"/>
                <w:vertAlign w:val="superscript"/>
                <w:lang w:val="en-US" w:eastAsia="zh-CN"/>
              </w:rPr>
              <w:t>3</w:t>
            </w:r>
            <w:r>
              <w:rPr>
                <w:rFonts w:hint="eastAsia" w:ascii="Times New Roman" w:hAnsi="Times New Roman"/>
                <w:color w:val="auto"/>
                <w:sz w:val="24"/>
                <w:highlight w:val="none"/>
                <w:lang w:val="en-US" w:eastAsia="zh-CN"/>
              </w:rPr>
              <w:t>/d，</w:t>
            </w:r>
            <w:r>
              <w:rPr>
                <w:rFonts w:hint="eastAsia"/>
                <w:color w:val="auto"/>
                <w:highlight w:val="none"/>
                <w:lang w:val="en-US" w:eastAsia="zh-CN"/>
              </w:rPr>
              <w:t>项目循环冷却系统</w:t>
            </w:r>
            <w:r>
              <w:rPr>
                <w:rFonts w:hint="eastAsia"/>
                <w:color w:val="auto"/>
                <w:highlight w:val="none"/>
              </w:rPr>
              <w:t>检修清理</w:t>
            </w:r>
            <w:r>
              <w:rPr>
                <w:rFonts w:hint="eastAsia"/>
                <w:color w:val="auto"/>
                <w:highlight w:val="none"/>
                <w:lang w:val="en-US" w:eastAsia="zh-CN"/>
              </w:rPr>
              <w:t>循环</w:t>
            </w:r>
            <w:r>
              <w:rPr>
                <w:rFonts w:hint="eastAsia"/>
                <w:color w:val="auto"/>
                <w:highlight w:val="none"/>
              </w:rPr>
              <w:t>水池</w:t>
            </w:r>
            <w:r>
              <w:rPr>
                <w:rFonts w:hint="eastAsia"/>
                <w:color w:val="auto"/>
                <w:highlight w:val="none"/>
                <w:lang w:val="en-US" w:eastAsia="zh-CN"/>
              </w:rPr>
              <w:t>排污水量为200m</w:t>
            </w:r>
            <w:r>
              <w:rPr>
                <w:rFonts w:hint="eastAsia"/>
                <w:color w:val="auto"/>
                <w:highlight w:val="none"/>
                <w:vertAlign w:val="superscript"/>
                <w:lang w:val="en-US" w:eastAsia="zh-CN"/>
              </w:rPr>
              <w:t>3</w:t>
            </w:r>
            <w:r>
              <w:rPr>
                <w:rFonts w:hint="eastAsia"/>
                <w:color w:val="auto"/>
                <w:highlight w:val="none"/>
                <w:lang w:val="en-US" w:eastAsia="zh-CN"/>
              </w:rPr>
              <w:t>/a（平均0.61m</w:t>
            </w:r>
            <w:r>
              <w:rPr>
                <w:rFonts w:hint="eastAsia"/>
                <w:color w:val="auto"/>
                <w:highlight w:val="none"/>
                <w:vertAlign w:val="superscript"/>
                <w:lang w:val="en-US" w:eastAsia="zh-CN"/>
              </w:rPr>
              <w:t>3</w:t>
            </w:r>
            <w:r>
              <w:rPr>
                <w:rFonts w:hint="eastAsia"/>
                <w:color w:val="auto"/>
                <w:highlight w:val="none"/>
                <w:lang w:val="en-US" w:eastAsia="zh-CN"/>
              </w:rPr>
              <w:t>/d）</w:t>
            </w:r>
            <w:r>
              <w:rPr>
                <w:rFonts w:hint="eastAsia" w:ascii="Times New Roman" w:hAnsi="Times New Roman"/>
                <w:color w:val="auto"/>
                <w:sz w:val="24"/>
                <w:highlight w:val="none"/>
                <w:lang w:val="en-US" w:eastAsia="zh-CN"/>
              </w:rPr>
              <w:t>，消耗量为</w:t>
            </w:r>
            <w:r>
              <w:rPr>
                <w:rFonts w:hint="eastAsia"/>
                <w:color w:val="auto"/>
                <w:sz w:val="24"/>
                <w:highlight w:val="none"/>
                <w:lang w:val="en-US" w:eastAsia="zh-CN"/>
              </w:rPr>
              <w:t>124.39</w:t>
            </w:r>
            <w:r>
              <w:rPr>
                <w:rFonts w:hint="eastAsia" w:ascii="Times New Roman" w:hAnsi="Times New Roman"/>
                <w:color w:val="auto"/>
                <w:sz w:val="24"/>
                <w:highlight w:val="none"/>
                <w:lang w:val="en-US" w:eastAsia="zh-CN"/>
              </w:rPr>
              <w:t>m</w:t>
            </w:r>
            <w:r>
              <w:rPr>
                <w:rFonts w:hint="eastAsia" w:ascii="Times New Roman" w:hAnsi="Times New Roman"/>
                <w:color w:val="auto"/>
                <w:sz w:val="24"/>
                <w:highlight w:val="none"/>
                <w:vertAlign w:val="superscript"/>
                <w:lang w:val="en-US" w:eastAsia="zh-CN"/>
              </w:rPr>
              <w:t>3</w:t>
            </w:r>
            <w:r>
              <w:rPr>
                <w:rFonts w:hint="eastAsia" w:ascii="Times New Roman" w:hAnsi="Times New Roman"/>
                <w:color w:val="auto"/>
                <w:sz w:val="24"/>
                <w:highlight w:val="none"/>
                <w:lang w:val="en-US" w:eastAsia="zh-CN"/>
              </w:rPr>
              <w:t>/d</w:t>
            </w:r>
            <w:r>
              <w:rPr>
                <w:rFonts w:hint="eastAsia"/>
                <w:color w:val="auto"/>
                <w:highlight w:val="none"/>
                <w:lang w:eastAsia="zh-CN"/>
              </w:rPr>
              <w:t>；</w:t>
            </w:r>
            <w:r>
              <w:rPr>
                <w:rFonts w:hint="eastAsia"/>
                <w:color w:val="auto"/>
                <w:highlight w:val="none"/>
                <w:lang w:val="en-US" w:eastAsia="zh-CN"/>
              </w:rPr>
              <w:t>本项目改造完成后，循环冷却系统总用水量为12000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其中</w:t>
            </w:r>
            <w:r>
              <w:rPr>
                <w:rFonts w:hint="default" w:ascii="Times New Roman" w:hAnsi="Times New Roman" w:eastAsia="宋体" w:cs="Times New Roman"/>
                <w:color w:val="auto"/>
                <w:sz w:val="24"/>
                <w:szCs w:val="24"/>
                <w:highlight w:val="none"/>
              </w:rPr>
              <w:t>循环水量</w:t>
            </w:r>
            <w:r>
              <w:rPr>
                <w:rFonts w:hint="eastAsia" w:cs="Times New Roman"/>
                <w:color w:val="auto"/>
                <w:sz w:val="24"/>
                <w:szCs w:val="24"/>
                <w:highlight w:val="none"/>
                <w:lang w:val="en-US" w:eastAsia="zh-CN"/>
              </w:rPr>
              <w:t>为</w:t>
            </w:r>
            <w:r>
              <w:rPr>
                <w:rFonts w:hint="eastAsia" w:ascii="Times New Roman" w:hAnsi="Times New Roman" w:eastAsia="宋体" w:cs="Times New Roman"/>
                <w:color w:val="auto"/>
                <w:sz w:val="24"/>
                <w:szCs w:val="24"/>
                <w:highlight w:val="none"/>
                <w:lang w:val="en-US" w:eastAsia="zh-CN"/>
              </w:rPr>
              <w:t>11760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损耗水量为239.09</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lang w:eastAsia="zh-CN"/>
              </w:rPr>
              <w:t>，</w:t>
            </w:r>
            <w:r>
              <w:rPr>
                <w:rFonts w:hint="eastAsia"/>
                <w:color w:val="auto"/>
                <w:highlight w:val="none"/>
                <w:lang w:val="en-US" w:eastAsia="zh-CN"/>
              </w:rPr>
              <w:t>循环冷却系统</w:t>
            </w:r>
            <w:r>
              <w:rPr>
                <w:rFonts w:hint="eastAsia"/>
                <w:color w:val="auto"/>
                <w:highlight w:val="none"/>
              </w:rPr>
              <w:t>检修清理</w:t>
            </w:r>
            <w:r>
              <w:rPr>
                <w:rFonts w:hint="eastAsia"/>
                <w:color w:val="auto"/>
                <w:highlight w:val="none"/>
                <w:lang w:val="en-US" w:eastAsia="zh-CN"/>
              </w:rPr>
              <w:t>循环</w:t>
            </w:r>
            <w:r>
              <w:rPr>
                <w:rFonts w:hint="eastAsia"/>
                <w:color w:val="auto"/>
                <w:highlight w:val="none"/>
              </w:rPr>
              <w:t>水池排</w:t>
            </w:r>
            <w:r>
              <w:rPr>
                <w:rFonts w:hint="eastAsia"/>
                <w:color w:val="auto"/>
                <w:highlight w:val="none"/>
                <w:lang w:val="en-US" w:eastAsia="zh-CN"/>
              </w:rPr>
              <w:t>污</w:t>
            </w:r>
            <w:r>
              <w:rPr>
                <w:rFonts w:hint="eastAsia"/>
                <w:color w:val="auto"/>
                <w:highlight w:val="none"/>
              </w:rPr>
              <w:t>水</w:t>
            </w:r>
            <w:r>
              <w:rPr>
                <w:rFonts w:hint="eastAsia" w:ascii="Times New Roman" w:hAnsi="Times New Roman" w:cs="Times New Roman"/>
                <w:color w:val="auto"/>
                <w:sz w:val="24"/>
                <w:szCs w:val="24"/>
                <w:highlight w:val="none"/>
                <w:lang w:val="en-US" w:eastAsia="zh-CN"/>
              </w:rPr>
              <w:t>量为</w:t>
            </w:r>
            <w:r>
              <w:rPr>
                <w:rFonts w:hint="eastAsia" w:cs="Times New Roman"/>
                <w:color w:val="auto"/>
                <w:sz w:val="24"/>
                <w:szCs w:val="24"/>
                <w:highlight w:val="none"/>
                <w:lang w:val="en-US" w:eastAsia="zh-CN"/>
              </w:rPr>
              <w:t>300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a</w:t>
            </w:r>
            <w:r>
              <w:rPr>
                <w:rFonts w:hint="eastAsia"/>
                <w:color w:val="auto"/>
                <w:highlight w:val="none"/>
                <w:lang w:val="en-US" w:eastAsia="zh-CN"/>
              </w:rPr>
              <w:t>（平均0.91m</w:t>
            </w:r>
            <w:r>
              <w:rPr>
                <w:rFonts w:hint="eastAsia"/>
                <w:color w:val="auto"/>
                <w:highlight w:val="none"/>
                <w:vertAlign w:val="superscript"/>
                <w:lang w:val="en-US" w:eastAsia="zh-CN"/>
              </w:rPr>
              <w:t>3</w:t>
            </w:r>
            <w:r>
              <w:rPr>
                <w:rFonts w:hint="eastAsia"/>
                <w:color w:val="auto"/>
                <w:highlight w:val="none"/>
                <w:lang w:val="en-US" w:eastAsia="zh-CN"/>
              </w:rPr>
              <w:t>/d）</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需补充新鲜水量为240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ascii="Times New Roman" w:hAnsi="Times New Roman" w:cs="Times New Roman"/>
                <w:color w:val="auto"/>
                <w:sz w:val="24"/>
                <w:szCs w:val="24"/>
                <w:highlight w:val="none"/>
                <w:lang w:eastAsia="zh-CN"/>
              </w:rPr>
              <w:t>。</w:t>
            </w:r>
          </w:p>
          <w:p>
            <w:pPr>
              <w:bidi w:val="0"/>
              <w:rPr>
                <w:rFonts w:hint="default"/>
                <w:color w:val="auto"/>
                <w:highlight w:val="none"/>
                <w:lang w:val="en-US" w:eastAsia="zh-CN"/>
              </w:rPr>
            </w:pPr>
            <w:r>
              <w:rPr>
                <w:rFonts w:hint="eastAsia" w:ascii="黑体" w:hAnsi="黑体" w:eastAsia="黑体" w:cs="黑体"/>
                <w:color w:val="auto"/>
                <w:highlight w:val="none"/>
                <w:lang w:val="en-US" w:eastAsia="zh-CN"/>
              </w:rPr>
              <w:t>2、废水处置措施及可行性分析</w:t>
            </w:r>
          </w:p>
          <w:p>
            <w:pPr>
              <w:spacing w:line="360" w:lineRule="auto"/>
              <w:ind w:firstLine="480" w:firstLineChars="200"/>
              <w:jc w:val="left"/>
              <w:rPr>
                <w:rFonts w:hint="default"/>
                <w:color w:val="auto"/>
                <w:sz w:val="24"/>
                <w:highlight w:val="none"/>
                <w:lang w:val="en-US" w:eastAsia="zh-CN"/>
              </w:rPr>
            </w:pPr>
            <w:r>
              <w:rPr>
                <w:rFonts w:hint="eastAsia"/>
                <w:color w:val="auto"/>
                <w:sz w:val="24"/>
                <w:highlight w:val="none"/>
                <w:lang w:val="en-US" w:eastAsia="zh-CN"/>
              </w:rPr>
              <w:t>（1）生活污水</w:t>
            </w:r>
          </w:p>
          <w:p>
            <w:pPr>
              <w:bidi w:val="0"/>
              <w:rPr>
                <w:rFonts w:hint="eastAsia"/>
                <w:color w:val="auto"/>
                <w:highlight w:val="none"/>
                <w:lang w:val="en-US" w:eastAsia="zh-CN"/>
              </w:rPr>
            </w:pPr>
            <w:r>
              <w:rPr>
                <w:rFonts w:hint="eastAsia"/>
                <w:color w:val="auto"/>
                <w:highlight w:val="none"/>
                <w:lang w:val="en-US" w:eastAsia="zh-CN"/>
              </w:rPr>
              <w:t>项目生活污水经收集后进入厂区生活污水处理站处理达到《城市污水再生利用 城市杂用水水质》（</w:t>
            </w:r>
            <w:r>
              <w:rPr>
                <w:color w:val="auto"/>
                <w:highlight w:val="none"/>
              </w:rPr>
              <w:t>GB/T18920-2020</w:t>
            </w:r>
            <w:r>
              <w:rPr>
                <w:rFonts w:hint="eastAsia"/>
                <w:color w:val="auto"/>
                <w:highlight w:val="none"/>
                <w:lang w:val="en-US" w:eastAsia="zh-CN"/>
              </w:rPr>
              <w:t>）表1中“城市绿化、道路清扫、消防、建筑施工”限值要求后回用于厂区绿化浇洒，不外排。</w:t>
            </w:r>
          </w:p>
          <w:p>
            <w:pPr>
              <w:bidi w:val="0"/>
              <w:rPr>
                <w:rFonts w:hint="default"/>
                <w:color w:val="auto"/>
                <w:highlight w:val="none"/>
                <w:lang w:val="en-US" w:eastAsia="zh-CN"/>
              </w:rPr>
            </w:pPr>
            <w:r>
              <w:rPr>
                <w:rFonts w:hint="eastAsia"/>
                <w:color w:val="auto"/>
                <w:highlight w:val="none"/>
                <w:lang w:val="en-US" w:eastAsia="zh-CN"/>
              </w:rPr>
              <w:t>本项目改建完成后不新增劳动定员，生活废水沿用原有处置措施，未发生变化。本次依托的污水处理站处理规模为200m</w:t>
            </w:r>
            <w:r>
              <w:rPr>
                <w:rFonts w:hint="eastAsia"/>
                <w:color w:val="auto"/>
                <w:highlight w:val="none"/>
                <w:vertAlign w:val="superscript"/>
                <w:lang w:val="en-US" w:eastAsia="zh-CN"/>
              </w:rPr>
              <w:t>3</w:t>
            </w:r>
            <w:r>
              <w:rPr>
                <w:rFonts w:hint="eastAsia"/>
                <w:color w:val="auto"/>
                <w:highlight w:val="none"/>
                <w:lang w:val="en-US" w:eastAsia="zh-CN"/>
              </w:rPr>
              <w:t>/d，处理工艺为“A/O+接触氧化+消毒 ”，现状运行情况稳定。根据建设单位2026年3月委托昆明绿岛环境科技有限公司对生活污水处理站出水口水质进行检测所得到的检测结果可知，该生活污水处理站出口水质可满足《城市污水再生利用 城市杂用水水质》（GB/T18920-2020）标准中的绿化和道路清扫水质标准要求。检测结果详见下表：</w:t>
            </w:r>
          </w:p>
          <w:p>
            <w:pPr>
              <w:pStyle w:val="35"/>
              <w:bidi w:val="0"/>
              <w:rPr>
                <w:rFonts w:hint="default"/>
                <w:color w:val="auto"/>
                <w:highlight w:val="none"/>
                <w:lang w:val="en-US" w:eastAsia="zh-CN"/>
              </w:rPr>
            </w:pPr>
            <w:r>
              <w:rPr>
                <w:rFonts w:hint="eastAsia"/>
                <w:color w:val="auto"/>
                <w:highlight w:val="none"/>
                <w:lang w:val="en-US" w:eastAsia="zh-CN"/>
              </w:rPr>
              <w:t>表4-1  生活污水处理站出水口水质检测结果一览表</w:t>
            </w:r>
          </w:p>
          <w:tbl>
            <w:tblPr>
              <w:tblStyle w:val="24"/>
              <w:tblW w:w="773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5"/>
              <w:gridCol w:w="1212"/>
              <w:gridCol w:w="1234"/>
              <w:gridCol w:w="1223"/>
              <w:gridCol w:w="1085"/>
              <w:gridCol w:w="946"/>
              <w:gridCol w:w="6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55" w:type="dxa"/>
                  <w:tcBorders>
                    <w:tl2br w:val="nil"/>
                    <w:tr2bl w:val="nil"/>
                  </w:tcBorders>
                  <w:shd w:val="clear" w:color="auto" w:fill="auto"/>
                  <w:vAlign w:val="center"/>
                </w:tcPr>
                <w:p>
                  <w:pPr>
                    <w:pStyle w:val="34"/>
                    <w:bidi w:val="0"/>
                    <w:ind w:left="0" w:leftChars="0" w:firstLine="0" w:firstLineChars="0"/>
                    <w:rPr>
                      <w:rFonts w:hint="eastAsia" w:eastAsia="宋体"/>
                      <w:color w:val="auto"/>
                      <w:highlight w:val="none"/>
                      <w:lang w:val="en-US" w:eastAsia="zh-CN"/>
                    </w:rPr>
                  </w:pPr>
                  <w:r>
                    <w:rPr>
                      <w:rFonts w:hint="eastAsia"/>
                      <w:color w:val="auto"/>
                      <w:highlight w:val="none"/>
                      <w:lang w:val="en-US" w:eastAsia="zh-CN"/>
                    </w:rPr>
                    <w:t>点位名称</w:t>
                  </w:r>
                </w:p>
              </w:tc>
              <w:tc>
                <w:tcPr>
                  <w:tcW w:w="6377" w:type="dxa"/>
                  <w:gridSpan w:val="6"/>
                  <w:tcBorders>
                    <w:tl2br w:val="nil"/>
                    <w:tr2bl w:val="nil"/>
                  </w:tcBorders>
                  <w:shd w:val="clear" w:color="auto" w:fill="auto"/>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生活污水处理站出水口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55"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样品编号</w:t>
                  </w:r>
                </w:p>
              </w:tc>
              <w:tc>
                <w:tcPr>
                  <w:tcW w:w="1212"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FS26030310-3-1-1</w:t>
                  </w:r>
                </w:p>
              </w:tc>
              <w:tc>
                <w:tcPr>
                  <w:tcW w:w="1234"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eastAsia="宋体" w:cstheme="minorBidi"/>
                      <w:color w:val="auto"/>
                      <w:kern w:val="2"/>
                      <w:sz w:val="18"/>
                      <w:szCs w:val="18"/>
                      <w:highlight w:val="none"/>
                      <w:lang w:val="en-US" w:eastAsia="zh-CN" w:bidi="ar-SA"/>
                    </w:rPr>
                  </w:pPr>
                  <w:r>
                    <w:rPr>
                      <w:rFonts w:hint="eastAsia"/>
                      <w:color w:val="auto"/>
                      <w:highlight w:val="none"/>
                      <w:lang w:val="en-US" w:eastAsia="zh-CN"/>
                    </w:rPr>
                    <w:t>FS26030310-3-1-1</w:t>
                  </w:r>
                </w:p>
              </w:tc>
              <w:tc>
                <w:tcPr>
                  <w:tcW w:w="1223"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eastAsia="宋体" w:cstheme="minorBidi"/>
                      <w:color w:val="auto"/>
                      <w:kern w:val="2"/>
                      <w:sz w:val="18"/>
                      <w:szCs w:val="18"/>
                      <w:highlight w:val="none"/>
                      <w:lang w:val="en-US" w:eastAsia="zh-CN" w:bidi="ar-SA"/>
                    </w:rPr>
                  </w:pPr>
                  <w:r>
                    <w:rPr>
                      <w:rFonts w:hint="eastAsia"/>
                      <w:color w:val="auto"/>
                      <w:highlight w:val="none"/>
                      <w:lang w:val="en-US" w:eastAsia="zh-CN"/>
                    </w:rPr>
                    <w:t>FS26030310-3-1-1</w:t>
                  </w:r>
                </w:p>
              </w:tc>
              <w:tc>
                <w:tcPr>
                  <w:tcW w:w="1085" w:type="dxa"/>
                  <w:vMerge w:val="restart"/>
                  <w:tcBorders>
                    <w:tl2br w:val="nil"/>
                    <w:tr2bl w:val="nil"/>
                  </w:tcBorders>
                  <w:shd w:val="clear" w:color="auto" w:fill="auto"/>
                  <w:vAlign w:val="center"/>
                </w:tcPr>
                <w:p>
                  <w:pPr>
                    <w:pStyle w:val="34"/>
                    <w:bidi w:val="0"/>
                    <w:ind w:left="0" w:leftChars="0" w:firstLine="0" w:firstLineChars="0"/>
                    <w:rPr>
                      <w:rFonts w:hint="eastAsia" w:eastAsia="宋体"/>
                      <w:color w:val="auto"/>
                      <w:highlight w:val="none"/>
                      <w:lang w:val="en-US" w:eastAsia="zh-CN"/>
                    </w:rPr>
                  </w:pPr>
                  <w:r>
                    <w:rPr>
                      <w:rFonts w:hint="eastAsia"/>
                      <w:color w:val="auto"/>
                      <w:highlight w:val="none"/>
                      <w:lang w:val="en-US" w:eastAsia="zh-CN"/>
                    </w:rPr>
                    <w:t>最大值mg/L</w:t>
                  </w:r>
                </w:p>
              </w:tc>
              <w:tc>
                <w:tcPr>
                  <w:tcW w:w="946" w:type="dxa"/>
                  <w:vMerge w:val="restart"/>
                  <w:tcBorders>
                    <w:tl2br w:val="nil"/>
                    <w:tr2bl w:val="nil"/>
                  </w:tcBorders>
                  <w:shd w:val="clear" w:color="auto" w:fill="auto"/>
                  <w:vAlign w:val="center"/>
                </w:tcPr>
                <w:p>
                  <w:pPr>
                    <w:pStyle w:val="34"/>
                    <w:bidi w:val="0"/>
                    <w:ind w:left="0" w:leftChars="0" w:firstLine="0" w:firstLineChars="0"/>
                    <w:rPr>
                      <w:rFonts w:hint="eastAsia" w:eastAsia="宋体"/>
                      <w:color w:val="auto"/>
                      <w:highlight w:val="none"/>
                      <w:lang w:val="en-US" w:eastAsia="zh-CN"/>
                    </w:rPr>
                  </w:pPr>
                  <w:r>
                    <w:rPr>
                      <w:rFonts w:hint="eastAsia"/>
                      <w:color w:val="auto"/>
                      <w:highlight w:val="none"/>
                      <w:lang w:val="en-US" w:eastAsia="zh-CN"/>
                    </w:rPr>
                    <w:t>标准值mg/L</w:t>
                  </w:r>
                </w:p>
              </w:tc>
              <w:tc>
                <w:tcPr>
                  <w:tcW w:w="677" w:type="dxa"/>
                  <w:vMerge w:val="restart"/>
                  <w:tcBorders>
                    <w:tl2br w:val="nil"/>
                    <w:tr2bl w:val="nil"/>
                  </w:tcBorders>
                  <w:shd w:val="clear" w:color="auto" w:fill="auto"/>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55" w:type="dxa"/>
                  <w:tcBorders>
                    <w:tl2br w:val="nil"/>
                    <w:tr2bl w:val="nil"/>
                  </w:tcBorders>
                  <w:shd w:val="clear" w:color="auto" w:fill="auto"/>
                  <w:vAlign w:val="center"/>
                </w:tcPr>
                <w:p>
                  <w:pPr>
                    <w:pStyle w:val="34"/>
                    <w:bidi w:val="0"/>
                    <w:ind w:left="0" w:leftChars="0" w:firstLine="0" w:firstLineChars="0"/>
                    <w:rPr>
                      <w:rFonts w:hint="eastAsia" w:eastAsia="宋体"/>
                      <w:color w:val="auto"/>
                      <w:highlight w:val="none"/>
                      <w:lang w:val="en-US" w:eastAsia="zh-CN"/>
                    </w:rPr>
                  </w:pPr>
                  <w:r>
                    <w:rPr>
                      <w:rFonts w:hint="eastAsia"/>
                      <w:color w:val="auto"/>
                      <w:highlight w:val="none"/>
                      <w:lang w:val="en-US" w:eastAsia="zh-CN"/>
                    </w:rPr>
                    <w:t>采样日期</w:t>
                  </w:r>
                </w:p>
              </w:tc>
              <w:tc>
                <w:tcPr>
                  <w:tcW w:w="3669" w:type="dxa"/>
                  <w:gridSpan w:val="3"/>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2026年3月3日</w:t>
                  </w:r>
                </w:p>
              </w:tc>
              <w:tc>
                <w:tcPr>
                  <w:tcW w:w="1085" w:type="dxa"/>
                  <w:vMerge w:val="continue"/>
                  <w:tcBorders>
                    <w:tl2br w:val="nil"/>
                    <w:tr2bl w:val="nil"/>
                  </w:tcBorders>
                  <w:shd w:val="clear" w:color="auto" w:fill="auto"/>
                  <w:vAlign w:val="center"/>
                </w:tcPr>
                <w:p>
                  <w:pPr>
                    <w:pStyle w:val="34"/>
                    <w:bidi w:val="0"/>
                    <w:ind w:left="0" w:leftChars="0" w:firstLine="0" w:firstLineChars="0"/>
                    <w:rPr>
                      <w:rFonts w:hint="default"/>
                      <w:color w:val="auto"/>
                      <w:highlight w:val="none"/>
                    </w:rPr>
                  </w:pPr>
                </w:p>
              </w:tc>
              <w:tc>
                <w:tcPr>
                  <w:tcW w:w="946" w:type="dxa"/>
                  <w:vMerge w:val="continue"/>
                  <w:tcBorders>
                    <w:tl2br w:val="nil"/>
                    <w:tr2bl w:val="nil"/>
                  </w:tcBorders>
                  <w:shd w:val="clear" w:color="auto" w:fill="auto"/>
                  <w:vAlign w:val="center"/>
                </w:tcPr>
                <w:p>
                  <w:pPr>
                    <w:pStyle w:val="34"/>
                    <w:bidi w:val="0"/>
                    <w:ind w:left="0" w:leftChars="0" w:firstLine="0" w:firstLineChars="0"/>
                    <w:rPr>
                      <w:rFonts w:hint="default"/>
                      <w:color w:val="auto"/>
                      <w:highlight w:val="none"/>
                    </w:rPr>
                  </w:pPr>
                </w:p>
              </w:tc>
              <w:tc>
                <w:tcPr>
                  <w:tcW w:w="677" w:type="dxa"/>
                  <w:vMerge w:val="continue"/>
                  <w:tcBorders>
                    <w:tl2br w:val="nil"/>
                    <w:tr2bl w:val="nil"/>
                  </w:tcBorders>
                  <w:shd w:val="clear" w:color="auto" w:fill="auto"/>
                  <w:vAlign w:val="center"/>
                </w:tcPr>
                <w:p>
                  <w:pPr>
                    <w:pStyle w:val="34"/>
                    <w:bidi w:val="0"/>
                    <w:ind w:left="0" w:leftChars="0" w:firstLine="0" w:firstLineChars="0"/>
                    <w:rPr>
                      <w:rFonts w:hint="default"/>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55" w:type="dxa"/>
                  <w:tcBorders>
                    <w:tl2br w:val="nil"/>
                    <w:tr2bl w:val="nil"/>
                  </w:tcBorders>
                  <w:shd w:val="clear" w:color="auto" w:fill="auto"/>
                  <w:vAlign w:val="center"/>
                </w:tcPr>
                <w:p>
                  <w:pPr>
                    <w:pStyle w:val="34"/>
                    <w:bidi w:val="0"/>
                    <w:ind w:left="0" w:leftChars="0" w:firstLine="0" w:firstLineChars="0"/>
                    <w:rPr>
                      <w:rFonts w:hint="eastAsia" w:eastAsia="宋体"/>
                      <w:color w:val="auto"/>
                      <w:highlight w:val="none"/>
                      <w:lang w:val="en-US" w:eastAsia="zh-CN"/>
                    </w:rPr>
                  </w:pPr>
                  <w:r>
                    <w:rPr>
                      <w:rFonts w:hint="eastAsia"/>
                      <w:color w:val="auto"/>
                      <w:highlight w:val="none"/>
                      <w:lang w:val="en-US" w:eastAsia="zh-CN"/>
                    </w:rPr>
                    <w:t>检测项目</w:t>
                  </w:r>
                </w:p>
              </w:tc>
              <w:tc>
                <w:tcPr>
                  <w:tcW w:w="3669" w:type="dxa"/>
                  <w:gridSpan w:val="3"/>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检测结果mg/L</w:t>
                  </w:r>
                </w:p>
              </w:tc>
              <w:tc>
                <w:tcPr>
                  <w:tcW w:w="1085" w:type="dxa"/>
                  <w:vMerge w:val="continue"/>
                  <w:tcBorders>
                    <w:tl2br w:val="nil"/>
                    <w:tr2bl w:val="nil"/>
                  </w:tcBorders>
                  <w:shd w:val="clear" w:color="auto" w:fill="auto"/>
                  <w:vAlign w:val="center"/>
                </w:tcPr>
                <w:p>
                  <w:pPr>
                    <w:pStyle w:val="34"/>
                    <w:bidi w:val="0"/>
                    <w:ind w:left="0" w:leftChars="0" w:firstLine="0" w:firstLineChars="0"/>
                    <w:rPr>
                      <w:rFonts w:hint="default"/>
                      <w:color w:val="auto"/>
                      <w:highlight w:val="none"/>
                    </w:rPr>
                  </w:pPr>
                </w:p>
              </w:tc>
              <w:tc>
                <w:tcPr>
                  <w:tcW w:w="946" w:type="dxa"/>
                  <w:vMerge w:val="continue"/>
                  <w:tcBorders>
                    <w:tl2br w:val="nil"/>
                    <w:tr2bl w:val="nil"/>
                  </w:tcBorders>
                  <w:shd w:val="clear" w:color="auto" w:fill="auto"/>
                  <w:vAlign w:val="center"/>
                </w:tcPr>
                <w:p>
                  <w:pPr>
                    <w:pStyle w:val="34"/>
                    <w:bidi w:val="0"/>
                    <w:ind w:left="0" w:leftChars="0" w:firstLine="0" w:firstLineChars="0"/>
                    <w:rPr>
                      <w:rFonts w:hint="default"/>
                      <w:color w:val="auto"/>
                      <w:highlight w:val="none"/>
                    </w:rPr>
                  </w:pPr>
                </w:p>
              </w:tc>
              <w:tc>
                <w:tcPr>
                  <w:tcW w:w="677" w:type="dxa"/>
                  <w:vMerge w:val="continue"/>
                  <w:tcBorders>
                    <w:tl2br w:val="nil"/>
                    <w:tr2bl w:val="nil"/>
                  </w:tcBorders>
                  <w:shd w:val="clear" w:color="auto" w:fill="auto"/>
                  <w:vAlign w:val="center"/>
                </w:tcPr>
                <w:p>
                  <w:pPr>
                    <w:pStyle w:val="34"/>
                    <w:bidi w:val="0"/>
                    <w:ind w:left="0" w:leftChars="0" w:firstLine="0" w:firstLineChars="0"/>
                    <w:rPr>
                      <w:rFonts w:hint="default"/>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55" w:type="dxa"/>
                  <w:tcBorders>
                    <w:tl2br w:val="nil"/>
                    <w:tr2bl w:val="nil"/>
                  </w:tcBorders>
                  <w:shd w:val="clear" w:color="auto" w:fill="auto"/>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pH（无量纲）</w:t>
                  </w:r>
                </w:p>
              </w:tc>
              <w:tc>
                <w:tcPr>
                  <w:tcW w:w="1212"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7.6</w:t>
                  </w:r>
                </w:p>
              </w:tc>
              <w:tc>
                <w:tcPr>
                  <w:tcW w:w="1234"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7.1</w:t>
                  </w:r>
                </w:p>
              </w:tc>
              <w:tc>
                <w:tcPr>
                  <w:tcW w:w="1223"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7.4</w:t>
                  </w:r>
                </w:p>
              </w:tc>
              <w:tc>
                <w:tcPr>
                  <w:tcW w:w="1085"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7.6</w:t>
                  </w:r>
                </w:p>
              </w:tc>
              <w:tc>
                <w:tcPr>
                  <w:tcW w:w="946" w:type="dxa"/>
                  <w:tcBorders>
                    <w:tl2br w:val="nil"/>
                    <w:tr2bl w:val="nil"/>
                  </w:tcBorders>
                  <w:shd w:val="clear" w:color="auto" w:fill="auto"/>
                  <w:vAlign w:val="center"/>
                </w:tcPr>
                <w:p>
                  <w:pPr>
                    <w:pStyle w:val="34"/>
                    <w:bidi w:val="0"/>
                    <w:ind w:left="0" w:leftChars="0" w:firstLine="0" w:firstLineChars="0"/>
                    <w:rPr>
                      <w:rFonts w:hint="default"/>
                      <w:color w:val="auto"/>
                      <w:highlight w:val="none"/>
                    </w:rPr>
                  </w:pPr>
                  <w:r>
                    <w:rPr>
                      <w:rFonts w:hint="eastAsia"/>
                      <w:color w:val="auto"/>
                      <w:highlight w:val="none"/>
                      <w:lang w:val="en-US" w:eastAsia="zh-CN"/>
                    </w:rPr>
                    <w:t>6~9</w:t>
                  </w:r>
                </w:p>
              </w:tc>
              <w:tc>
                <w:tcPr>
                  <w:tcW w:w="677" w:type="dxa"/>
                  <w:tcBorders>
                    <w:tl2br w:val="nil"/>
                    <w:tr2bl w:val="nil"/>
                  </w:tcBorders>
                  <w:shd w:val="clear" w:color="auto" w:fill="auto"/>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55" w:type="dxa"/>
                  <w:tcBorders>
                    <w:tl2br w:val="nil"/>
                    <w:tr2bl w:val="nil"/>
                  </w:tcBorders>
                  <w:shd w:val="clear" w:color="auto" w:fill="auto"/>
                  <w:vAlign w:val="center"/>
                </w:tcPr>
                <w:p>
                  <w:pPr>
                    <w:pStyle w:val="34"/>
                    <w:bidi w:val="0"/>
                    <w:ind w:left="0" w:leftChars="0" w:firstLine="0" w:firstLineChars="0"/>
                    <w:rPr>
                      <w:rFonts w:hint="eastAsia"/>
                      <w:color w:val="auto"/>
                      <w:highlight w:val="none"/>
                      <w:lang w:val="en-US" w:eastAsia="zh-CN"/>
                    </w:rPr>
                  </w:pPr>
                  <w:r>
                    <w:rPr>
                      <w:rFonts w:hint="eastAsia"/>
                      <w:color w:val="auto"/>
                      <w:highlight w:val="none"/>
                      <w:lang w:val="en-US" w:eastAsia="zh-CN"/>
                    </w:rPr>
                    <w:t>溶解氧</w:t>
                  </w:r>
                </w:p>
              </w:tc>
              <w:tc>
                <w:tcPr>
                  <w:tcW w:w="1212"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2.7</w:t>
                  </w:r>
                </w:p>
              </w:tc>
              <w:tc>
                <w:tcPr>
                  <w:tcW w:w="1234"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2.5</w:t>
                  </w:r>
                </w:p>
              </w:tc>
              <w:tc>
                <w:tcPr>
                  <w:tcW w:w="1223"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2.6</w:t>
                  </w:r>
                </w:p>
              </w:tc>
              <w:tc>
                <w:tcPr>
                  <w:tcW w:w="1085"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2.7</w:t>
                  </w:r>
                </w:p>
              </w:tc>
              <w:tc>
                <w:tcPr>
                  <w:tcW w:w="946"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default" w:ascii="Times New Roman" w:hAnsi="Times New Roman" w:cs="Times New Roman"/>
                      <w:color w:val="auto"/>
                      <w:highlight w:val="none"/>
                      <w:lang w:val="en-US" w:eastAsia="zh-CN"/>
                    </w:rPr>
                    <w:t>≥2.0</w:t>
                  </w:r>
                </w:p>
              </w:tc>
              <w:tc>
                <w:tcPr>
                  <w:tcW w:w="677" w:type="dxa"/>
                  <w:tcBorders>
                    <w:tl2br w:val="nil"/>
                    <w:tr2bl w:val="nil"/>
                  </w:tcBorders>
                  <w:shd w:val="clear" w:color="auto" w:fill="auto"/>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55" w:type="dxa"/>
                  <w:tcBorders>
                    <w:tl2br w:val="nil"/>
                    <w:tr2bl w:val="nil"/>
                  </w:tcBorders>
                  <w:shd w:val="clear" w:color="auto" w:fill="auto"/>
                  <w:vAlign w:val="center"/>
                </w:tcPr>
                <w:p>
                  <w:pPr>
                    <w:pStyle w:val="34"/>
                    <w:bidi w:val="0"/>
                    <w:ind w:left="0" w:leftChars="0" w:firstLine="0" w:firstLineChars="0"/>
                    <w:rPr>
                      <w:rFonts w:hint="eastAsia"/>
                      <w:color w:val="auto"/>
                      <w:highlight w:val="none"/>
                      <w:lang w:val="en-US" w:eastAsia="zh-CN"/>
                    </w:rPr>
                  </w:pPr>
                  <w:r>
                    <w:rPr>
                      <w:rFonts w:hint="eastAsia"/>
                      <w:color w:val="auto"/>
                      <w:highlight w:val="none"/>
                      <w:lang w:val="en-US" w:eastAsia="zh-CN"/>
                    </w:rPr>
                    <w:t>浊度/NTU</w:t>
                  </w:r>
                </w:p>
              </w:tc>
              <w:tc>
                <w:tcPr>
                  <w:tcW w:w="1212"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13</w:t>
                  </w:r>
                </w:p>
              </w:tc>
              <w:tc>
                <w:tcPr>
                  <w:tcW w:w="1234"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12</w:t>
                  </w:r>
                </w:p>
              </w:tc>
              <w:tc>
                <w:tcPr>
                  <w:tcW w:w="1223"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13</w:t>
                  </w:r>
                </w:p>
              </w:tc>
              <w:tc>
                <w:tcPr>
                  <w:tcW w:w="1085"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13</w:t>
                  </w:r>
                </w:p>
              </w:tc>
              <w:tc>
                <w:tcPr>
                  <w:tcW w:w="946" w:type="dxa"/>
                  <w:tcBorders>
                    <w:tl2br w:val="nil"/>
                    <w:tr2bl w:val="nil"/>
                  </w:tcBorders>
                  <w:shd w:val="clear" w:color="auto" w:fill="auto"/>
                  <w:vAlign w:val="center"/>
                </w:tcPr>
                <w:p>
                  <w:pPr>
                    <w:pStyle w:val="34"/>
                    <w:bidi w:val="0"/>
                    <w:ind w:left="0" w:leftChars="0" w:firstLine="0" w:firstLineChars="0"/>
                    <w:rPr>
                      <w:rFonts w:hint="default"/>
                      <w:color w:val="auto"/>
                      <w:highlight w:val="none"/>
                    </w:rPr>
                  </w:pPr>
                  <w:r>
                    <w:rPr>
                      <w:rFonts w:hint="eastAsia"/>
                      <w:color w:val="auto"/>
                      <w:highlight w:val="none"/>
                      <w:lang w:val="en-US" w:eastAsia="zh-CN"/>
                    </w:rPr>
                    <w:t>10</w:t>
                  </w:r>
                </w:p>
              </w:tc>
              <w:tc>
                <w:tcPr>
                  <w:tcW w:w="677" w:type="dxa"/>
                  <w:tcBorders>
                    <w:tl2br w:val="nil"/>
                    <w:tr2bl w:val="nil"/>
                  </w:tcBorders>
                  <w:shd w:val="clear" w:color="auto" w:fill="auto"/>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55" w:type="dxa"/>
                  <w:tcBorders>
                    <w:tl2br w:val="nil"/>
                    <w:tr2bl w:val="nil"/>
                  </w:tcBorders>
                  <w:shd w:val="clear" w:color="auto" w:fill="auto"/>
                  <w:vAlign w:val="center"/>
                </w:tcPr>
                <w:p>
                  <w:pPr>
                    <w:pStyle w:val="34"/>
                    <w:bidi w:val="0"/>
                    <w:ind w:left="0" w:leftChars="0" w:firstLine="0" w:firstLineChars="0"/>
                    <w:rPr>
                      <w:rFonts w:hint="eastAsia"/>
                      <w:color w:val="auto"/>
                      <w:highlight w:val="none"/>
                      <w:lang w:val="en-US" w:eastAsia="zh-CN"/>
                    </w:rPr>
                  </w:pPr>
                  <w:r>
                    <w:rPr>
                      <w:rFonts w:hint="eastAsia"/>
                      <w:color w:val="auto"/>
                      <w:highlight w:val="none"/>
                      <w:lang w:val="en-US" w:eastAsia="zh-CN"/>
                    </w:rPr>
                    <w:t>嗅</w:t>
                  </w:r>
                </w:p>
              </w:tc>
              <w:tc>
                <w:tcPr>
                  <w:tcW w:w="1212"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0/无</w:t>
                  </w:r>
                </w:p>
              </w:tc>
              <w:tc>
                <w:tcPr>
                  <w:tcW w:w="1234" w:type="dxa"/>
                  <w:tcBorders>
                    <w:tl2br w:val="nil"/>
                    <w:tr2bl w:val="nil"/>
                  </w:tcBorders>
                  <w:shd w:val="clear" w:color="auto" w:fill="auto"/>
                  <w:vAlign w:val="center"/>
                </w:tcPr>
                <w:p>
                  <w:pPr>
                    <w:pStyle w:val="34"/>
                    <w:bidi w:val="0"/>
                    <w:ind w:left="0" w:leftChars="0" w:firstLine="0" w:firstLineChars="0"/>
                    <w:rPr>
                      <w:rFonts w:hint="default"/>
                      <w:color w:val="auto"/>
                      <w:highlight w:val="none"/>
                    </w:rPr>
                  </w:pPr>
                  <w:r>
                    <w:rPr>
                      <w:rFonts w:hint="eastAsia"/>
                      <w:color w:val="auto"/>
                      <w:highlight w:val="none"/>
                      <w:lang w:val="en-US" w:eastAsia="zh-CN"/>
                    </w:rPr>
                    <w:t>0/无</w:t>
                  </w:r>
                </w:p>
              </w:tc>
              <w:tc>
                <w:tcPr>
                  <w:tcW w:w="1223" w:type="dxa"/>
                  <w:tcBorders>
                    <w:tl2br w:val="nil"/>
                    <w:tr2bl w:val="nil"/>
                  </w:tcBorders>
                  <w:shd w:val="clear" w:color="auto" w:fill="auto"/>
                  <w:vAlign w:val="center"/>
                </w:tcPr>
                <w:p>
                  <w:pPr>
                    <w:pStyle w:val="34"/>
                    <w:bidi w:val="0"/>
                    <w:ind w:left="0" w:leftChars="0" w:firstLine="0" w:firstLineChars="0"/>
                    <w:rPr>
                      <w:rFonts w:hint="default"/>
                      <w:color w:val="auto"/>
                      <w:highlight w:val="none"/>
                    </w:rPr>
                  </w:pPr>
                  <w:r>
                    <w:rPr>
                      <w:rFonts w:hint="eastAsia"/>
                      <w:color w:val="auto"/>
                      <w:highlight w:val="none"/>
                      <w:lang w:val="en-US" w:eastAsia="zh-CN"/>
                    </w:rPr>
                    <w:t>0/无</w:t>
                  </w:r>
                </w:p>
              </w:tc>
              <w:tc>
                <w:tcPr>
                  <w:tcW w:w="1085" w:type="dxa"/>
                  <w:tcBorders>
                    <w:tl2br w:val="nil"/>
                    <w:tr2bl w:val="nil"/>
                  </w:tcBorders>
                  <w:shd w:val="clear" w:color="auto" w:fill="auto"/>
                  <w:vAlign w:val="center"/>
                </w:tcPr>
                <w:p>
                  <w:pPr>
                    <w:pStyle w:val="34"/>
                    <w:bidi w:val="0"/>
                    <w:ind w:left="0" w:leftChars="0" w:firstLine="0" w:firstLineChars="0"/>
                    <w:rPr>
                      <w:rFonts w:hint="eastAsia" w:eastAsia="宋体"/>
                      <w:color w:val="auto"/>
                      <w:highlight w:val="none"/>
                      <w:lang w:val="en-US" w:eastAsia="zh-CN"/>
                    </w:rPr>
                  </w:pPr>
                  <w:r>
                    <w:rPr>
                      <w:rFonts w:hint="eastAsia"/>
                      <w:color w:val="auto"/>
                      <w:highlight w:val="none"/>
                      <w:lang w:val="en-US" w:eastAsia="zh-CN"/>
                    </w:rPr>
                    <w:t>/</w:t>
                  </w:r>
                </w:p>
              </w:tc>
              <w:tc>
                <w:tcPr>
                  <w:tcW w:w="946" w:type="dxa"/>
                  <w:tcBorders>
                    <w:tl2br w:val="nil"/>
                    <w:tr2bl w:val="nil"/>
                  </w:tcBorders>
                  <w:shd w:val="clear" w:color="auto" w:fill="auto"/>
                  <w:vAlign w:val="center"/>
                </w:tcPr>
                <w:p>
                  <w:pPr>
                    <w:pStyle w:val="34"/>
                    <w:bidi w:val="0"/>
                    <w:ind w:left="0" w:leftChars="0" w:firstLine="0" w:firstLineChars="0"/>
                    <w:rPr>
                      <w:rFonts w:hint="default"/>
                      <w:color w:val="auto"/>
                      <w:highlight w:val="none"/>
                    </w:rPr>
                  </w:pPr>
                  <w:r>
                    <w:rPr>
                      <w:rFonts w:hint="eastAsia"/>
                      <w:color w:val="auto"/>
                      <w:highlight w:val="none"/>
                      <w:lang w:val="en-US" w:eastAsia="zh-CN"/>
                    </w:rPr>
                    <w:t>无不快感</w:t>
                  </w:r>
                </w:p>
              </w:tc>
              <w:tc>
                <w:tcPr>
                  <w:tcW w:w="677" w:type="dxa"/>
                  <w:tcBorders>
                    <w:tl2br w:val="nil"/>
                    <w:tr2bl w:val="nil"/>
                  </w:tcBorders>
                  <w:shd w:val="clear" w:color="auto" w:fill="auto"/>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55" w:type="dxa"/>
                  <w:tcBorders>
                    <w:tl2br w:val="nil"/>
                    <w:tr2bl w:val="nil"/>
                  </w:tcBorders>
                  <w:shd w:val="clear" w:color="auto" w:fill="auto"/>
                  <w:vAlign w:val="center"/>
                </w:tcPr>
                <w:p>
                  <w:pPr>
                    <w:pStyle w:val="34"/>
                    <w:bidi w:val="0"/>
                    <w:ind w:left="0" w:leftChars="0" w:firstLine="0" w:firstLineChars="0"/>
                    <w:rPr>
                      <w:rFonts w:hint="eastAsia"/>
                      <w:color w:val="auto"/>
                      <w:highlight w:val="none"/>
                      <w:lang w:val="en-US" w:eastAsia="zh-CN"/>
                    </w:rPr>
                  </w:pPr>
                  <w:r>
                    <w:rPr>
                      <w:rFonts w:hint="eastAsia"/>
                      <w:color w:val="auto"/>
                      <w:highlight w:val="none"/>
                      <w:lang w:val="en-US" w:eastAsia="zh-CN"/>
                    </w:rPr>
                    <w:t>色度</w:t>
                  </w:r>
                </w:p>
              </w:tc>
              <w:tc>
                <w:tcPr>
                  <w:tcW w:w="1212" w:type="dxa"/>
                  <w:tcBorders>
                    <w:tl2br w:val="nil"/>
                    <w:tr2bl w:val="nil"/>
                  </w:tcBorders>
                  <w:shd w:val="clear" w:color="auto" w:fill="auto"/>
                  <w:vAlign w:val="center"/>
                </w:tcPr>
                <w:p>
                  <w:pPr>
                    <w:pStyle w:val="34"/>
                    <w:bidi w:val="0"/>
                    <w:ind w:left="0" w:leftChars="0" w:firstLine="0" w:firstLineChars="0"/>
                    <w:rPr>
                      <w:rFonts w:hint="eastAsia" w:eastAsia="宋体"/>
                      <w:color w:val="auto"/>
                      <w:highlight w:val="none"/>
                      <w:lang w:val="en-US" w:eastAsia="zh-CN"/>
                    </w:rPr>
                  </w:pPr>
                  <w:r>
                    <w:rPr>
                      <w:rFonts w:hint="eastAsia"/>
                      <w:color w:val="auto"/>
                      <w:highlight w:val="none"/>
                      <w:lang w:val="en-US" w:eastAsia="zh-CN"/>
                    </w:rPr>
                    <w:t>2</w:t>
                  </w:r>
                </w:p>
              </w:tc>
              <w:tc>
                <w:tcPr>
                  <w:tcW w:w="1234" w:type="dxa"/>
                  <w:tcBorders>
                    <w:tl2br w:val="nil"/>
                    <w:tr2bl w:val="nil"/>
                  </w:tcBorders>
                  <w:shd w:val="clear" w:color="auto" w:fill="auto"/>
                  <w:vAlign w:val="center"/>
                </w:tcPr>
                <w:p>
                  <w:pPr>
                    <w:pStyle w:val="34"/>
                    <w:bidi w:val="0"/>
                    <w:ind w:left="0" w:leftChars="0" w:firstLine="0" w:firstLineChars="0"/>
                    <w:rPr>
                      <w:rFonts w:hint="eastAsia" w:eastAsia="宋体"/>
                      <w:color w:val="auto"/>
                      <w:highlight w:val="none"/>
                      <w:lang w:val="en-US" w:eastAsia="zh-CN"/>
                    </w:rPr>
                  </w:pPr>
                  <w:r>
                    <w:rPr>
                      <w:rFonts w:hint="eastAsia"/>
                      <w:color w:val="auto"/>
                      <w:highlight w:val="none"/>
                      <w:lang w:val="en-US" w:eastAsia="zh-CN"/>
                    </w:rPr>
                    <w:t>2</w:t>
                  </w:r>
                </w:p>
              </w:tc>
              <w:tc>
                <w:tcPr>
                  <w:tcW w:w="1223" w:type="dxa"/>
                  <w:tcBorders>
                    <w:tl2br w:val="nil"/>
                    <w:tr2bl w:val="nil"/>
                  </w:tcBorders>
                  <w:shd w:val="clear" w:color="auto" w:fill="auto"/>
                  <w:vAlign w:val="center"/>
                </w:tcPr>
                <w:p>
                  <w:pPr>
                    <w:pStyle w:val="34"/>
                    <w:bidi w:val="0"/>
                    <w:ind w:left="0" w:leftChars="0" w:firstLine="0" w:firstLineChars="0"/>
                    <w:rPr>
                      <w:rFonts w:hint="eastAsia" w:eastAsia="宋体"/>
                      <w:color w:val="auto"/>
                      <w:highlight w:val="none"/>
                      <w:lang w:val="en-US" w:eastAsia="zh-CN"/>
                    </w:rPr>
                  </w:pPr>
                  <w:r>
                    <w:rPr>
                      <w:rFonts w:hint="eastAsia"/>
                      <w:color w:val="auto"/>
                      <w:highlight w:val="none"/>
                      <w:lang w:val="en-US" w:eastAsia="zh-CN"/>
                    </w:rPr>
                    <w:t>2</w:t>
                  </w:r>
                </w:p>
              </w:tc>
              <w:tc>
                <w:tcPr>
                  <w:tcW w:w="1085" w:type="dxa"/>
                  <w:tcBorders>
                    <w:tl2br w:val="nil"/>
                    <w:tr2bl w:val="nil"/>
                  </w:tcBorders>
                  <w:shd w:val="clear" w:color="auto" w:fill="auto"/>
                  <w:vAlign w:val="center"/>
                </w:tcPr>
                <w:p>
                  <w:pPr>
                    <w:pStyle w:val="34"/>
                    <w:bidi w:val="0"/>
                    <w:ind w:left="0" w:leftChars="0" w:firstLine="0" w:firstLineChars="0"/>
                    <w:rPr>
                      <w:rFonts w:hint="eastAsia" w:eastAsia="宋体"/>
                      <w:color w:val="auto"/>
                      <w:highlight w:val="none"/>
                      <w:lang w:val="en-US" w:eastAsia="zh-CN"/>
                    </w:rPr>
                  </w:pPr>
                  <w:r>
                    <w:rPr>
                      <w:rFonts w:hint="eastAsia"/>
                      <w:color w:val="auto"/>
                      <w:highlight w:val="none"/>
                      <w:lang w:val="en-US" w:eastAsia="zh-CN"/>
                    </w:rPr>
                    <w:t>2</w:t>
                  </w:r>
                </w:p>
              </w:tc>
              <w:tc>
                <w:tcPr>
                  <w:tcW w:w="946" w:type="dxa"/>
                  <w:tcBorders>
                    <w:tl2br w:val="nil"/>
                    <w:tr2bl w:val="nil"/>
                  </w:tcBorders>
                  <w:shd w:val="clear" w:color="auto" w:fill="auto"/>
                  <w:vAlign w:val="center"/>
                </w:tcPr>
                <w:p>
                  <w:pPr>
                    <w:pStyle w:val="34"/>
                    <w:bidi w:val="0"/>
                    <w:ind w:left="0" w:leftChars="0" w:firstLine="0" w:firstLineChars="0"/>
                    <w:rPr>
                      <w:rFonts w:hint="default"/>
                      <w:color w:val="auto"/>
                      <w:highlight w:val="none"/>
                    </w:rPr>
                  </w:pPr>
                  <w:r>
                    <w:rPr>
                      <w:rFonts w:hint="eastAsia"/>
                      <w:color w:val="auto"/>
                      <w:highlight w:val="none"/>
                      <w:lang w:val="en-US" w:eastAsia="zh-CN"/>
                    </w:rPr>
                    <w:t>30</w:t>
                  </w:r>
                </w:p>
              </w:tc>
              <w:tc>
                <w:tcPr>
                  <w:tcW w:w="677" w:type="dxa"/>
                  <w:tcBorders>
                    <w:tl2br w:val="nil"/>
                    <w:tr2bl w:val="nil"/>
                  </w:tcBorders>
                  <w:shd w:val="clear" w:color="auto" w:fill="auto"/>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55" w:type="dxa"/>
                  <w:tcBorders>
                    <w:tl2br w:val="nil"/>
                    <w:tr2bl w:val="nil"/>
                  </w:tcBorders>
                  <w:shd w:val="clear" w:color="auto" w:fill="auto"/>
                  <w:vAlign w:val="center"/>
                </w:tcPr>
                <w:p>
                  <w:pPr>
                    <w:pStyle w:val="34"/>
                    <w:bidi w:val="0"/>
                    <w:ind w:left="0" w:leftChars="0" w:firstLine="0" w:firstLineChars="0"/>
                    <w:rPr>
                      <w:rFonts w:hint="eastAsia"/>
                      <w:color w:val="auto"/>
                      <w:highlight w:val="none"/>
                      <w:lang w:val="en-US" w:eastAsia="zh-CN"/>
                    </w:rPr>
                  </w:pPr>
                  <w:r>
                    <w:rPr>
                      <w:rFonts w:hint="eastAsia"/>
                      <w:color w:val="auto"/>
                      <w:highlight w:val="none"/>
                      <w:lang w:val="en-US" w:eastAsia="zh-CN"/>
                    </w:rPr>
                    <w:t>BOD</w:t>
                  </w:r>
                  <w:r>
                    <w:rPr>
                      <w:rFonts w:hint="eastAsia"/>
                      <w:color w:val="auto"/>
                      <w:highlight w:val="none"/>
                      <w:vertAlign w:val="subscript"/>
                      <w:lang w:val="en-US" w:eastAsia="zh-CN"/>
                    </w:rPr>
                    <w:t>5</w:t>
                  </w:r>
                </w:p>
              </w:tc>
              <w:tc>
                <w:tcPr>
                  <w:tcW w:w="1212"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7.1</w:t>
                  </w:r>
                </w:p>
              </w:tc>
              <w:tc>
                <w:tcPr>
                  <w:tcW w:w="1234"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8.0</w:t>
                  </w:r>
                </w:p>
              </w:tc>
              <w:tc>
                <w:tcPr>
                  <w:tcW w:w="1223"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6.8</w:t>
                  </w:r>
                </w:p>
              </w:tc>
              <w:tc>
                <w:tcPr>
                  <w:tcW w:w="1085"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8.0</w:t>
                  </w:r>
                </w:p>
              </w:tc>
              <w:tc>
                <w:tcPr>
                  <w:tcW w:w="946" w:type="dxa"/>
                  <w:tcBorders>
                    <w:tl2br w:val="nil"/>
                    <w:tr2bl w:val="nil"/>
                  </w:tcBorders>
                  <w:shd w:val="clear" w:color="auto" w:fill="auto"/>
                  <w:vAlign w:val="center"/>
                </w:tcPr>
                <w:p>
                  <w:pPr>
                    <w:pStyle w:val="34"/>
                    <w:bidi w:val="0"/>
                    <w:ind w:left="0" w:leftChars="0" w:firstLine="0" w:firstLineChars="0"/>
                    <w:rPr>
                      <w:rFonts w:hint="default"/>
                      <w:color w:val="auto"/>
                      <w:highlight w:val="none"/>
                    </w:rPr>
                  </w:pPr>
                  <w:r>
                    <w:rPr>
                      <w:rFonts w:hint="eastAsia"/>
                      <w:color w:val="auto"/>
                      <w:highlight w:val="none"/>
                      <w:lang w:val="en-US" w:eastAsia="zh-CN"/>
                    </w:rPr>
                    <w:t>10</w:t>
                  </w:r>
                </w:p>
              </w:tc>
              <w:tc>
                <w:tcPr>
                  <w:tcW w:w="677" w:type="dxa"/>
                  <w:tcBorders>
                    <w:tl2br w:val="nil"/>
                    <w:tr2bl w:val="nil"/>
                  </w:tcBorders>
                  <w:shd w:val="clear" w:color="auto" w:fill="auto"/>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55" w:type="dxa"/>
                  <w:tcBorders>
                    <w:tl2br w:val="nil"/>
                    <w:tr2bl w:val="nil"/>
                  </w:tcBorders>
                  <w:shd w:val="clear" w:color="auto" w:fill="auto"/>
                  <w:vAlign w:val="center"/>
                </w:tcPr>
                <w:p>
                  <w:pPr>
                    <w:pStyle w:val="34"/>
                    <w:bidi w:val="0"/>
                    <w:ind w:left="0" w:leftChars="0" w:firstLine="0" w:firstLineChars="0"/>
                    <w:rPr>
                      <w:rFonts w:hint="eastAsia"/>
                      <w:color w:val="auto"/>
                      <w:highlight w:val="none"/>
                      <w:lang w:val="en-US" w:eastAsia="zh-CN"/>
                    </w:rPr>
                  </w:pPr>
                  <w:r>
                    <w:rPr>
                      <w:rFonts w:hint="eastAsia"/>
                      <w:color w:val="auto"/>
                      <w:highlight w:val="none"/>
                      <w:lang w:val="en-US" w:eastAsia="zh-CN"/>
                    </w:rPr>
                    <w:t>氨氮</w:t>
                  </w:r>
                </w:p>
              </w:tc>
              <w:tc>
                <w:tcPr>
                  <w:tcW w:w="1212"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1.08</w:t>
                  </w:r>
                </w:p>
              </w:tc>
              <w:tc>
                <w:tcPr>
                  <w:tcW w:w="1234"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1.10</w:t>
                  </w:r>
                </w:p>
              </w:tc>
              <w:tc>
                <w:tcPr>
                  <w:tcW w:w="1223"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1.13</w:t>
                  </w:r>
                </w:p>
              </w:tc>
              <w:tc>
                <w:tcPr>
                  <w:tcW w:w="1085"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1.13</w:t>
                  </w:r>
                </w:p>
              </w:tc>
              <w:tc>
                <w:tcPr>
                  <w:tcW w:w="946" w:type="dxa"/>
                  <w:tcBorders>
                    <w:tl2br w:val="nil"/>
                    <w:tr2bl w:val="nil"/>
                  </w:tcBorders>
                  <w:shd w:val="clear" w:color="auto" w:fill="auto"/>
                  <w:vAlign w:val="center"/>
                </w:tcPr>
                <w:p>
                  <w:pPr>
                    <w:pStyle w:val="34"/>
                    <w:bidi w:val="0"/>
                    <w:ind w:left="0" w:leftChars="0" w:firstLine="0" w:firstLineChars="0"/>
                    <w:rPr>
                      <w:rFonts w:hint="default"/>
                      <w:color w:val="auto"/>
                      <w:highlight w:val="none"/>
                    </w:rPr>
                  </w:pPr>
                  <w:r>
                    <w:rPr>
                      <w:rFonts w:hint="eastAsia"/>
                      <w:color w:val="auto"/>
                      <w:highlight w:val="none"/>
                      <w:lang w:val="en-US" w:eastAsia="zh-CN"/>
                    </w:rPr>
                    <w:t>8</w:t>
                  </w:r>
                </w:p>
              </w:tc>
              <w:tc>
                <w:tcPr>
                  <w:tcW w:w="677" w:type="dxa"/>
                  <w:tcBorders>
                    <w:tl2br w:val="nil"/>
                    <w:tr2bl w:val="nil"/>
                  </w:tcBorders>
                  <w:shd w:val="clear" w:color="auto" w:fill="auto"/>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55" w:type="dxa"/>
                  <w:tcBorders>
                    <w:tl2br w:val="nil"/>
                    <w:tr2bl w:val="nil"/>
                  </w:tcBorders>
                  <w:shd w:val="clear" w:color="auto" w:fill="auto"/>
                  <w:vAlign w:val="center"/>
                </w:tcPr>
                <w:p>
                  <w:pPr>
                    <w:pStyle w:val="34"/>
                    <w:bidi w:val="0"/>
                    <w:ind w:left="0" w:leftChars="0" w:firstLine="0" w:firstLineChars="0"/>
                    <w:rPr>
                      <w:rFonts w:hint="eastAsia"/>
                      <w:color w:val="auto"/>
                      <w:highlight w:val="none"/>
                      <w:lang w:val="en-US" w:eastAsia="zh-CN"/>
                    </w:rPr>
                  </w:pPr>
                  <w:r>
                    <w:rPr>
                      <w:rFonts w:hint="eastAsia"/>
                      <w:color w:val="auto"/>
                      <w:highlight w:val="none"/>
                      <w:lang w:val="en-US" w:eastAsia="zh-CN"/>
                    </w:rPr>
                    <w:t>总氯</w:t>
                  </w:r>
                </w:p>
              </w:tc>
              <w:tc>
                <w:tcPr>
                  <w:tcW w:w="1212"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1.82</w:t>
                  </w:r>
                </w:p>
              </w:tc>
              <w:tc>
                <w:tcPr>
                  <w:tcW w:w="1234"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1.7</w:t>
                  </w:r>
                </w:p>
              </w:tc>
              <w:tc>
                <w:tcPr>
                  <w:tcW w:w="1223"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1.78</w:t>
                  </w:r>
                </w:p>
              </w:tc>
              <w:tc>
                <w:tcPr>
                  <w:tcW w:w="1085"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1.82</w:t>
                  </w:r>
                </w:p>
              </w:tc>
              <w:tc>
                <w:tcPr>
                  <w:tcW w:w="946"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2.0</w:t>
                  </w:r>
                </w:p>
              </w:tc>
              <w:tc>
                <w:tcPr>
                  <w:tcW w:w="677" w:type="dxa"/>
                  <w:tcBorders>
                    <w:tl2br w:val="nil"/>
                    <w:tr2bl w:val="nil"/>
                  </w:tcBorders>
                  <w:shd w:val="clear" w:color="auto" w:fill="auto"/>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55" w:type="dxa"/>
                  <w:tcBorders>
                    <w:tl2br w:val="nil"/>
                    <w:tr2bl w:val="nil"/>
                  </w:tcBorders>
                  <w:shd w:val="clear" w:color="auto" w:fill="auto"/>
                  <w:vAlign w:val="center"/>
                </w:tcPr>
                <w:p>
                  <w:pPr>
                    <w:pStyle w:val="34"/>
                    <w:bidi w:val="0"/>
                    <w:ind w:left="0" w:leftChars="0" w:firstLine="0" w:firstLineChars="0"/>
                    <w:rPr>
                      <w:rFonts w:hint="eastAsia"/>
                      <w:color w:val="auto"/>
                      <w:highlight w:val="none"/>
                      <w:lang w:val="en-US" w:eastAsia="zh-CN"/>
                    </w:rPr>
                  </w:pPr>
                  <w:r>
                    <w:rPr>
                      <w:rFonts w:hint="eastAsia"/>
                      <w:color w:val="auto"/>
                      <w:highlight w:val="none"/>
                      <w:lang w:val="en-US" w:eastAsia="zh-CN"/>
                    </w:rPr>
                    <w:t>溶解性总固体</w:t>
                  </w:r>
                </w:p>
              </w:tc>
              <w:tc>
                <w:tcPr>
                  <w:tcW w:w="1212"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426</w:t>
                  </w:r>
                </w:p>
              </w:tc>
              <w:tc>
                <w:tcPr>
                  <w:tcW w:w="1234"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414</w:t>
                  </w:r>
                </w:p>
              </w:tc>
              <w:tc>
                <w:tcPr>
                  <w:tcW w:w="1223"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436</w:t>
                  </w:r>
                </w:p>
              </w:tc>
              <w:tc>
                <w:tcPr>
                  <w:tcW w:w="1085"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436</w:t>
                  </w:r>
                </w:p>
              </w:tc>
              <w:tc>
                <w:tcPr>
                  <w:tcW w:w="946" w:type="dxa"/>
                  <w:tcBorders>
                    <w:tl2br w:val="nil"/>
                    <w:tr2bl w:val="nil"/>
                  </w:tcBorders>
                  <w:shd w:val="clear" w:color="auto" w:fill="auto"/>
                  <w:vAlign w:val="center"/>
                </w:tcPr>
                <w:p>
                  <w:pPr>
                    <w:pStyle w:val="34"/>
                    <w:bidi w:val="0"/>
                    <w:ind w:left="0" w:leftChars="0" w:firstLine="0" w:firstLineChars="0"/>
                    <w:rPr>
                      <w:rFonts w:hint="default"/>
                      <w:color w:val="auto"/>
                      <w:highlight w:val="none"/>
                    </w:rPr>
                  </w:pPr>
                  <w:r>
                    <w:rPr>
                      <w:rFonts w:hint="eastAsia"/>
                      <w:color w:val="auto"/>
                      <w:highlight w:val="none"/>
                      <w:lang w:val="en-US" w:eastAsia="zh-CN"/>
                    </w:rPr>
                    <w:t>1000</w:t>
                  </w:r>
                </w:p>
              </w:tc>
              <w:tc>
                <w:tcPr>
                  <w:tcW w:w="677" w:type="dxa"/>
                  <w:tcBorders>
                    <w:tl2br w:val="nil"/>
                    <w:tr2bl w:val="nil"/>
                  </w:tcBorders>
                  <w:shd w:val="clear" w:color="auto" w:fill="auto"/>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55" w:type="dxa"/>
                  <w:tcBorders>
                    <w:tl2br w:val="nil"/>
                    <w:tr2bl w:val="nil"/>
                  </w:tcBorders>
                  <w:shd w:val="clear" w:color="auto" w:fill="auto"/>
                  <w:vAlign w:val="center"/>
                </w:tcPr>
                <w:p>
                  <w:pPr>
                    <w:pStyle w:val="34"/>
                    <w:bidi w:val="0"/>
                    <w:ind w:left="0" w:leftChars="0" w:firstLine="0" w:firstLineChars="0"/>
                    <w:rPr>
                      <w:rFonts w:hint="eastAsia"/>
                      <w:color w:val="auto"/>
                      <w:highlight w:val="none"/>
                      <w:lang w:val="en-US" w:eastAsia="zh-CN"/>
                    </w:rPr>
                  </w:pPr>
                  <w:r>
                    <w:rPr>
                      <w:rFonts w:hint="eastAsia"/>
                      <w:color w:val="auto"/>
                      <w:highlight w:val="none"/>
                      <w:lang w:val="en-US" w:eastAsia="zh-CN"/>
                    </w:rPr>
                    <w:t>阴离子表面活性剂</w:t>
                  </w:r>
                </w:p>
              </w:tc>
              <w:tc>
                <w:tcPr>
                  <w:tcW w:w="1212"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0.07</w:t>
                  </w:r>
                </w:p>
              </w:tc>
              <w:tc>
                <w:tcPr>
                  <w:tcW w:w="1234"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0.08</w:t>
                  </w:r>
                </w:p>
              </w:tc>
              <w:tc>
                <w:tcPr>
                  <w:tcW w:w="1223"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0.06</w:t>
                  </w:r>
                </w:p>
              </w:tc>
              <w:tc>
                <w:tcPr>
                  <w:tcW w:w="1085"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0.08</w:t>
                  </w:r>
                </w:p>
              </w:tc>
              <w:tc>
                <w:tcPr>
                  <w:tcW w:w="946"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0.5</w:t>
                  </w:r>
                </w:p>
              </w:tc>
              <w:tc>
                <w:tcPr>
                  <w:tcW w:w="677" w:type="dxa"/>
                  <w:tcBorders>
                    <w:tl2br w:val="nil"/>
                    <w:tr2bl w:val="nil"/>
                  </w:tcBorders>
                  <w:shd w:val="clear" w:color="auto" w:fill="auto"/>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55" w:type="dxa"/>
                  <w:tcBorders>
                    <w:tl2br w:val="nil"/>
                    <w:tr2bl w:val="nil"/>
                  </w:tcBorders>
                  <w:shd w:val="clear" w:color="auto" w:fill="auto"/>
                  <w:vAlign w:val="center"/>
                </w:tcPr>
                <w:p>
                  <w:pPr>
                    <w:pStyle w:val="34"/>
                    <w:bidi w:val="0"/>
                    <w:ind w:left="0" w:leftChars="0" w:firstLine="0" w:firstLineChars="0"/>
                    <w:jc w:val="center"/>
                    <w:rPr>
                      <w:rFonts w:hint="eastAsia" w:ascii="Times New Roman" w:hAnsi="Times New Roman" w:eastAsia="宋体" w:cstheme="minorBidi"/>
                      <w:color w:val="auto"/>
                      <w:kern w:val="2"/>
                      <w:sz w:val="18"/>
                      <w:szCs w:val="18"/>
                      <w:highlight w:val="none"/>
                      <w:lang w:val="en-US" w:eastAsia="zh-CN" w:bidi="ar-SA"/>
                    </w:rPr>
                  </w:pPr>
                  <w:r>
                    <w:rPr>
                      <w:rFonts w:hint="eastAsia"/>
                      <w:color w:val="auto"/>
                      <w:highlight w:val="none"/>
                      <w:lang w:val="en-US" w:eastAsia="zh-CN"/>
                    </w:rPr>
                    <w:t>铁（mg/L）</w:t>
                  </w:r>
                </w:p>
              </w:tc>
              <w:tc>
                <w:tcPr>
                  <w:tcW w:w="1212"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0.05</w:t>
                  </w:r>
                </w:p>
              </w:tc>
              <w:tc>
                <w:tcPr>
                  <w:tcW w:w="1234"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0.05</w:t>
                  </w:r>
                </w:p>
              </w:tc>
              <w:tc>
                <w:tcPr>
                  <w:tcW w:w="1223"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0.06</w:t>
                  </w:r>
                </w:p>
              </w:tc>
              <w:tc>
                <w:tcPr>
                  <w:tcW w:w="1085"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0.06</w:t>
                  </w:r>
                </w:p>
              </w:tc>
              <w:tc>
                <w:tcPr>
                  <w:tcW w:w="946" w:type="dxa"/>
                  <w:tcBorders>
                    <w:tl2br w:val="nil"/>
                    <w:tr2bl w:val="nil"/>
                  </w:tcBorders>
                  <w:shd w:val="clear" w:color="auto" w:fill="auto"/>
                  <w:vAlign w:val="center"/>
                </w:tcPr>
                <w:p>
                  <w:pPr>
                    <w:pStyle w:val="34"/>
                    <w:bidi w:val="0"/>
                    <w:ind w:left="0" w:leftChars="0" w:firstLine="0" w:firstLineChars="0"/>
                    <w:rPr>
                      <w:rFonts w:hint="eastAsia" w:eastAsia="宋体"/>
                      <w:color w:val="auto"/>
                      <w:highlight w:val="none"/>
                      <w:lang w:val="en-US" w:eastAsia="zh-CN"/>
                    </w:rPr>
                  </w:pPr>
                  <w:r>
                    <w:rPr>
                      <w:rFonts w:hint="eastAsia"/>
                      <w:color w:val="auto"/>
                      <w:highlight w:val="none"/>
                      <w:lang w:val="en-US" w:eastAsia="zh-CN"/>
                    </w:rPr>
                    <w:t>-</w:t>
                  </w:r>
                </w:p>
              </w:tc>
              <w:tc>
                <w:tcPr>
                  <w:tcW w:w="677" w:type="dxa"/>
                  <w:tcBorders>
                    <w:tl2br w:val="nil"/>
                    <w:tr2bl w:val="nil"/>
                  </w:tcBorders>
                  <w:shd w:val="clear" w:color="auto" w:fill="auto"/>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55" w:type="dxa"/>
                  <w:tcBorders>
                    <w:tl2br w:val="nil"/>
                    <w:tr2bl w:val="nil"/>
                  </w:tcBorders>
                  <w:shd w:val="clear" w:color="auto" w:fill="auto"/>
                  <w:vAlign w:val="center"/>
                </w:tcPr>
                <w:p>
                  <w:pPr>
                    <w:pStyle w:val="34"/>
                    <w:bidi w:val="0"/>
                    <w:ind w:left="0" w:leftChars="0" w:firstLine="0" w:firstLineChars="0"/>
                    <w:jc w:val="center"/>
                    <w:rPr>
                      <w:rFonts w:hint="eastAsia" w:ascii="Times New Roman" w:hAnsi="Times New Roman" w:eastAsia="宋体" w:cstheme="minorBidi"/>
                      <w:color w:val="auto"/>
                      <w:kern w:val="2"/>
                      <w:sz w:val="18"/>
                      <w:szCs w:val="18"/>
                      <w:highlight w:val="none"/>
                      <w:lang w:val="en-US" w:eastAsia="zh-CN" w:bidi="ar-SA"/>
                    </w:rPr>
                  </w:pPr>
                  <w:r>
                    <w:rPr>
                      <w:rFonts w:hint="eastAsia"/>
                      <w:color w:val="auto"/>
                      <w:highlight w:val="none"/>
                      <w:lang w:val="en-US" w:eastAsia="zh-CN"/>
                    </w:rPr>
                    <w:t>锰（mg/L）</w:t>
                  </w:r>
                </w:p>
              </w:tc>
              <w:tc>
                <w:tcPr>
                  <w:tcW w:w="1212"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eastAsia="宋体" w:cs="Times New Roman"/>
                      <w:color w:val="auto"/>
                      <w:highlight w:val="none"/>
                      <w:lang w:val="en-US" w:eastAsia="zh-CN"/>
                    </w:rPr>
                  </w:pPr>
                  <m:oMath>
                    <m:r>
                      <m:rPr/>
                      <w:rPr>
                        <w:rFonts w:hint="default" w:ascii="Times New Roman" w:hAnsi="Times New Roman" w:eastAsia="宋体" w:cs="Times New Roman"/>
                        <w:color w:val="auto"/>
                        <w:kern w:val="2"/>
                        <w:sz w:val="18"/>
                        <w:szCs w:val="18"/>
                        <w:highlight w:val="none"/>
                        <w:lang w:val="en-US" w:eastAsia="zh-CN" w:bidi="ar-SA"/>
                      </w:rPr>
                      <m:t>&lt;</m:t>
                    </m:r>
                  </m:oMath>
                  <w:r>
                    <w:rPr>
                      <w:rFonts w:hint="default" w:ascii="Times New Roman" w:hAnsi="Times New Roman" w:eastAsia="宋体" w:cs="Times New Roman"/>
                      <w:color w:val="auto"/>
                      <w:highlight w:val="none"/>
                      <w:lang w:val="en-US" w:eastAsia="zh-CN"/>
                    </w:rPr>
                    <w:t>0.01</w:t>
                  </w:r>
                </w:p>
              </w:tc>
              <w:tc>
                <w:tcPr>
                  <w:tcW w:w="1234"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eastAsia="宋体" w:cs="Times New Roman"/>
                      <w:color w:val="auto"/>
                      <w:highlight w:val="none"/>
                    </w:rPr>
                  </w:pPr>
                  <m:oMath>
                    <m:r>
                      <m:rPr/>
                      <w:rPr>
                        <w:rFonts w:hint="default" w:ascii="Times New Roman" w:hAnsi="Times New Roman" w:eastAsia="宋体" w:cs="Times New Roman"/>
                        <w:color w:val="auto"/>
                        <w:kern w:val="2"/>
                        <w:sz w:val="18"/>
                        <w:szCs w:val="18"/>
                        <w:highlight w:val="none"/>
                        <w:lang w:val="en-US" w:eastAsia="zh-CN" w:bidi="ar-SA"/>
                      </w:rPr>
                      <m:t>&lt;</m:t>
                    </m:r>
                  </m:oMath>
                  <w:r>
                    <w:rPr>
                      <w:rFonts w:hint="default" w:ascii="Times New Roman" w:hAnsi="Times New Roman" w:eastAsia="宋体" w:cs="Times New Roman"/>
                      <w:color w:val="auto"/>
                      <w:highlight w:val="none"/>
                      <w:lang w:val="en-US" w:eastAsia="zh-CN"/>
                    </w:rPr>
                    <w:t>0.01</w:t>
                  </w:r>
                </w:p>
              </w:tc>
              <w:tc>
                <w:tcPr>
                  <w:tcW w:w="1223"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eastAsia="宋体" w:cs="Times New Roman"/>
                      <w:color w:val="auto"/>
                      <w:highlight w:val="none"/>
                    </w:rPr>
                  </w:pPr>
                  <m:oMath>
                    <m:r>
                      <m:rPr/>
                      <w:rPr>
                        <w:rFonts w:hint="default" w:ascii="Times New Roman" w:hAnsi="Times New Roman" w:eastAsia="宋体" w:cs="Times New Roman"/>
                        <w:color w:val="auto"/>
                        <w:kern w:val="2"/>
                        <w:sz w:val="18"/>
                        <w:szCs w:val="18"/>
                        <w:highlight w:val="none"/>
                        <w:lang w:val="en-US" w:eastAsia="zh-CN" w:bidi="ar-SA"/>
                      </w:rPr>
                      <m:t>&lt;</m:t>
                    </m:r>
                  </m:oMath>
                  <w:r>
                    <w:rPr>
                      <w:rFonts w:hint="default" w:ascii="Times New Roman" w:hAnsi="Times New Roman" w:eastAsia="宋体" w:cs="Times New Roman"/>
                      <w:color w:val="auto"/>
                      <w:highlight w:val="none"/>
                      <w:lang w:val="en-US" w:eastAsia="zh-CN"/>
                    </w:rPr>
                    <w:t>0.01</w:t>
                  </w:r>
                </w:p>
              </w:tc>
              <w:tc>
                <w:tcPr>
                  <w:tcW w:w="1085"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m:oMath>
                    <m:r>
                      <m:rPr/>
                      <w:rPr>
                        <w:rFonts w:hint="default" w:ascii="Times New Roman" w:hAnsi="Times New Roman" w:eastAsia="宋体" w:cs="Times New Roman"/>
                        <w:color w:val="auto"/>
                        <w:kern w:val="2"/>
                        <w:sz w:val="18"/>
                        <w:szCs w:val="18"/>
                        <w:highlight w:val="none"/>
                        <w:lang w:val="en-US" w:eastAsia="zh-CN" w:bidi="ar-SA"/>
                      </w:rPr>
                      <m:t>&lt;</m:t>
                    </m:r>
                  </m:oMath>
                  <w:r>
                    <w:rPr>
                      <w:rFonts w:hint="default" w:ascii="Times New Roman" w:hAnsi="Times New Roman" w:eastAsia="宋体" w:cs="Times New Roman"/>
                      <w:color w:val="auto"/>
                      <w:highlight w:val="none"/>
                      <w:lang w:val="en-US" w:eastAsia="zh-CN"/>
                    </w:rPr>
                    <w:t>0.01</w:t>
                  </w:r>
                </w:p>
              </w:tc>
              <w:tc>
                <w:tcPr>
                  <w:tcW w:w="946" w:type="dxa"/>
                  <w:tcBorders>
                    <w:tl2br w:val="nil"/>
                    <w:tr2bl w:val="nil"/>
                  </w:tcBorders>
                  <w:shd w:val="clear" w:color="auto" w:fill="auto"/>
                  <w:vAlign w:val="center"/>
                </w:tcPr>
                <w:p>
                  <w:pPr>
                    <w:pStyle w:val="34"/>
                    <w:bidi w:val="0"/>
                    <w:ind w:left="0" w:leftChars="0" w:firstLine="0" w:firstLineChars="0"/>
                    <w:rPr>
                      <w:rFonts w:hint="eastAsia" w:eastAsia="宋体"/>
                      <w:color w:val="auto"/>
                      <w:highlight w:val="none"/>
                      <w:lang w:val="en-US" w:eastAsia="zh-CN"/>
                    </w:rPr>
                  </w:pPr>
                  <w:r>
                    <w:rPr>
                      <w:rFonts w:hint="eastAsia"/>
                      <w:color w:val="auto"/>
                      <w:highlight w:val="none"/>
                      <w:lang w:val="en-US" w:eastAsia="zh-CN"/>
                    </w:rPr>
                    <w:t>-</w:t>
                  </w:r>
                </w:p>
              </w:tc>
              <w:tc>
                <w:tcPr>
                  <w:tcW w:w="677" w:type="dxa"/>
                  <w:tcBorders>
                    <w:tl2br w:val="nil"/>
                    <w:tr2bl w:val="nil"/>
                  </w:tcBorders>
                  <w:shd w:val="clear" w:color="auto" w:fill="auto"/>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55" w:type="dxa"/>
                  <w:tcBorders>
                    <w:tl2br w:val="nil"/>
                    <w:tr2bl w:val="nil"/>
                  </w:tcBorders>
                  <w:shd w:val="clear" w:color="auto" w:fill="auto"/>
                  <w:vAlign w:val="center"/>
                </w:tcPr>
                <w:p>
                  <w:pPr>
                    <w:pStyle w:val="34"/>
                    <w:bidi w:val="0"/>
                    <w:ind w:left="0" w:leftChars="0" w:firstLine="0" w:firstLineChars="0"/>
                    <w:jc w:val="center"/>
                    <w:rPr>
                      <w:rFonts w:hint="eastAsia"/>
                      <w:color w:val="auto"/>
                      <w:highlight w:val="none"/>
                      <w:lang w:val="en-US" w:eastAsia="zh-CN"/>
                    </w:rPr>
                  </w:pPr>
                  <w:r>
                    <w:rPr>
                      <w:rFonts w:hint="eastAsia"/>
                      <w:color w:val="auto"/>
                      <w:highlight w:val="none"/>
                      <w:lang w:val="en-US" w:eastAsia="zh-CN"/>
                    </w:rPr>
                    <w:t>大肠埃希氏菌（MPN/100mL或CFU/100mL）</w:t>
                  </w:r>
                </w:p>
              </w:tc>
              <w:tc>
                <w:tcPr>
                  <w:tcW w:w="1212" w:type="dxa"/>
                  <w:tcBorders>
                    <w:tl2br w:val="nil"/>
                    <w:tr2bl w:val="nil"/>
                  </w:tcBorders>
                  <w:shd w:val="clear" w:color="auto" w:fill="auto"/>
                  <w:vAlign w:val="center"/>
                </w:tcPr>
                <w:p>
                  <w:pPr>
                    <w:pStyle w:val="34"/>
                    <w:bidi w:val="0"/>
                    <w:ind w:left="0" w:leftChars="0" w:firstLine="0" w:firstLineChars="0"/>
                    <w:rPr>
                      <w:rFonts w:hint="default"/>
                      <w:color w:val="auto"/>
                      <w:highlight w:val="none"/>
                    </w:rPr>
                  </w:pPr>
                  <m:oMath>
                    <m:r>
                      <m:rPr/>
                      <w:rPr>
                        <w:rFonts w:hint="default" w:ascii="Times New Roman" w:hAnsi="Times New Roman" w:eastAsia="宋体" w:cs="Times New Roman"/>
                        <w:color w:val="auto"/>
                        <w:kern w:val="2"/>
                        <w:sz w:val="18"/>
                        <w:szCs w:val="18"/>
                        <w:highlight w:val="none"/>
                        <w:lang w:val="en-US" w:eastAsia="zh-CN" w:bidi="ar-SA"/>
                      </w:rPr>
                      <m:t>&lt;</m:t>
                    </m:r>
                  </m:oMath>
                  <w:r>
                    <w:rPr>
                      <w:rFonts w:hint="eastAsia" w:cs="Times New Roman"/>
                      <w:color w:val="auto"/>
                      <w:highlight w:val="none"/>
                      <w:lang w:val="en-US" w:eastAsia="zh-CN"/>
                    </w:rPr>
                    <w:t>2</w:t>
                  </w:r>
                </w:p>
              </w:tc>
              <w:tc>
                <w:tcPr>
                  <w:tcW w:w="1234" w:type="dxa"/>
                  <w:tcBorders>
                    <w:tl2br w:val="nil"/>
                    <w:tr2bl w:val="nil"/>
                  </w:tcBorders>
                  <w:shd w:val="clear" w:color="auto" w:fill="auto"/>
                  <w:vAlign w:val="center"/>
                </w:tcPr>
                <w:p>
                  <w:pPr>
                    <w:pStyle w:val="34"/>
                    <w:bidi w:val="0"/>
                    <w:ind w:left="0" w:leftChars="0" w:firstLine="0" w:firstLineChars="0"/>
                    <w:rPr>
                      <w:rFonts w:hint="default"/>
                      <w:color w:val="auto"/>
                      <w:highlight w:val="none"/>
                    </w:rPr>
                  </w:pPr>
                  <m:oMath>
                    <m:r>
                      <m:rPr/>
                      <w:rPr>
                        <w:rFonts w:hint="default" w:ascii="Times New Roman" w:hAnsi="Times New Roman" w:eastAsia="宋体" w:cs="Times New Roman"/>
                        <w:color w:val="auto"/>
                        <w:kern w:val="2"/>
                        <w:sz w:val="18"/>
                        <w:szCs w:val="18"/>
                        <w:highlight w:val="none"/>
                        <w:lang w:val="en-US" w:eastAsia="zh-CN" w:bidi="ar-SA"/>
                      </w:rPr>
                      <m:t>&lt;</m:t>
                    </m:r>
                  </m:oMath>
                  <w:r>
                    <w:rPr>
                      <w:rFonts w:hint="eastAsia" w:cs="Times New Roman"/>
                      <w:color w:val="auto"/>
                      <w:highlight w:val="none"/>
                      <w:lang w:val="en-US" w:eastAsia="zh-CN"/>
                    </w:rPr>
                    <w:t>2</w:t>
                  </w:r>
                </w:p>
              </w:tc>
              <w:tc>
                <w:tcPr>
                  <w:tcW w:w="1223" w:type="dxa"/>
                  <w:tcBorders>
                    <w:tl2br w:val="nil"/>
                    <w:tr2bl w:val="nil"/>
                  </w:tcBorders>
                  <w:shd w:val="clear" w:color="auto" w:fill="auto"/>
                  <w:vAlign w:val="center"/>
                </w:tcPr>
                <w:p>
                  <w:pPr>
                    <w:pStyle w:val="34"/>
                    <w:bidi w:val="0"/>
                    <w:ind w:left="0" w:leftChars="0" w:firstLine="0" w:firstLineChars="0"/>
                    <w:rPr>
                      <w:rFonts w:hint="default"/>
                      <w:color w:val="auto"/>
                      <w:highlight w:val="none"/>
                    </w:rPr>
                  </w:pPr>
                  <m:oMath>
                    <m:r>
                      <m:rPr/>
                      <w:rPr>
                        <w:rFonts w:hint="default" w:ascii="Times New Roman" w:hAnsi="Times New Roman" w:eastAsia="宋体" w:cs="Times New Roman"/>
                        <w:color w:val="auto"/>
                        <w:kern w:val="2"/>
                        <w:sz w:val="18"/>
                        <w:szCs w:val="18"/>
                        <w:highlight w:val="none"/>
                        <w:lang w:val="en-US" w:eastAsia="zh-CN" w:bidi="ar-SA"/>
                      </w:rPr>
                      <m:t>&lt;</m:t>
                    </m:r>
                  </m:oMath>
                  <w:r>
                    <w:rPr>
                      <w:rFonts w:hint="eastAsia" w:cs="Times New Roman"/>
                      <w:color w:val="auto"/>
                      <w:highlight w:val="none"/>
                      <w:lang w:val="en-US" w:eastAsia="zh-CN"/>
                    </w:rPr>
                    <w:t>2</w:t>
                  </w:r>
                </w:p>
              </w:tc>
              <w:tc>
                <w:tcPr>
                  <w:tcW w:w="1085" w:type="dxa"/>
                  <w:tcBorders>
                    <w:tl2br w:val="nil"/>
                    <w:tr2bl w:val="nil"/>
                  </w:tcBorders>
                  <w:shd w:val="clear" w:color="auto" w:fill="auto"/>
                  <w:vAlign w:val="center"/>
                </w:tcPr>
                <w:p>
                  <w:pPr>
                    <w:pStyle w:val="34"/>
                    <w:bidi w:val="0"/>
                    <w:ind w:left="0" w:leftChars="0" w:firstLine="0" w:firstLineChars="0"/>
                    <w:rPr>
                      <w:rFonts w:hint="default"/>
                      <w:color w:val="auto"/>
                      <w:highlight w:val="none"/>
                    </w:rPr>
                  </w:pPr>
                  <m:oMath>
                    <m:r>
                      <m:rPr/>
                      <w:rPr>
                        <w:rFonts w:hint="default" w:ascii="Times New Roman" w:hAnsi="Times New Roman" w:eastAsia="宋体" w:cs="Times New Roman"/>
                        <w:color w:val="auto"/>
                        <w:kern w:val="2"/>
                        <w:sz w:val="18"/>
                        <w:szCs w:val="18"/>
                        <w:highlight w:val="none"/>
                        <w:lang w:val="en-US" w:eastAsia="zh-CN" w:bidi="ar-SA"/>
                      </w:rPr>
                      <m:t>&lt;</m:t>
                    </m:r>
                  </m:oMath>
                  <w:r>
                    <w:rPr>
                      <w:rFonts w:hint="eastAsia" w:cs="Times New Roman"/>
                      <w:color w:val="auto"/>
                      <w:highlight w:val="none"/>
                      <w:lang w:val="en-US" w:eastAsia="zh-CN"/>
                    </w:rPr>
                    <w:t>2</w:t>
                  </w:r>
                </w:p>
              </w:tc>
              <w:tc>
                <w:tcPr>
                  <w:tcW w:w="946" w:type="dxa"/>
                  <w:tcBorders>
                    <w:tl2br w:val="nil"/>
                    <w:tr2bl w:val="nil"/>
                  </w:tcBorders>
                  <w:shd w:val="clear" w:color="auto" w:fill="auto"/>
                  <w:vAlign w:val="center"/>
                </w:tcPr>
                <w:p>
                  <w:pPr>
                    <w:pStyle w:val="34"/>
                    <w:bidi w:val="0"/>
                    <w:ind w:left="0" w:leftChars="0" w:firstLine="0" w:firstLineChars="0"/>
                    <w:rPr>
                      <w:rFonts w:hint="eastAsia" w:eastAsia="宋体"/>
                      <w:color w:val="auto"/>
                      <w:highlight w:val="none"/>
                      <w:lang w:val="en-US" w:eastAsia="zh-CN"/>
                    </w:rPr>
                  </w:pPr>
                  <w:r>
                    <w:rPr>
                      <w:rFonts w:hint="eastAsia"/>
                      <w:color w:val="auto"/>
                      <w:highlight w:val="none"/>
                      <w:lang w:val="en-US" w:eastAsia="zh-CN"/>
                    </w:rPr>
                    <w:t>无（不应检出）</w:t>
                  </w:r>
                </w:p>
              </w:tc>
              <w:tc>
                <w:tcPr>
                  <w:tcW w:w="677" w:type="dxa"/>
                  <w:tcBorders>
                    <w:tl2br w:val="nil"/>
                    <w:tr2bl w:val="nil"/>
                  </w:tcBorders>
                  <w:shd w:val="clear" w:color="auto" w:fill="auto"/>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732" w:type="dxa"/>
                  <w:gridSpan w:val="7"/>
                  <w:tcBorders>
                    <w:tl2br w:val="nil"/>
                    <w:tr2bl w:val="nil"/>
                  </w:tcBorders>
                  <w:shd w:val="clear" w:color="auto" w:fill="auto"/>
                  <w:vAlign w:val="center"/>
                </w:tcPr>
                <w:p>
                  <w:pPr>
                    <w:pStyle w:val="34"/>
                    <w:bidi w:val="0"/>
                    <w:ind w:left="0" w:leftChars="0" w:firstLine="0" w:firstLineChars="0"/>
                    <w:jc w:val="both"/>
                    <w:rPr>
                      <w:rFonts w:hint="eastAsia"/>
                      <w:color w:val="auto"/>
                      <w:highlight w:val="none"/>
                      <w:lang w:val="en-US" w:eastAsia="zh-CN"/>
                    </w:rPr>
                  </w:pPr>
                  <w:r>
                    <w:rPr>
                      <w:rFonts w:hint="eastAsia"/>
                      <w:color w:val="auto"/>
                      <w:highlight w:val="none"/>
                      <w:lang w:val="en-US" w:eastAsia="zh-CN"/>
                    </w:rPr>
                    <w:t>当检测结果低于方法检出限时，报项目的检出限并加“&lt;”或“未检出”表示。</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color w:val="auto"/>
                <w:highlight w:val="none"/>
                <w:lang w:val="en-US" w:eastAsia="zh-CN"/>
              </w:rPr>
            </w:pPr>
            <w:r>
              <w:rPr>
                <w:rFonts w:hint="eastAsia"/>
                <w:color w:val="auto"/>
                <w:highlight w:val="none"/>
                <w:lang w:val="en-US" w:eastAsia="zh-CN"/>
              </w:rPr>
              <w:t>综上，本项目运营期生活污水依托易门铜业有限公司已建生活污水处理设施进行处理是合理可行的。</w:t>
            </w:r>
          </w:p>
          <w:p>
            <w:pPr>
              <w:bidi w:val="0"/>
              <w:rPr>
                <w:rFonts w:hint="default"/>
                <w:color w:val="auto"/>
                <w:highlight w:val="none"/>
                <w:lang w:val="en-US" w:eastAsia="zh-CN"/>
              </w:rPr>
            </w:pPr>
            <w:r>
              <w:rPr>
                <w:rFonts w:hint="eastAsia"/>
                <w:color w:val="auto"/>
                <w:highlight w:val="none"/>
                <w:lang w:val="en-US" w:eastAsia="zh-CN"/>
              </w:rPr>
              <w:t>（2）生产废水</w:t>
            </w:r>
          </w:p>
          <w:p>
            <w:pPr>
              <w:bidi w:val="0"/>
              <w:rPr>
                <w:rFonts w:hint="default"/>
                <w:color w:val="auto"/>
                <w:highlight w:val="none"/>
                <w:lang w:val="en-US" w:eastAsia="zh-CN"/>
              </w:rPr>
            </w:pPr>
            <w:r>
              <w:rPr>
                <w:rFonts w:hint="eastAsia"/>
                <w:color w:val="auto"/>
                <w:highlight w:val="none"/>
                <w:lang w:val="en-US" w:eastAsia="zh-CN"/>
              </w:rPr>
              <w:t>1）废水处置措施</w:t>
            </w:r>
          </w:p>
          <w:p>
            <w:pPr>
              <w:bidi w:val="0"/>
              <w:rPr>
                <w:rFonts w:hint="default"/>
                <w:color w:val="auto"/>
                <w:highlight w:val="none"/>
                <w:lang w:val="en-US" w:eastAsia="zh-CN"/>
              </w:rPr>
            </w:pPr>
            <w:r>
              <w:rPr>
                <w:rFonts w:hint="eastAsia"/>
                <w:color w:val="auto"/>
                <w:highlight w:val="none"/>
                <w:lang w:val="en-US" w:eastAsia="zh-CN"/>
              </w:rPr>
              <w:t>项目生产废水主要为循环冷却系统排污水，该废水经污水管道排入厂区生产废水深度水处理站处理达到《城市污水再生利用 工业用水水质》（GB/T19923-2024）表1中“直流冷却水、洗涤用水”标准后回用于易门铜业有限公司冶炼渣缓冷场，不外排。</w:t>
            </w:r>
          </w:p>
          <w:p>
            <w:pPr>
              <w:bidi w:val="0"/>
              <w:rPr>
                <w:rFonts w:hint="default"/>
                <w:color w:val="auto"/>
                <w:highlight w:val="none"/>
                <w:lang w:val="en-US" w:eastAsia="zh-CN"/>
              </w:rPr>
            </w:pPr>
            <w:r>
              <w:rPr>
                <w:rFonts w:hint="eastAsia"/>
                <w:color w:val="auto"/>
                <w:highlight w:val="none"/>
                <w:lang w:val="en-US" w:eastAsia="zh-CN"/>
              </w:rPr>
              <w:t>2）措施可行性分析</w:t>
            </w:r>
          </w:p>
          <w:p>
            <w:pPr>
              <w:bidi w:val="0"/>
              <w:rPr>
                <w:rFonts w:hint="default"/>
                <w:color w:val="auto"/>
                <w:highlight w:val="none"/>
                <w:lang w:val="en-US" w:eastAsia="zh-CN"/>
              </w:rPr>
            </w:pPr>
            <w:r>
              <w:rPr>
                <w:rFonts w:hint="eastAsia"/>
                <w:color w:val="auto"/>
                <w:highlight w:val="none"/>
                <w:lang w:val="en-US" w:eastAsia="zh-CN"/>
              </w:rPr>
              <w:t>①水量可行性分析</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spacing w:val="12"/>
                <w:highlight w:val="none"/>
                <w:lang w:val="en-US" w:eastAsia="zh-CN"/>
              </w:rPr>
            </w:pPr>
            <w:r>
              <w:rPr>
                <w:rFonts w:hint="eastAsia"/>
                <w:color w:val="auto"/>
                <w:highlight w:val="none"/>
                <w:lang w:val="en-US" w:eastAsia="zh-CN"/>
              </w:rPr>
              <w:t>本次改建项目依托的废水处理站处理规模为700m</w:t>
            </w:r>
            <w:r>
              <w:rPr>
                <w:rFonts w:hint="eastAsia"/>
                <w:color w:val="auto"/>
                <w:highlight w:val="none"/>
                <w:vertAlign w:val="superscript"/>
                <w:lang w:val="en-US" w:eastAsia="zh-CN"/>
              </w:rPr>
              <w:t>3</w:t>
            </w:r>
            <w:r>
              <w:rPr>
                <w:rFonts w:hint="eastAsia"/>
                <w:color w:val="auto"/>
                <w:highlight w:val="none"/>
                <w:lang w:val="en-US" w:eastAsia="zh-CN"/>
              </w:rPr>
              <w:t>/d，采用 “软化除钙+多介质过滤+超滤+反渗透” 的污水处理工艺。该污水处理站处理对象为</w:t>
            </w:r>
            <w:r>
              <w:rPr>
                <w:rFonts w:hint="eastAsia"/>
                <w:color w:val="auto"/>
                <w:spacing w:val="12"/>
                <w:highlight w:val="none"/>
                <w:lang w:val="en-US" w:eastAsia="zh-CN"/>
              </w:rPr>
              <w:t>全厂循环系统清净下水，主要包括余热发电循环水、硫酸循环水、化学水站、余热锅炉、制氧循环水等系统排污水。本项目改建完成后新增排污水量为</w:t>
            </w:r>
            <w:r>
              <w:rPr>
                <w:rFonts w:hint="eastAsia"/>
                <w:color w:val="auto"/>
                <w:highlight w:val="none"/>
                <w:lang w:val="en-US" w:eastAsia="zh-CN"/>
              </w:rPr>
              <w:t>100m</w:t>
            </w:r>
            <w:r>
              <w:rPr>
                <w:rFonts w:hint="eastAsia"/>
                <w:color w:val="auto"/>
                <w:highlight w:val="none"/>
                <w:vertAlign w:val="superscript"/>
                <w:lang w:val="en-US" w:eastAsia="zh-CN"/>
              </w:rPr>
              <w:t>3</w:t>
            </w:r>
            <w:r>
              <w:rPr>
                <w:rFonts w:hint="eastAsia"/>
                <w:color w:val="auto"/>
                <w:highlight w:val="none"/>
                <w:lang w:val="en-US" w:eastAsia="zh-CN"/>
              </w:rPr>
              <w:t>/a，0.3m</w:t>
            </w:r>
            <w:r>
              <w:rPr>
                <w:rFonts w:hint="eastAsia"/>
                <w:color w:val="auto"/>
                <w:highlight w:val="none"/>
                <w:vertAlign w:val="superscript"/>
                <w:lang w:val="en-US" w:eastAsia="zh-CN"/>
              </w:rPr>
              <w:t>3</w:t>
            </w:r>
            <w:r>
              <w:rPr>
                <w:rFonts w:hint="eastAsia"/>
                <w:color w:val="auto"/>
                <w:highlight w:val="none"/>
                <w:lang w:val="en-US" w:eastAsia="zh-CN"/>
              </w:rPr>
              <w:t>/d</w:t>
            </w:r>
            <w:r>
              <w:rPr>
                <w:rFonts w:hint="eastAsia"/>
                <w:color w:val="auto"/>
                <w:spacing w:val="12"/>
                <w:highlight w:val="none"/>
                <w:lang w:val="en-US" w:eastAsia="zh-CN"/>
              </w:rPr>
              <w:t>，根据建设单位提供的资料，该污水处理站现满负荷运行情况下处理余量约100m</w:t>
            </w:r>
            <w:r>
              <w:rPr>
                <w:rFonts w:hint="eastAsia"/>
                <w:color w:val="auto"/>
                <w:spacing w:val="12"/>
                <w:highlight w:val="none"/>
                <w:vertAlign w:val="superscript"/>
                <w:lang w:val="en-US" w:eastAsia="zh-CN"/>
              </w:rPr>
              <w:t>3</w:t>
            </w:r>
            <w:r>
              <w:rPr>
                <w:rFonts w:hint="eastAsia"/>
                <w:color w:val="auto"/>
                <w:spacing w:val="12"/>
                <w:highlight w:val="none"/>
                <w:lang w:val="en-US" w:eastAsia="zh-CN"/>
              </w:rPr>
              <w:t>/d，现有余量远大于本项目新增废水量（</w:t>
            </w:r>
            <w:r>
              <w:rPr>
                <w:rFonts w:hint="eastAsia"/>
                <w:color w:val="auto"/>
                <w:highlight w:val="none"/>
                <w:lang w:val="en-US" w:eastAsia="zh-CN"/>
              </w:rPr>
              <w:t>100m</w:t>
            </w:r>
            <w:r>
              <w:rPr>
                <w:rFonts w:hint="eastAsia"/>
                <w:color w:val="auto"/>
                <w:highlight w:val="none"/>
                <w:vertAlign w:val="superscript"/>
                <w:lang w:val="en-US" w:eastAsia="zh-CN"/>
              </w:rPr>
              <w:t>3</w:t>
            </w:r>
            <w:r>
              <w:rPr>
                <w:rFonts w:hint="eastAsia"/>
                <w:color w:val="auto"/>
                <w:highlight w:val="none"/>
                <w:lang w:val="en-US" w:eastAsia="zh-CN"/>
              </w:rPr>
              <w:t>/a，0.3m</w:t>
            </w:r>
            <w:r>
              <w:rPr>
                <w:rFonts w:hint="eastAsia"/>
                <w:color w:val="auto"/>
                <w:highlight w:val="none"/>
                <w:vertAlign w:val="superscript"/>
                <w:lang w:val="en-US" w:eastAsia="zh-CN"/>
              </w:rPr>
              <w:t>3</w:t>
            </w:r>
            <w:r>
              <w:rPr>
                <w:rFonts w:hint="eastAsia"/>
                <w:color w:val="auto"/>
                <w:highlight w:val="none"/>
                <w:lang w:val="en-US" w:eastAsia="zh-CN"/>
              </w:rPr>
              <w:t>/d</w:t>
            </w:r>
            <w:r>
              <w:rPr>
                <w:rFonts w:hint="eastAsia"/>
                <w:color w:val="auto"/>
                <w:spacing w:val="12"/>
                <w:highlight w:val="none"/>
                <w:lang w:val="en-US" w:eastAsia="zh-CN"/>
              </w:rPr>
              <w:t>）。因此，该废水处理站可完全接纳本项目新增生产废水，且不影响该废水处理站的正常运行。</w:t>
            </w:r>
          </w:p>
          <w:p>
            <w:pPr>
              <w:keepNext w:val="0"/>
              <w:keepLines w:val="0"/>
              <w:pageBreakBefore w:val="0"/>
              <w:widowControl w:val="0"/>
              <w:kinsoku/>
              <w:wordWrap/>
              <w:overflowPunct/>
              <w:topLinePunct w:val="0"/>
              <w:autoSpaceDE/>
              <w:autoSpaceDN/>
              <w:bidi w:val="0"/>
              <w:adjustRightInd/>
              <w:snapToGrid/>
              <w:textAlignment w:val="auto"/>
              <w:rPr>
                <w:rFonts w:hint="default"/>
                <w:color w:val="auto"/>
                <w:spacing w:val="12"/>
                <w:highlight w:val="none"/>
                <w:lang w:val="en-US" w:eastAsia="zh-CN"/>
              </w:rPr>
            </w:pPr>
            <w:r>
              <w:rPr>
                <w:rFonts w:hint="eastAsia"/>
                <w:color w:val="auto"/>
                <w:spacing w:val="12"/>
                <w:highlight w:val="none"/>
                <w:lang w:val="en-US" w:eastAsia="zh-CN"/>
              </w:rPr>
              <w:t>根据建设单位提供的资料，目前，易门铜业有限公司冶炼渣缓冷场用水缺口较大，远大于本项目新增废水量，因此，易门铜业有限公司冶炼渣缓冷场完全可接纳本项目改建完成后的新增废水量。</w:t>
            </w:r>
          </w:p>
          <w:p>
            <w:pPr>
              <w:bidi w:val="0"/>
              <w:rPr>
                <w:rFonts w:hint="default"/>
                <w:color w:val="auto"/>
                <w:highlight w:val="none"/>
                <w:lang w:val="en-US" w:eastAsia="zh-CN"/>
              </w:rPr>
            </w:pPr>
            <w:r>
              <w:rPr>
                <w:rFonts w:hint="default"/>
                <w:color w:val="auto"/>
                <w:highlight w:val="none"/>
                <w:lang w:val="en-US" w:eastAsia="zh-CN"/>
              </w:rPr>
              <w:t>②</w:t>
            </w:r>
            <w:r>
              <w:rPr>
                <w:rFonts w:hint="eastAsia"/>
                <w:color w:val="auto"/>
                <w:highlight w:val="none"/>
                <w:lang w:val="en-US" w:eastAsia="zh-CN"/>
              </w:rPr>
              <w:t>水质可行性</w:t>
            </w:r>
          </w:p>
          <w:p>
            <w:pPr>
              <w:bidi w:val="0"/>
              <w:rPr>
                <w:rFonts w:hint="eastAsia"/>
                <w:color w:val="auto"/>
                <w:highlight w:val="none"/>
                <w:lang w:val="en-US" w:eastAsia="zh-CN"/>
              </w:rPr>
            </w:pPr>
            <w:r>
              <w:rPr>
                <w:rFonts w:hint="eastAsia"/>
                <w:color w:val="auto"/>
                <w:highlight w:val="none"/>
                <w:lang w:val="en-US" w:eastAsia="zh-CN"/>
              </w:rPr>
              <w:t>建设单位于2026年3月委托昆明绿岛环境科技有限公司对该生产废水深度水处理站出水口水质进行了检测，检测结果表明，该废水处理站出水口水质可满足《城市污水再生利用 工业用水水质》（GB/T19923-2024）表1中“直流冷却水、洗涤用水”标准要求。检测结果详见下表：</w:t>
            </w:r>
          </w:p>
          <w:p>
            <w:pPr>
              <w:pStyle w:val="35"/>
              <w:bidi w:val="0"/>
              <w:rPr>
                <w:rFonts w:hint="default"/>
                <w:color w:val="auto"/>
                <w:highlight w:val="none"/>
                <w:lang w:val="en-US" w:eastAsia="zh-CN"/>
              </w:rPr>
            </w:pPr>
            <w:r>
              <w:rPr>
                <w:rFonts w:hint="eastAsia"/>
                <w:color w:val="auto"/>
                <w:highlight w:val="none"/>
                <w:lang w:val="en-US" w:eastAsia="zh-CN"/>
              </w:rPr>
              <w:t>表4-2  生产废水深度水处理站出水口水质检测结果一览表</w:t>
            </w:r>
          </w:p>
          <w:tbl>
            <w:tblPr>
              <w:tblStyle w:val="24"/>
              <w:tblW w:w="773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5"/>
              <w:gridCol w:w="1212"/>
              <w:gridCol w:w="1234"/>
              <w:gridCol w:w="1223"/>
              <w:gridCol w:w="1085"/>
              <w:gridCol w:w="946"/>
              <w:gridCol w:w="6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55" w:type="dxa"/>
                  <w:tcBorders>
                    <w:tl2br w:val="nil"/>
                    <w:tr2bl w:val="nil"/>
                  </w:tcBorders>
                  <w:shd w:val="clear" w:color="auto" w:fill="auto"/>
                  <w:vAlign w:val="center"/>
                </w:tcPr>
                <w:p>
                  <w:pPr>
                    <w:pStyle w:val="34"/>
                    <w:bidi w:val="0"/>
                    <w:ind w:left="0" w:leftChars="0" w:firstLine="0" w:firstLineChars="0"/>
                    <w:rPr>
                      <w:rFonts w:hint="eastAsia" w:eastAsia="宋体"/>
                      <w:color w:val="auto"/>
                      <w:highlight w:val="none"/>
                      <w:lang w:val="en-US" w:eastAsia="zh-CN"/>
                    </w:rPr>
                  </w:pPr>
                  <w:r>
                    <w:rPr>
                      <w:rFonts w:hint="eastAsia"/>
                      <w:color w:val="auto"/>
                      <w:highlight w:val="none"/>
                      <w:lang w:val="en-US" w:eastAsia="zh-CN"/>
                    </w:rPr>
                    <w:t>点位名称</w:t>
                  </w:r>
                </w:p>
              </w:tc>
              <w:tc>
                <w:tcPr>
                  <w:tcW w:w="6377" w:type="dxa"/>
                  <w:gridSpan w:val="6"/>
                  <w:tcBorders>
                    <w:tl2br w:val="nil"/>
                    <w:tr2bl w:val="nil"/>
                  </w:tcBorders>
                  <w:shd w:val="clear" w:color="auto" w:fill="auto"/>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生产废水深度水处理站出水口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55"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样品编号</w:t>
                  </w:r>
                </w:p>
              </w:tc>
              <w:tc>
                <w:tcPr>
                  <w:tcW w:w="1212"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FS26030310-2-1-1</w:t>
                  </w:r>
                </w:p>
              </w:tc>
              <w:tc>
                <w:tcPr>
                  <w:tcW w:w="1234"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eastAsia="宋体" w:cstheme="minorBidi"/>
                      <w:color w:val="auto"/>
                      <w:kern w:val="2"/>
                      <w:sz w:val="18"/>
                      <w:szCs w:val="18"/>
                      <w:highlight w:val="none"/>
                      <w:lang w:val="en-US" w:eastAsia="zh-CN" w:bidi="ar-SA"/>
                    </w:rPr>
                  </w:pPr>
                  <w:r>
                    <w:rPr>
                      <w:rFonts w:hint="eastAsia"/>
                      <w:color w:val="auto"/>
                      <w:highlight w:val="none"/>
                      <w:lang w:val="en-US" w:eastAsia="zh-CN"/>
                    </w:rPr>
                    <w:t>FS26030310-2-1-1</w:t>
                  </w:r>
                </w:p>
              </w:tc>
              <w:tc>
                <w:tcPr>
                  <w:tcW w:w="1223"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eastAsia="宋体" w:cstheme="minorBidi"/>
                      <w:color w:val="auto"/>
                      <w:kern w:val="2"/>
                      <w:sz w:val="18"/>
                      <w:szCs w:val="18"/>
                      <w:highlight w:val="none"/>
                      <w:lang w:val="en-US" w:eastAsia="zh-CN" w:bidi="ar-SA"/>
                    </w:rPr>
                  </w:pPr>
                  <w:r>
                    <w:rPr>
                      <w:rFonts w:hint="eastAsia"/>
                      <w:color w:val="auto"/>
                      <w:highlight w:val="none"/>
                      <w:lang w:val="en-US" w:eastAsia="zh-CN"/>
                    </w:rPr>
                    <w:t>FS26030310-2-1-1</w:t>
                  </w:r>
                </w:p>
              </w:tc>
              <w:tc>
                <w:tcPr>
                  <w:tcW w:w="1085" w:type="dxa"/>
                  <w:vMerge w:val="restart"/>
                  <w:tcBorders>
                    <w:tl2br w:val="nil"/>
                    <w:tr2bl w:val="nil"/>
                  </w:tcBorders>
                  <w:shd w:val="clear" w:color="auto" w:fill="auto"/>
                  <w:vAlign w:val="center"/>
                </w:tcPr>
                <w:p>
                  <w:pPr>
                    <w:pStyle w:val="34"/>
                    <w:bidi w:val="0"/>
                    <w:ind w:left="0" w:leftChars="0" w:firstLine="0" w:firstLineChars="0"/>
                    <w:rPr>
                      <w:rFonts w:hint="eastAsia" w:eastAsia="宋体"/>
                      <w:color w:val="auto"/>
                      <w:highlight w:val="none"/>
                      <w:lang w:val="en-US" w:eastAsia="zh-CN"/>
                    </w:rPr>
                  </w:pPr>
                  <w:r>
                    <w:rPr>
                      <w:rFonts w:hint="eastAsia"/>
                      <w:color w:val="auto"/>
                      <w:highlight w:val="none"/>
                      <w:lang w:val="en-US" w:eastAsia="zh-CN"/>
                    </w:rPr>
                    <w:t>最大值mg/L</w:t>
                  </w:r>
                </w:p>
              </w:tc>
              <w:tc>
                <w:tcPr>
                  <w:tcW w:w="946" w:type="dxa"/>
                  <w:vMerge w:val="restart"/>
                  <w:tcBorders>
                    <w:tl2br w:val="nil"/>
                    <w:tr2bl w:val="nil"/>
                  </w:tcBorders>
                  <w:shd w:val="clear" w:color="auto" w:fill="auto"/>
                  <w:vAlign w:val="center"/>
                </w:tcPr>
                <w:p>
                  <w:pPr>
                    <w:pStyle w:val="34"/>
                    <w:bidi w:val="0"/>
                    <w:ind w:left="0" w:leftChars="0" w:firstLine="0" w:firstLineChars="0"/>
                    <w:rPr>
                      <w:rFonts w:hint="eastAsia" w:eastAsia="宋体"/>
                      <w:color w:val="auto"/>
                      <w:highlight w:val="none"/>
                      <w:lang w:val="en-US" w:eastAsia="zh-CN"/>
                    </w:rPr>
                  </w:pPr>
                  <w:r>
                    <w:rPr>
                      <w:rFonts w:hint="eastAsia"/>
                      <w:color w:val="auto"/>
                      <w:highlight w:val="none"/>
                      <w:lang w:val="en-US" w:eastAsia="zh-CN"/>
                    </w:rPr>
                    <w:t>标准值mg/L</w:t>
                  </w:r>
                </w:p>
              </w:tc>
              <w:tc>
                <w:tcPr>
                  <w:tcW w:w="677" w:type="dxa"/>
                  <w:vMerge w:val="restart"/>
                  <w:tcBorders>
                    <w:tl2br w:val="nil"/>
                    <w:tr2bl w:val="nil"/>
                  </w:tcBorders>
                  <w:shd w:val="clear" w:color="auto" w:fill="auto"/>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55" w:type="dxa"/>
                  <w:tcBorders>
                    <w:tl2br w:val="nil"/>
                    <w:tr2bl w:val="nil"/>
                  </w:tcBorders>
                  <w:shd w:val="clear" w:color="auto" w:fill="auto"/>
                  <w:vAlign w:val="center"/>
                </w:tcPr>
                <w:p>
                  <w:pPr>
                    <w:pStyle w:val="34"/>
                    <w:bidi w:val="0"/>
                    <w:ind w:left="0" w:leftChars="0" w:firstLine="0" w:firstLineChars="0"/>
                    <w:rPr>
                      <w:rFonts w:hint="eastAsia" w:eastAsia="宋体"/>
                      <w:color w:val="auto"/>
                      <w:highlight w:val="none"/>
                      <w:lang w:val="en-US" w:eastAsia="zh-CN"/>
                    </w:rPr>
                  </w:pPr>
                  <w:r>
                    <w:rPr>
                      <w:rFonts w:hint="eastAsia"/>
                      <w:color w:val="auto"/>
                      <w:highlight w:val="none"/>
                      <w:lang w:val="en-US" w:eastAsia="zh-CN"/>
                    </w:rPr>
                    <w:t>采样日期</w:t>
                  </w:r>
                </w:p>
              </w:tc>
              <w:tc>
                <w:tcPr>
                  <w:tcW w:w="3669" w:type="dxa"/>
                  <w:gridSpan w:val="3"/>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2026年3月3日</w:t>
                  </w:r>
                </w:p>
              </w:tc>
              <w:tc>
                <w:tcPr>
                  <w:tcW w:w="1085" w:type="dxa"/>
                  <w:vMerge w:val="continue"/>
                  <w:tcBorders>
                    <w:tl2br w:val="nil"/>
                    <w:tr2bl w:val="nil"/>
                  </w:tcBorders>
                  <w:shd w:val="clear" w:color="auto" w:fill="auto"/>
                  <w:vAlign w:val="center"/>
                </w:tcPr>
                <w:p>
                  <w:pPr>
                    <w:pStyle w:val="34"/>
                    <w:bidi w:val="0"/>
                    <w:ind w:left="0" w:leftChars="0" w:firstLine="0" w:firstLineChars="0"/>
                    <w:rPr>
                      <w:rFonts w:hint="default"/>
                      <w:color w:val="auto"/>
                      <w:highlight w:val="none"/>
                    </w:rPr>
                  </w:pPr>
                </w:p>
              </w:tc>
              <w:tc>
                <w:tcPr>
                  <w:tcW w:w="946" w:type="dxa"/>
                  <w:vMerge w:val="continue"/>
                  <w:tcBorders>
                    <w:tl2br w:val="nil"/>
                    <w:tr2bl w:val="nil"/>
                  </w:tcBorders>
                  <w:shd w:val="clear" w:color="auto" w:fill="auto"/>
                  <w:vAlign w:val="center"/>
                </w:tcPr>
                <w:p>
                  <w:pPr>
                    <w:pStyle w:val="34"/>
                    <w:bidi w:val="0"/>
                    <w:ind w:left="0" w:leftChars="0" w:firstLine="0" w:firstLineChars="0"/>
                    <w:rPr>
                      <w:rFonts w:hint="default"/>
                      <w:color w:val="auto"/>
                      <w:highlight w:val="none"/>
                    </w:rPr>
                  </w:pPr>
                </w:p>
              </w:tc>
              <w:tc>
                <w:tcPr>
                  <w:tcW w:w="677" w:type="dxa"/>
                  <w:vMerge w:val="continue"/>
                  <w:tcBorders>
                    <w:tl2br w:val="nil"/>
                    <w:tr2bl w:val="nil"/>
                  </w:tcBorders>
                  <w:shd w:val="clear" w:color="auto" w:fill="auto"/>
                  <w:vAlign w:val="center"/>
                </w:tcPr>
                <w:p>
                  <w:pPr>
                    <w:pStyle w:val="34"/>
                    <w:bidi w:val="0"/>
                    <w:ind w:left="0" w:leftChars="0" w:firstLine="0" w:firstLineChars="0"/>
                    <w:rPr>
                      <w:rFonts w:hint="default"/>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55" w:type="dxa"/>
                  <w:tcBorders>
                    <w:tl2br w:val="nil"/>
                    <w:tr2bl w:val="nil"/>
                  </w:tcBorders>
                  <w:shd w:val="clear" w:color="auto" w:fill="auto"/>
                  <w:vAlign w:val="center"/>
                </w:tcPr>
                <w:p>
                  <w:pPr>
                    <w:pStyle w:val="34"/>
                    <w:bidi w:val="0"/>
                    <w:ind w:left="0" w:leftChars="0" w:firstLine="0" w:firstLineChars="0"/>
                    <w:rPr>
                      <w:rFonts w:hint="eastAsia" w:eastAsia="宋体"/>
                      <w:color w:val="auto"/>
                      <w:highlight w:val="none"/>
                      <w:lang w:val="en-US" w:eastAsia="zh-CN"/>
                    </w:rPr>
                  </w:pPr>
                  <w:r>
                    <w:rPr>
                      <w:rFonts w:hint="eastAsia"/>
                      <w:color w:val="auto"/>
                      <w:highlight w:val="none"/>
                      <w:lang w:val="en-US" w:eastAsia="zh-CN"/>
                    </w:rPr>
                    <w:t>检测项目</w:t>
                  </w:r>
                </w:p>
              </w:tc>
              <w:tc>
                <w:tcPr>
                  <w:tcW w:w="3669" w:type="dxa"/>
                  <w:gridSpan w:val="3"/>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检测结果mg/L</w:t>
                  </w:r>
                </w:p>
              </w:tc>
              <w:tc>
                <w:tcPr>
                  <w:tcW w:w="1085" w:type="dxa"/>
                  <w:vMerge w:val="continue"/>
                  <w:tcBorders>
                    <w:tl2br w:val="nil"/>
                    <w:tr2bl w:val="nil"/>
                  </w:tcBorders>
                  <w:shd w:val="clear" w:color="auto" w:fill="auto"/>
                  <w:vAlign w:val="center"/>
                </w:tcPr>
                <w:p>
                  <w:pPr>
                    <w:pStyle w:val="34"/>
                    <w:bidi w:val="0"/>
                    <w:ind w:left="0" w:leftChars="0" w:firstLine="0" w:firstLineChars="0"/>
                    <w:rPr>
                      <w:rFonts w:hint="default"/>
                      <w:color w:val="auto"/>
                      <w:highlight w:val="none"/>
                    </w:rPr>
                  </w:pPr>
                </w:p>
              </w:tc>
              <w:tc>
                <w:tcPr>
                  <w:tcW w:w="946" w:type="dxa"/>
                  <w:vMerge w:val="continue"/>
                  <w:tcBorders>
                    <w:tl2br w:val="nil"/>
                    <w:tr2bl w:val="nil"/>
                  </w:tcBorders>
                  <w:shd w:val="clear" w:color="auto" w:fill="auto"/>
                  <w:vAlign w:val="center"/>
                </w:tcPr>
                <w:p>
                  <w:pPr>
                    <w:pStyle w:val="34"/>
                    <w:bidi w:val="0"/>
                    <w:ind w:left="0" w:leftChars="0" w:firstLine="0" w:firstLineChars="0"/>
                    <w:rPr>
                      <w:rFonts w:hint="default"/>
                      <w:color w:val="auto"/>
                      <w:highlight w:val="none"/>
                    </w:rPr>
                  </w:pPr>
                </w:p>
              </w:tc>
              <w:tc>
                <w:tcPr>
                  <w:tcW w:w="677" w:type="dxa"/>
                  <w:vMerge w:val="continue"/>
                  <w:tcBorders>
                    <w:tl2br w:val="nil"/>
                    <w:tr2bl w:val="nil"/>
                  </w:tcBorders>
                  <w:shd w:val="clear" w:color="auto" w:fill="auto"/>
                  <w:vAlign w:val="center"/>
                </w:tcPr>
                <w:p>
                  <w:pPr>
                    <w:pStyle w:val="34"/>
                    <w:bidi w:val="0"/>
                    <w:ind w:left="0" w:leftChars="0" w:firstLine="0" w:firstLineChars="0"/>
                    <w:rPr>
                      <w:rFonts w:hint="default"/>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55"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eastAsia="宋体" w:cstheme="minorBidi"/>
                      <w:color w:val="auto"/>
                      <w:kern w:val="2"/>
                      <w:sz w:val="18"/>
                      <w:szCs w:val="18"/>
                      <w:highlight w:val="none"/>
                      <w:lang w:val="en-US" w:eastAsia="zh-CN" w:bidi="ar-SA"/>
                    </w:rPr>
                  </w:pPr>
                  <w:r>
                    <w:rPr>
                      <w:rFonts w:hint="eastAsia"/>
                      <w:color w:val="auto"/>
                      <w:highlight w:val="none"/>
                    </w:rPr>
                    <w:t>p</w:t>
                  </w:r>
                  <w:r>
                    <w:rPr>
                      <w:color w:val="auto"/>
                      <w:highlight w:val="none"/>
                    </w:rPr>
                    <w:t>H</w:t>
                  </w:r>
                </w:p>
              </w:tc>
              <w:tc>
                <w:tcPr>
                  <w:tcW w:w="1212"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7.2</w:t>
                  </w:r>
                </w:p>
              </w:tc>
              <w:tc>
                <w:tcPr>
                  <w:tcW w:w="1234"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7.8</w:t>
                  </w:r>
                </w:p>
              </w:tc>
              <w:tc>
                <w:tcPr>
                  <w:tcW w:w="1223"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7.3</w:t>
                  </w:r>
                </w:p>
              </w:tc>
              <w:tc>
                <w:tcPr>
                  <w:tcW w:w="1085"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7.8</w:t>
                  </w:r>
                </w:p>
              </w:tc>
              <w:tc>
                <w:tcPr>
                  <w:tcW w:w="946"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eastAsia="宋体" w:cstheme="minorBidi"/>
                      <w:color w:val="auto"/>
                      <w:kern w:val="2"/>
                      <w:sz w:val="18"/>
                      <w:szCs w:val="18"/>
                      <w:highlight w:val="none"/>
                      <w:lang w:val="en-US" w:eastAsia="zh-CN" w:bidi="ar-SA"/>
                    </w:rPr>
                  </w:pPr>
                  <w:r>
                    <w:rPr>
                      <w:rFonts w:hint="eastAsia"/>
                      <w:color w:val="auto"/>
                      <w:highlight w:val="none"/>
                    </w:rPr>
                    <w:t>6~9</w:t>
                  </w:r>
                </w:p>
              </w:tc>
              <w:tc>
                <w:tcPr>
                  <w:tcW w:w="677" w:type="dxa"/>
                  <w:tcBorders>
                    <w:tl2br w:val="nil"/>
                    <w:tr2bl w:val="nil"/>
                  </w:tcBorders>
                  <w:shd w:val="clear" w:color="auto" w:fill="auto"/>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55"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eastAsia="宋体" w:cstheme="minorBidi"/>
                      <w:color w:val="auto"/>
                      <w:kern w:val="2"/>
                      <w:sz w:val="18"/>
                      <w:szCs w:val="18"/>
                      <w:highlight w:val="none"/>
                      <w:lang w:val="en-US" w:eastAsia="zh-CN" w:bidi="ar-SA"/>
                    </w:rPr>
                  </w:pPr>
                  <w:r>
                    <w:rPr>
                      <w:rFonts w:hint="eastAsia"/>
                      <w:color w:val="auto"/>
                      <w:highlight w:val="none"/>
                      <w:lang w:val="en-US" w:eastAsia="zh-CN"/>
                    </w:rPr>
                    <w:t>浊度/NTU</w:t>
                  </w:r>
                </w:p>
              </w:tc>
              <w:tc>
                <w:tcPr>
                  <w:tcW w:w="1212" w:type="dxa"/>
                  <w:tcBorders>
                    <w:tl2br w:val="nil"/>
                    <w:tr2bl w:val="nil"/>
                  </w:tcBorders>
                  <w:shd w:val="clear" w:color="auto" w:fill="auto"/>
                  <w:vAlign w:val="center"/>
                </w:tcPr>
                <w:p>
                  <w:pPr>
                    <w:pStyle w:val="34"/>
                    <w:bidi w:val="0"/>
                    <w:ind w:left="0" w:leftChars="0" w:firstLine="0" w:firstLineChars="0"/>
                    <w:rPr>
                      <w:rFonts w:hint="eastAsia"/>
                      <w:color w:val="auto"/>
                      <w:highlight w:val="none"/>
                      <w:lang w:val="en-US" w:eastAsia="zh-CN"/>
                    </w:rPr>
                  </w:pPr>
                  <m:oMath>
                    <m:r>
                      <m:rPr>
                        <m:sty m:val="p"/>
                      </m:rPr>
                      <w:rPr>
                        <w:rFonts w:hint="eastAsia" w:ascii="Times New Roman" w:hAnsi="Times New Roman"/>
                        <w:color w:val="auto"/>
                        <w:highlight w:val="none"/>
                        <w:lang w:val="en-US" w:eastAsia="zh-CN"/>
                      </w:rPr>
                      <m:t>&lt;</m:t>
                    </m:r>
                  </m:oMath>
                  <w:r>
                    <w:rPr>
                      <w:rFonts w:hint="eastAsia"/>
                      <w:color w:val="auto"/>
                      <w:highlight w:val="none"/>
                      <w:lang w:val="en-US" w:eastAsia="zh-CN"/>
                    </w:rPr>
                    <w:t>0.3</w:t>
                  </w:r>
                </w:p>
              </w:tc>
              <w:tc>
                <w:tcPr>
                  <w:tcW w:w="1234" w:type="dxa"/>
                  <w:tcBorders>
                    <w:tl2br w:val="nil"/>
                    <w:tr2bl w:val="nil"/>
                  </w:tcBorders>
                  <w:shd w:val="clear" w:color="auto" w:fill="auto"/>
                  <w:vAlign w:val="center"/>
                </w:tcPr>
                <w:p>
                  <w:pPr>
                    <w:pStyle w:val="34"/>
                    <w:bidi w:val="0"/>
                    <w:ind w:left="0" w:leftChars="0" w:firstLine="0" w:firstLineChars="0"/>
                    <w:rPr>
                      <w:rFonts w:hint="eastAsia"/>
                      <w:color w:val="auto"/>
                      <w:highlight w:val="none"/>
                      <w:lang w:val="en-US" w:eastAsia="zh-CN"/>
                    </w:rPr>
                  </w:pPr>
                  <m:oMath>
                    <m:r>
                      <m:rPr>
                        <m:sty m:val="p"/>
                      </m:rPr>
                      <w:rPr>
                        <w:rFonts w:hint="eastAsia" w:ascii="Times New Roman" w:hAnsi="Times New Roman"/>
                        <w:color w:val="auto"/>
                        <w:highlight w:val="none"/>
                        <w:lang w:val="en-US" w:eastAsia="zh-CN"/>
                      </w:rPr>
                      <m:t>&lt;</m:t>
                    </m:r>
                  </m:oMath>
                  <w:r>
                    <w:rPr>
                      <w:rFonts w:hint="eastAsia"/>
                      <w:color w:val="auto"/>
                      <w:highlight w:val="none"/>
                      <w:lang w:val="en-US" w:eastAsia="zh-CN"/>
                    </w:rPr>
                    <w:t>0.3</w:t>
                  </w:r>
                </w:p>
              </w:tc>
              <w:tc>
                <w:tcPr>
                  <w:tcW w:w="1223" w:type="dxa"/>
                  <w:tcBorders>
                    <w:tl2br w:val="nil"/>
                    <w:tr2bl w:val="nil"/>
                  </w:tcBorders>
                  <w:shd w:val="clear" w:color="auto" w:fill="auto"/>
                  <w:vAlign w:val="center"/>
                </w:tcPr>
                <w:p>
                  <w:pPr>
                    <w:pStyle w:val="34"/>
                    <w:bidi w:val="0"/>
                    <w:ind w:left="0" w:leftChars="0" w:firstLine="0" w:firstLineChars="0"/>
                    <w:rPr>
                      <w:rFonts w:hint="eastAsia"/>
                      <w:color w:val="auto"/>
                      <w:highlight w:val="none"/>
                      <w:lang w:val="en-US" w:eastAsia="zh-CN"/>
                    </w:rPr>
                  </w:pPr>
                  <m:oMath>
                    <m:r>
                      <m:rPr>
                        <m:sty m:val="p"/>
                      </m:rPr>
                      <w:rPr>
                        <w:rFonts w:hint="eastAsia" w:ascii="Times New Roman" w:hAnsi="Times New Roman"/>
                        <w:color w:val="auto"/>
                        <w:highlight w:val="none"/>
                        <w:lang w:val="en-US" w:eastAsia="zh-CN"/>
                      </w:rPr>
                      <m:t>&lt;</m:t>
                    </m:r>
                  </m:oMath>
                  <w:r>
                    <w:rPr>
                      <w:rFonts w:hint="eastAsia"/>
                      <w:color w:val="auto"/>
                      <w:highlight w:val="none"/>
                      <w:lang w:val="en-US" w:eastAsia="zh-CN"/>
                    </w:rPr>
                    <w:t>0.3</w:t>
                  </w:r>
                </w:p>
              </w:tc>
              <w:tc>
                <w:tcPr>
                  <w:tcW w:w="1085" w:type="dxa"/>
                  <w:tcBorders>
                    <w:tl2br w:val="nil"/>
                    <w:tr2bl w:val="nil"/>
                  </w:tcBorders>
                  <w:shd w:val="clear" w:color="auto" w:fill="auto"/>
                  <w:vAlign w:val="center"/>
                </w:tcPr>
                <w:p>
                  <w:pPr>
                    <w:pStyle w:val="34"/>
                    <w:bidi w:val="0"/>
                    <w:ind w:left="0" w:leftChars="0" w:firstLine="0" w:firstLineChars="0"/>
                    <w:rPr>
                      <w:rFonts w:hint="eastAsia"/>
                      <w:color w:val="auto"/>
                      <w:highlight w:val="none"/>
                      <w:lang w:val="en-US" w:eastAsia="zh-CN"/>
                    </w:rPr>
                  </w:pPr>
                  <m:oMath>
                    <m:r>
                      <m:rPr>
                        <m:sty m:val="p"/>
                      </m:rPr>
                      <w:rPr>
                        <w:rFonts w:hint="eastAsia" w:ascii="Times New Roman" w:hAnsi="Times New Roman"/>
                        <w:color w:val="auto"/>
                        <w:highlight w:val="none"/>
                        <w:lang w:val="en-US" w:eastAsia="zh-CN"/>
                      </w:rPr>
                      <m:t>&lt;</m:t>
                    </m:r>
                  </m:oMath>
                  <w:r>
                    <w:rPr>
                      <w:rFonts w:hint="eastAsia"/>
                      <w:color w:val="auto"/>
                      <w:highlight w:val="none"/>
                      <w:lang w:val="en-US" w:eastAsia="zh-CN"/>
                    </w:rPr>
                    <w:t>0.3</w:t>
                  </w:r>
                </w:p>
              </w:tc>
              <w:tc>
                <w:tcPr>
                  <w:tcW w:w="946"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eastAsia="宋体" w:cstheme="minorBidi"/>
                      <w:color w:val="auto"/>
                      <w:kern w:val="2"/>
                      <w:sz w:val="18"/>
                      <w:szCs w:val="18"/>
                      <w:highlight w:val="none"/>
                      <w:lang w:val="en-US" w:eastAsia="zh-CN" w:bidi="ar-SA"/>
                    </w:rPr>
                  </w:pPr>
                  <w:r>
                    <w:rPr>
                      <w:rFonts w:hint="eastAsia"/>
                      <w:color w:val="auto"/>
                      <w:highlight w:val="none"/>
                      <w:lang w:val="en-US" w:eastAsia="zh-CN"/>
                    </w:rPr>
                    <w:t>-</w:t>
                  </w:r>
                </w:p>
              </w:tc>
              <w:tc>
                <w:tcPr>
                  <w:tcW w:w="677" w:type="dxa"/>
                  <w:tcBorders>
                    <w:tl2br w:val="nil"/>
                    <w:tr2bl w:val="nil"/>
                  </w:tcBorders>
                  <w:shd w:val="clear" w:color="auto" w:fill="auto"/>
                  <w:vAlign w:val="center"/>
                </w:tcPr>
                <w:p>
                  <w:pPr>
                    <w:pStyle w:val="34"/>
                    <w:bidi w:val="0"/>
                    <w:ind w:left="0" w:leftChars="0" w:firstLine="0" w:firstLineChars="0"/>
                    <w:rPr>
                      <w:rFonts w:hint="eastAsia"/>
                      <w:color w:val="auto"/>
                      <w:highlight w:val="none"/>
                      <w:lang w:val="en-US" w:eastAsia="zh-CN"/>
                    </w:rPr>
                  </w:pPr>
                  <w:r>
                    <w:rPr>
                      <w:rFonts w:hint="eastAsia"/>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55" w:type="dxa"/>
                  <w:tcBorders>
                    <w:tl2br w:val="nil"/>
                    <w:tr2bl w:val="nil"/>
                  </w:tcBorders>
                  <w:shd w:val="clear" w:color="auto" w:fill="auto"/>
                  <w:vAlign w:val="center"/>
                </w:tcPr>
                <w:p>
                  <w:pPr>
                    <w:pStyle w:val="34"/>
                    <w:bidi w:val="0"/>
                    <w:ind w:left="0" w:leftChars="0" w:firstLine="0" w:firstLineChars="0"/>
                    <w:rPr>
                      <w:rFonts w:hint="eastAsia" w:ascii="Times New Roman" w:hAnsi="Times New Roman" w:eastAsia="宋体" w:cstheme="minorBidi"/>
                      <w:color w:val="auto"/>
                      <w:kern w:val="2"/>
                      <w:sz w:val="18"/>
                      <w:szCs w:val="18"/>
                      <w:highlight w:val="none"/>
                      <w:lang w:val="en-US" w:eastAsia="zh-CN" w:bidi="ar-SA"/>
                    </w:rPr>
                  </w:pPr>
                  <w:r>
                    <w:rPr>
                      <w:color w:val="auto"/>
                      <w:highlight w:val="none"/>
                    </w:rPr>
                    <w:t>BOD</w:t>
                  </w:r>
                  <w:r>
                    <w:rPr>
                      <w:color w:val="auto"/>
                      <w:highlight w:val="none"/>
                      <w:vertAlign w:val="subscript"/>
                    </w:rPr>
                    <w:t>5</w:t>
                  </w:r>
                </w:p>
              </w:tc>
              <w:tc>
                <w:tcPr>
                  <w:tcW w:w="1212" w:type="dxa"/>
                  <w:tcBorders>
                    <w:tl2br w:val="nil"/>
                    <w:tr2bl w:val="nil"/>
                  </w:tcBorders>
                  <w:shd w:val="clear" w:color="auto" w:fill="auto"/>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3.8</w:t>
                  </w:r>
                </w:p>
              </w:tc>
              <w:tc>
                <w:tcPr>
                  <w:tcW w:w="1234" w:type="dxa"/>
                  <w:tcBorders>
                    <w:tl2br w:val="nil"/>
                    <w:tr2bl w:val="nil"/>
                  </w:tcBorders>
                  <w:shd w:val="clear" w:color="auto" w:fill="auto"/>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3.5</w:t>
                  </w:r>
                </w:p>
              </w:tc>
              <w:tc>
                <w:tcPr>
                  <w:tcW w:w="1223" w:type="dxa"/>
                  <w:tcBorders>
                    <w:tl2br w:val="nil"/>
                    <w:tr2bl w:val="nil"/>
                  </w:tcBorders>
                  <w:shd w:val="clear" w:color="auto" w:fill="auto"/>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4.6</w:t>
                  </w:r>
                </w:p>
              </w:tc>
              <w:tc>
                <w:tcPr>
                  <w:tcW w:w="1085" w:type="dxa"/>
                  <w:tcBorders>
                    <w:tl2br w:val="nil"/>
                    <w:tr2bl w:val="nil"/>
                  </w:tcBorders>
                  <w:shd w:val="clear" w:color="auto" w:fill="auto"/>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4.6</w:t>
                  </w:r>
                </w:p>
              </w:tc>
              <w:tc>
                <w:tcPr>
                  <w:tcW w:w="946"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eastAsia="宋体" w:cstheme="minorBidi"/>
                      <w:color w:val="auto"/>
                      <w:kern w:val="2"/>
                      <w:sz w:val="18"/>
                      <w:szCs w:val="18"/>
                      <w:highlight w:val="none"/>
                      <w:lang w:val="en-US" w:eastAsia="zh-CN" w:bidi="ar-SA"/>
                    </w:rPr>
                  </w:pPr>
                  <w:r>
                    <w:rPr>
                      <w:rFonts w:hint="eastAsia"/>
                      <w:color w:val="auto"/>
                      <w:highlight w:val="none"/>
                      <w:lang w:val="en-US" w:eastAsia="zh-CN"/>
                    </w:rPr>
                    <w:t>10</w:t>
                  </w:r>
                </w:p>
              </w:tc>
              <w:tc>
                <w:tcPr>
                  <w:tcW w:w="677" w:type="dxa"/>
                  <w:tcBorders>
                    <w:tl2br w:val="nil"/>
                    <w:tr2bl w:val="nil"/>
                  </w:tcBorders>
                  <w:shd w:val="clear" w:color="auto" w:fill="auto"/>
                  <w:vAlign w:val="center"/>
                </w:tcPr>
                <w:p>
                  <w:pPr>
                    <w:pStyle w:val="34"/>
                    <w:bidi w:val="0"/>
                    <w:ind w:left="0" w:leftChars="0" w:firstLine="0" w:firstLineChars="0"/>
                    <w:rPr>
                      <w:rFonts w:hint="eastAsia"/>
                      <w:color w:val="auto"/>
                      <w:highlight w:val="none"/>
                      <w:lang w:val="en-US" w:eastAsia="zh-CN"/>
                    </w:rPr>
                  </w:pPr>
                  <w:r>
                    <w:rPr>
                      <w:rFonts w:hint="eastAsia"/>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55" w:type="dxa"/>
                  <w:tcBorders>
                    <w:tl2br w:val="nil"/>
                    <w:tr2bl w:val="nil"/>
                  </w:tcBorders>
                  <w:shd w:val="clear" w:color="auto" w:fill="auto"/>
                  <w:vAlign w:val="center"/>
                </w:tcPr>
                <w:p>
                  <w:pPr>
                    <w:pStyle w:val="34"/>
                    <w:bidi w:val="0"/>
                    <w:ind w:left="0" w:leftChars="0" w:firstLine="0" w:firstLineChars="0"/>
                    <w:rPr>
                      <w:rFonts w:hint="eastAsia" w:ascii="Times New Roman" w:hAnsi="Times New Roman" w:eastAsia="宋体" w:cstheme="minorBidi"/>
                      <w:color w:val="auto"/>
                      <w:kern w:val="2"/>
                      <w:sz w:val="18"/>
                      <w:szCs w:val="18"/>
                      <w:highlight w:val="none"/>
                      <w:lang w:val="en-US" w:eastAsia="zh-CN" w:bidi="ar-SA"/>
                    </w:rPr>
                  </w:pPr>
                  <w:r>
                    <w:rPr>
                      <w:rFonts w:hint="eastAsia"/>
                      <w:color w:val="auto"/>
                      <w:highlight w:val="none"/>
                    </w:rPr>
                    <w:t>C</w:t>
                  </w:r>
                  <w:r>
                    <w:rPr>
                      <w:color w:val="auto"/>
                      <w:highlight w:val="none"/>
                    </w:rPr>
                    <w:t>OD</w:t>
                  </w:r>
                </w:p>
              </w:tc>
              <w:tc>
                <w:tcPr>
                  <w:tcW w:w="1212" w:type="dxa"/>
                  <w:tcBorders>
                    <w:tl2br w:val="nil"/>
                    <w:tr2bl w:val="nil"/>
                  </w:tcBorders>
                  <w:shd w:val="clear" w:color="auto" w:fill="auto"/>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22</w:t>
                  </w:r>
                </w:p>
              </w:tc>
              <w:tc>
                <w:tcPr>
                  <w:tcW w:w="1234" w:type="dxa"/>
                  <w:tcBorders>
                    <w:tl2br w:val="nil"/>
                    <w:tr2bl w:val="nil"/>
                  </w:tcBorders>
                  <w:shd w:val="clear" w:color="auto" w:fill="auto"/>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20</w:t>
                  </w:r>
                </w:p>
              </w:tc>
              <w:tc>
                <w:tcPr>
                  <w:tcW w:w="1223" w:type="dxa"/>
                  <w:tcBorders>
                    <w:tl2br w:val="nil"/>
                    <w:tr2bl w:val="nil"/>
                  </w:tcBorders>
                  <w:shd w:val="clear" w:color="auto" w:fill="auto"/>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25</w:t>
                  </w:r>
                </w:p>
              </w:tc>
              <w:tc>
                <w:tcPr>
                  <w:tcW w:w="1085" w:type="dxa"/>
                  <w:tcBorders>
                    <w:tl2br w:val="nil"/>
                    <w:tr2bl w:val="nil"/>
                  </w:tcBorders>
                  <w:shd w:val="clear" w:color="auto" w:fill="auto"/>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25</w:t>
                  </w:r>
                </w:p>
              </w:tc>
              <w:tc>
                <w:tcPr>
                  <w:tcW w:w="946"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eastAsia="宋体" w:cstheme="minorBidi"/>
                      <w:color w:val="auto"/>
                      <w:kern w:val="2"/>
                      <w:sz w:val="18"/>
                      <w:szCs w:val="18"/>
                      <w:highlight w:val="none"/>
                      <w:lang w:val="en-US" w:eastAsia="zh-CN" w:bidi="ar-SA"/>
                    </w:rPr>
                  </w:pPr>
                  <w:r>
                    <w:rPr>
                      <w:rFonts w:hint="eastAsia"/>
                      <w:color w:val="auto"/>
                      <w:highlight w:val="none"/>
                      <w:lang w:val="en-US" w:eastAsia="zh-CN"/>
                    </w:rPr>
                    <w:t>50</w:t>
                  </w:r>
                </w:p>
              </w:tc>
              <w:tc>
                <w:tcPr>
                  <w:tcW w:w="677" w:type="dxa"/>
                  <w:tcBorders>
                    <w:tl2br w:val="nil"/>
                    <w:tr2bl w:val="nil"/>
                  </w:tcBorders>
                  <w:shd w:val="clear" w:color="auto" w:fill="auto"/>
                  <w:vAlign w:val="center"/>
                </w:tcPr>
                <w:p>
                  <w:pPr>
                    <w:pStyle w:val="34"/>
                    <w:bidi w:val="0"/>
                    <w:ind w:left="0" w:leftChars="0" w:firstLine="0" w:firstLineChars="0"/>
                    <w:rPr>
                      <w:rFonts w:hint="eastAsia"/>
                      <w:color w:val="auto"/>
                      <w:highlight w:val="none"/>
                      <w:lang w:val="en-US" w:eastAsia="zh-CN"/>
                    </w:rPr>
                  </w:pPr>
                  <w:r>
                    <w:rPr>
                      <w:rFonts w:hint="eastAsia"/>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55"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eastAsia="宋体" w:cstheme="minorBidi"/>
                      <w:color w:val="auto"/>
                      <w:kern w:val="2"/>
                      <w:sz w:val="18"/>
                      <w:szCs w:val="18"/>
                      <w:highlight w:val="none"/>
                      <w:lang w:val="en-US" w:eastAsia="zh-CN" w:bidi="ar-SA"/>
                    </w:rPr>
                  </w:pPr>
                  <w:r>
                    <w:rPr>
                      <w:color w:val="auto"/>
                      <w:highlight w:val="none"/>
                    </w:rPr>
                    <w:t>氨氮</w:t>
                  </w:r>
                </w:p>
              </w:tc>
              <w:tc>
                <w:tcPr>
                  <w:tcW w:w="1212" w:type="dxa"/>
                  <w:tcBorders>
                    <w:tl2br w:val="nil"/>
                    <w:tr2bl w:val="nil"/>
                  </w:tcBorders>
                  <w:shd w:val="clear" w:color="auto" w:fill="auto"/>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0.07</w:t>
                  </w:r>
                </w:p>
              </w:tc>
              <w:tc>
                <w:tcPr>
                  <w:tcW w:w="1234" w:type="dxa"/>
                  <w:tcBorders>
                    <w:tl2br w:val="nil"/>
                    <w:tr2bl w:val="nil"/>
                  </w:tcBorders>
                  <w:shd w:val="clear" w:color="auto" w:fill="auto"/>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0.064</w:t>
                  </w:r>
                </w:p>
              </w:tc>
              <w:tc>
                <w:tcPr>
                  <w:tcW w:w="1223" w:type="dxa"/>
                  <w:tcBorders>
                    <w:tl2br w:val="nil"/>
                    <w:tr2bl w:val="nil"/>
                  </w:tcBorders>
                  <w:shd w:val="clear" w:color="auto" w:fill="auto"/>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0.065</w:t>
                  </w:r>
                </w:p>
              </w:tc>
              <w:tc>
                <w:tcPr>
                  <w:tcW w:w="1085" w:type="dxa"/>
                  <w:tcBorders>
                    <w:tl2br w:val="nil"/>
                    <w:tr2bl w:val="nil"/>
                  </w:tcBorders>
                  <w:shd w:val="clear" w:color="auto" w:fill="auto"/>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0.07</w:t>
                  </w:r>
                </w:p>
              </w:tc>
              <w:tc>
                <w:tcPr>
                  <w:tcW w:w="946"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highlight w:val="none"/>
                      <w:lang w:val="en-US" w:eastAsia="zh-CN"/>
                    </w:rPr>
                    <w:t>5</w:t>
                  </w:r>
                  <w:r>
                    <w:rPr>
                      <w:rFonts w:hint="eastAsia" w:ascii="Times New Roman" w:hAnsi="Times New Roman" w:cs="Times New Roman"/>
                      <w:color w:val="auto"/>
                      <w:highlight w:val="none"/>
                      <w:vertAlign w:val="superscript"/>
                      <w:lang w:val="en-US" w:eastAsia="zh-CN"/>
                    </w:rPr>
                    <w:t>a</w:t>
                  </w:r>
                </w:p>
              </w:tc>
              <w:tc>
                <w:tcPr>
                  <w:tcW w:w="677" w:type="dxa"/>
                  <w:tcBorders>
                    <w:tl2br w:val="nil"/>
                    <w:tr2bl w:val="nil"/>
                  </w:tcBorders>
                  <w:shd w:val="clear" w:color="auto" w:fill="auto"/>
                  <w:vAlign w:val="center"/>
                </w:tcPr>
                <w:p>
                  <w:pPr>
                    <w:pStyle w:val="34"/>
                    <w:bidi w:val="0"/>
                    <w:ind w:left="0" w:leftChars="0" w:firstLine="0" w:firstLineChars="0"/>
                    <w:rPr>
                      <w:rFonts w:hint="eastAsia"/>
                      <w:color w:val="auto"/>
                      <w:highlight w:val="none"/>
                      <w:lang w:val="en-US" w:eastAsia="zh-CN"/>
                    </w:rPr>
                  </w:pPr>
                  <w:r>
                    <w:rPr>
                      <w:rFonts w:hint="eastAsia"/>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55"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eastAsia="宋体" w:cstheme="minorBidi"/>
                      <w:color w:val="auto"/>
                      <w:kern w:val="2"/>
                      <w:sz w:val="18"/>
                      <w:szCs w:val="18"/>
                      <w:highlight w:val="none"/>
                      <w:lang w:val="en-US" w:eastAsia="zh-CN" w:bidi="ar-SA"/>
                    </w:rPr>
                  </w:pPr>
                  <w:r>
                    <w:rPr>
                      <w:rFonts w:hint="eastAsia"/>
                      <w:color w:val="auto"/>
                      <w:highlight w:val="none"/>
                      <w:lang w:val="en-US" w:eastAsia="zh-CN"/>
                    </w:rPr>
                    <w:t>总磷</w:t>
                  </w:r>
                </w:p>
              </w:tc>
              <w:tc>
                <w:tcPr>
                  <w:tcW w:w="1212" w:type="dxa"/>
                  <w:tcBorders>
                    <w:tl2br w:val="nil"/>
                    <w:tr2bl w:val="nil"/>
                  </w:tcBorders>
                  <w:shd w:val="clear" w:color="auto" w:fill="auto"/>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0.02</w:t>
                  </w:r>
                </w:p>
              </w:tc>
              <w:tc>
                <w:tcPr>
                  <w:tcW w:w="1234" w:type="dxa"/>
                  <w:tcBorders>
                    <w:tl2br w:val="nil"/>
                    <w:tr2bl w:val="nil"/>
                  </w:tcBorders>
                  <w:shd w:val="clear" w:color="auto" w:fill="auto"/>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0.02</w:t>
                  </w:r>
                </w:p>
              </w:tc>
              <w:tc>
                <w:tcPr>
                  <w:tcW w:w="1223" w:type="dxa"/>
                  <w:tcBorders>
                    <w:tl2br w:val="nil"/>
                    <w:tr2bl w:val="nil"/>
                  </w:tcBorders>
                  <w:shd w:val="clear" w:color="auto" w:fill="auto"/>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0.02</w:t>
                  </w:r>
                </w:p>
              </w:tc>
              <w:tc>
                <w:tcPr>
                  <w:tcW w:w="1085" w:type="dxa"/>
                  <w:tcBorders>
                    <w:tl2br w:val="nil"/>
                    <w:tr2bl w:val="nil"/>
                  </w:tcBorders>
                  <w:shd w:val="clear" w:color="auto" w:fill="auto"/>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0.02</w:t>
                  </w:r>
                </w:p>
              </w:tc>
              <w:tc>
                <w:tcPr>
                  <w:tcW w:w="946"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eastAsia="宋体" w:cstheme="minorBidi"/>
                      <w:color w:val="auto"/>
                      <w:kern w:val="2"/>
                      <w:sz w:val="18"/>
                      <w:szCs w:val="18"/>
                      <w:highlight w:val="none"/>
                      <w:lang w:val="en-US" w:eastAsia="zh-CN" w:bidi="ar-SA"/>
                    </w:rPr>
                  </w:pPr>
                  <w:r>
                    <w:rPr>
                      <w:rFonts w:hint="eastAsia"/>
                      <w:color w:val="auto"/>
                      <w:highlight w:val="none"/>
                      <w:lang w:val="en-US" w:eastAsia="zh-CN"/>
                    </w:rPr>
                    <w:t>0.5</w:t>
                  </w:r>
                </w:p>
              </w:tc>
              <w:tc>
                <w:tcPr>
                  <w:tcW w:w="677" w:type="dxa"/>
                  <w:tcBorders>
                    <w:tl2br w:val="nil"/>
                    <w:tr2bl w:val="nil"/>
                  </w:tcBorders>
                  <w:shd w:val="clear" w:color="auto" w:fill="auto"/>
                  <w:vAlign w:val="center"/>
                </w:tcPr>
                <w:p>
                  <w:pPr>
                    <w:pStyle w:val="34"/>
                    <w:bidi w:val="0"/>
                    <w:ind w:left="0" w:leftChars="0" w:firstLine="0" w:firstLineChars="0"/>
                    <w:rPr>
                      <w:rFonts w:hint="eastAsia"/>
                      <w:color w:val="auto"/>
                      <w:highlight w:val="none"/>
                      <w:lang w:val="en-US" w:eastAsia="zh-CN"/>
                    </w:rPr>
                  </w:pPr>
                  <w:r>
                    <w:rPr>
                      <w:rFonts w:hint="eastAsia"/>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55" w:type="dxa"/>
                  <w:tcBorders>
                    <w:tl2br w:val="nil"/>
                    <w:tr2bl w:val="nil"/>
                  </w:tcBorders>
                  <w:shd w:val="clear" w:color="auto" w:fill="auto"/>
                  <w:vAlign w:val="center"/>
                </w:tcPr>
                <w:p>
                  <w:pPr>
                    <w:pStyle w:val="34"/>
                    <w:bidi w:val="0"/>
                    <w:ind w:left="0" w:leftChars="0" w:firstLine="0" w:firstLineChars="0"/>
                    <w:rPr>
                      <w:rFonts w:hint="eastAsia" w:ascii="Times New Roman" w:hAnsi="Times New Roman" w:eastAsia="宋体" w:cstheme="minorBidi"/>
                      <w:color w:val="auto"/>
                      <w:kern w:val="2"/>
                      <w:sz w:val="18"/>
                      <w:szCs w:val="18"/>
                      <w:highlight w:val="none"/>
                      <w:lang w:val="en-US" w:eastAsia="zh-CN" w:bidi="ar-SA"/>
                    </w:rPr>
                  </w:pPr>
                  <w:r>
                    <w:rPr>
                      <w:rFonts w:hint="eastAsia"/>
                      <w:color w:val="auto"/>
                      <w:highlight w:val="none"/>
                      <w:lang w:val="en-US" w:eastAsia="zh-CN"/>
                    </w:rPr>
                    <w:t>总硬度（以CaCO</w:t>
                  </w:r>
                  <w:r>
                    <w:rPr>
                      <w:rFonts w:hint="eastAsia"/>
                      <w:color w:val="auto"/>
                      <w:highlight w:val="none"/>
                      <w:vertAlign w:val="subscript"/>
                      <w:lang w:val="en-US" w:eastAsia="zh-CN"/>
                    </w:rPr>
                    <w:t>3</w:t>
                  </w:r>
                  <w:r>
                    <w:rPr>
                      <w:rFonts w:hint="eastAsia"/>
                      <w:color w:val="auto"/>
                      <w:highlight w:val="none"/>
                      <w:lang w:val="en-US" w:eastAsia="zh-CN"/>
                    </w:rPr>
                    <w:t>计）</w:t>
                  </w:r>
                </w:p>
              </w:tc>
              <w:tc>
                <w:tcPr>
                  <w:tcW w:w="1212" w:type="dxa"/>
                  <w:tcBorders>
                    <w:tl2br w:val="nil"/>
                    <w:tr2bl w:val="nil"/>
                  </w:tcBorders>
                  <w:shd w:val="clear" w:color="auto" w:fill="auto"/>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45.6</w:t>
                  </w:r>
                </w:p>
              </w:tc>
              <w:tc>
                <w:tcPr>
                  <w:tcW w:w="1234" w:type="dxa"/>
                  <w:tcBorders>
                    <w:tl2br w:val="nil"/>
                    <w:tr2bl w:val="nil"/>
                  </w:tcBorders>
                  <w:shd w:val="clear" w:color="auto" w:fill="auto"/>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46.4</w:t>
                  </w:r>
                </w:p>
              </w:tc>
              <w:tc>
                <w:tcPr>
                  <w:tcW w:w="1223" w:type="dxa"/>
                  <w:tcBorders>
                    <w:tl2br w:val="nil"/>
                    <w:tr2bl w:val="nil"/>
                  </w:tcBorders>
                  <w:shd w:val="clear" w:color="auto" w:fill="auto"/>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46.0</w:t>
                  </w:r>
                </w:p>
              </w:tc>
              <w:tc>
                <w:tcPr>
                  <w:tcW w:w="1085" w:type="dxa"/>
                  <w:tcBorders>
                    <w:tl2br w:val="nil"/>
                    <w:tr2bl w:val="nil"/>
                  </w:tcBorders>
                  <w:shd w:val="clear" w:color="auto" w:fill="auto"/>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46.4</w:t>
                  </w:r>
                </w:p>
              </w:tc>
              <w:tc>
                <w:tcPr>
                  <w:tcW w:w="946"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eastAsia="宋体" w:cstheme="minorBidi"/>
                      <w:color w:val="auto"/>
                      <w:kern w:val="2"/>
                      <w:sz w:val="18"/>
                      <w:szCs w:val="18"/>
                      <w:highlight w:val="none"/>
                      <w:lang w:val="en-US" w:eastAsia="zh-CN" w:bidi="ar-SA"/>
                    </w:rPr>
                  </w:pPr>
                  <w:r>
                    <w:rPr>
                      <w:rFonts w:hint="eastAsia"/>
                      <w:color w:val="auto"/>
                      <w:highlight w:val="none"/>
                      <w:lang w:val="en-US" w:eastAsia="zh-CN"/>
                    </w:rPr>
                    <w:t>450</w:t>
                  </w:r>
                </w:p>
              </w:tc>
              <w:tc>
                <w:tcPr>
                  <w:tcW w:w="677" w:type="dxa"/>
                  <w:tcBorders>
                    <w:tl2br w:val="nil"/>
                    <w:tr2bl w:val="nil"/>
                  </w:tcBorders>
                  <w:shd w:val="clear" w:color="auto" w:fill="auto"/>
                  <w:vAlign w:val="center"/>
                </w:tcPr>
                <w:p>
                  <w:pPr>
                    <w:pStyle w:val="34"/>
                    <w:bidi w:val="0"/>
                    <w:ind w:left="0" w:leftChars="0" w:firstLine="0" w:firstLineChars="0"/>
                    <w:rPr>
                      <w:rFonts w:hint="eastAsia"/>
                      <w:color w:val="auto"/>
                      <w:highlight w:val="none"/>
                      <w:lang w:val="en-US" w:eastAsia="zh-CN"/>
                    </w:rPr>
                  </w:pPr>
                  <w:r>
                    <w:rPr>
                      <w:rFonts w:hint="eastAsia"/>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55"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eastAsia="宋体" w:cstheme="minorBidi"/>
                      <w:color w:val="auto"/>
                      <w:kern w:val="2"/>
                      <w:sz w:val="18"/>
                      <w:szCs w:val="18"/>
                      <w:highlight w:val="none"/>
                      <w:lang w:val="en-US" w:eastAsia="zh-CN" w:bidi="ar-SA"/>
                    </w:rPr>
                  </w:pPr>
                  <w:r>
                    <w:rPr>
                      <w:rFonts w:hint="eastAsia"/>
                      <w:color w:val="auto"/>
                      <w:highlight w:val="none"/>
                      <w:lang w:val="en-US" w:eastAsia="zh-CN"/>
                    </w:rPr>
                    <w:t>溶解性总固体</w:t>
                  </w:r>
                </w:p>
              </w:tc>
              <w:tc>
                <w:tcPr>
                  <w:tcW w:w="1212" w:type="dxa"/>
                  <w:tcBorders>
                    <w:tl2br w:val="nil"/>
                    <w:tr2bl w:val="nil"/>
                  </w:tcBorders>
                  <w:shd w:val="clear" w:color="auto" w:fill="auto"/>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316</w:t>
                  </w:r>
                </w:p>
              </w:tc>
              <w:tc>
                <w:tcPr>
                  <w:tcW w:w="1234" w:type="dxa"/>
                  <w:tcBorders>
                    <w:tl2br w:val="nil"/>
                    <w:tr2bl w:val="nil"/>
                  </w:tcBorders>
                  <w:shd w:val="clear" w:color="auto" w:fill="auto"/>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308</w:t>
                  </w:r>
                </w:p>
              </w:tc>
              <w:tc>
                <w:tcPr>
                  <w:tcW w:w="1223" w:type="dxa"/>
                  <w:tcBorders>
                    <w:tl2br w:val="nil"/>
                    <w:tr2bl w:val="nil"/>
                  </w:tcBorders>
                  <w:shd w:val="clear" w:color="auto" w:fill="auto"/>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310</w:t>
                  </w:r>
                </w:p>
              </w:tc>
              <w:tc>
                <w:tcPr>
                  <w:tcW w:w="1085" w:type="dxa"/>
                  <w:tcBorders>
                    <w:tl2br w:val="nil"/>
                    <w:tr2bl w:val="nil"/>
                  </w:tcBorders>
                  <w:shd w:val="clear" w:color="auto" w:fill="auto"/>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316</w:t>
                  </w:r>
                </w:p>
              </w:tc>
              <w:tc>
                <w:tcPr>
                  <w:tcW w:w="946"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eastAsia="宋体" w:cstheme="minorBidi"/>
                      <w:color w:val="auto"/>
                      <w:kern w:val="2"/>
                      <w:sz w:val="18"/>
                      <w:szCs w:val="18"/>
                      <w:highlight w:val="none"/>
                      <w:lang w:val="en-US" w:eastAsia="zh-CN" w:bidi="ar-SA"/>
                    </w:rPr>
                  </w:pPr>
                  <w:r>
                    <w:rPr>
                      <w:rFonts w:hint="eastAsia"/>
                      <w:color w:val="auto"/>
                      <w:highlight w:val="none"/>
                      <w:lang w:val="en-US" w:eastAsia="zh-CN"/>
                    </w:rPr>
                    <w:t>1500</w:t>
                  </w:r>
                </w:p>
              </w:tc>
              <w:tc>
                <w:tcPr>
                  <w:tcW w:w="677" w:type="dxa"/>
                  <w:tcBorders>
                    <w:tl2br w:val="nil"/>
                    <w:tr2bl w:val="nil"/>
                  </w:tcBorders>
                  <w:shd w:val="clear" w:color="auto" w:fill="auto"/>
                  <w:vAlign w:val="center"/>
                </w:tcPr>
                <w:p>
                  <w:pPr>
                    <w:pStyle w:val="34"/>
                    <w:bidi w:val="0"/>
                    <w:ind w:left="0" w:leftChars="0" w:firstLine="0" w:firstLineChars="0"/>
                    <w:rPr>
                      <w:rFonts w:hint="eastAsia"/>
                      <w:color w:val="auto"/>
                      <w:highlight w:val="none"/>
                      <w:lang w:val="en-US" w:eastAsia="zh-CN"/>
                    </w:rPr>
                  </w:pPr>
                  <w:r>
                    <w:rPr>
                      <w:rFonts w:hint="eastAsia"/>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55" w:type="dxa"/>
                  <w:tcBorders>
                    <w:tl2br w:val="nil"/>
                    <w:tr2bl w:val="nil"/>
                  </w:tcBorders>
                  <w:shd w:val="clear" w:color="auto" w:fill="auto"/>
                  <w:vAlign w:val="center"/>
                </w:tcPr>
                <w:p>
                  <w:pPr>
                    <w:pStyle w:val="34"/>
                    <w:bidi w:val="0"/>
                    <w:ind w:left="0" w:leftChars="0" w:firstLine="0" w:firstLineChars="0"/>
                    <w:rPr>
                      <w:rFonts w:hint="eastAsia" w:ascii="Times New Roman" w:hAnsi="Times New Roman" w:eastAsia="宋体" w:cstheme="minorBidi"/>
                      <w:color w:val="auto"/>
                      <w:kern w:val="2"/>
                      <w:sz w:val="18"/>
                      <w:szCs w:val="18"/>
                      <w:highlight w:val="none"/>
                      <w:lang w:val="en-US" w:eastAsia="zh-CN" w:bidi="ar-SA"/>
                    </w:rPr>
                  </w:pPr>
                  <w:r>
                    <w:rPr>
                      <w:rFonts w:hint="eastAsia"/>
                      <w:color w:val="auto"/>
                      <w:highlight w:val="none"/>
                      <w:lang w:val="en-US" w:eastAsia="zh-CN"/>
                    </w:rPr>
                    <w:t>氯</w:t>
                  </w:r>
                  <w:r>
                    <w:rPr>
                      <w:rFonts w:hint="eastAsia"/>
                      <w:color w:val="auto"/>
                      <w:highlight w:val="none"/>
                    </w:rPr>
                    <w:t>化物</w:t>
                  </w:r>
                </w:p>
              </w:tc>
              <w:tc>
                <w:tcPr>
                  <w:tcW w:w="1212"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139</w:t>
                  </w:r>
                </w:p>
              </w:tc>
              <w:tc>
                <w:tcPr>
                  <w:tcW w:w="1234"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133</w:t>
                  </w:r>
                </w:p>
              </w:tc>
              <w:tc>
                <w:tcPr>
                  <w:tcW w:w="1223"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141</w:t>
                  </w:r>
                </w:p>
              </w:tc>
              <w:tc>
                <w:tcPr>
                  <w:tcW w:w="1085"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w:r>
                    <w:rPr>
                      <w:rFonts w:hint="eastAsia"/>
                      <w:color w:val="auto"/>
                      <w:highlight w:val="none"/>
                      <w:lang w:val="en-US" w:eastAsia="zh-CN"/>
                    </w:rPr>
                    <w:t>141</w:t>
                  </w:r>
                </w:p>
              </w:tc>
              <w:tc>
                <w:tcPr>
                  <w:tcW w:w="946"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eastAsia="宋体" w:cstheme="minorBidi"/>
                      <w:color w:val="auto"/>
                      <w:kern w:val="2"/>
                      <w:sz w:val="18"/>
                      <w:szCs w:val="18"/>
                      <w:highlight w:val="none"/>
                      <w:lang w:val="en-US" w:eastAsia="zh-CN" w:bidi="ar-SA"/>
                    </w:rPr>
                  </w:pPr>
                  <w:r>
                    <w:rPr>
                      <w:rFonts w:hint="eastAsia"/>
                      <w:color w:val="auto"/>
                      <w:highlight w:val="none"/>
                      <w:lang w:val="en-US" w:eastAsia="zh-CN"/>
                    </w:rPr>
                    <w:t>400</w:t>
                  </w:r>
                </w:p>
              </w:tc>
              <w:tc>
                <w:tcPr>
                  <w:tcW w:w="677" w:type="dxa"/>
                  <w:tcBorders>
                    <w:tl2br w:val="nil"/>
                    <w:tr2bl w:val="nil"/>
                  </w:tcBorders>
                  <w:shd w:val="clear" w:color="auto" w:fill="auto"/>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55" w:type="dxa"/>
                  <w:tcBorders>
                    <w:tl2br w:val="nil"/>
                    <w:tr2bl w:val="nil"/>
                  </w:tcBorders>
                  <w:shd w:val="clear" w:color="auto" w:fill="auto"/>
                  <w:vAlign w:val="center"/>
                </w:tcPr>
                <w:p>
                  <w:pPr>
                    <w:pStyle w:val="34"/>
                    <w:bidi w:val="0"/>
                    <w:ind w:left="0" w:leftChars="0" w:firstLine="0" w:firstLineChars="0"/>
                    <w:rPr>
                      <w:rFonts w:hint="eastAsia" w:ascii="Times New Roman" w:hAnsi="Times New Roman" w:eastAsia="宋体" w:cstheme="minorBidi"/>
                      <w:color w:val="auto"/>
                      <w:kern w:val="2"/>
                      <w:sz w:val="18"/>
                      <w:szCs w:val="18"/>
                      <w:highlight w:val="none"/>
                      <w:lang w:val="en-US" w:eastAsia="zh-CN" w:bidi="ar-SA"/>
                    </w:rPr>
                  </w:pPr>
                  <w:r>
                    <w:rPr>
                      <w:rFonts w:hint="eastAsia"/>
                      <w:color w:val="auto"/>
                      <w:highlight w:val="none"/>
                      <w:lang w:val="en-US" w:eastAsia="zh-CN"/>
                    </w:rPr>
                    <w:t>铁</w:t>
                  </w:r>
                </w:p>
              </w:tc>
              <w:tc>
                <w:tcPr>
                  <w:tcW w:w="1212" w:type="dxa"/>
                  <w:tcBorders>
                    <w:tl2br w:val="nil"/>
                    <w:tr2bl w:val="nil"/>
                  </w:tcBorders>
                  <w:shd w:val="clear" w:color="auto" w:fill="auto"/>
                  <w:vAlign w:val="center"/>
                </w:tcPr>
                <w:p>
                  <w:pPr>
                    <w:pStyle w:val="34"/>
                    <w:bidi w:val="0"/>
                    <w:ind w:left="0" w:leftChars="0" w:firstLine="0" w:firstLineChars="0"/>
                    <w:rPr>
                      <w:rFonts w:hint="default" w:eastAsia="宋体"/>
                      <w:color w:val="auto"/>
                      <w:highlight w:val="none"/>
                      <w:lang w:val="en-US" w:eastAsia="zh-CN"/>
                    </w:rPr>
                  </w:pPr>
                  <m:oMath>
                    <m:r>
                      <m:rPr>
                        <m:sty m:val="p"/>
                      </m:rPr>
                      <w:rPr>
                        <w:rFonts w:hint="eastAsia" w:ascii="Times New Roman" w:hAnsi="Times New Roman"/>
                        <w:color w:val="auto"/>
                        <w:highlight w:val="none"/>
                        <w:lang w:val="en-US" w:eastAsia="zh-CN"/>
                      </w:rPr>
                      <m:t>&lt;</m:t>
                    </m:r>
                  </m:oMath>
                  <w:r>
                    <w:rPr>
                      <w:rFonts w:hint="eastAsia"/>
                      <w:color w:val="auto"/>
                      <w:highlight w:val="none"/>
                      <w:lang w:val="en-US" w:eastAsia="zh-CN"/>
                    </w:rPr>
                    <w:t>0.03</w:t>
                  </w:r>
                </w:p>
              </w:tc>
              <w:tc>
                <w:tcPr>
                  <w:tcW w:w="1234" w:type="dxa"/>
                  <w:tcBorders>
                    <w:tl2br w:val="nil"/>
                    <w:tr2bl w:val="nil"/>
                  </w:tcBorders>
                  <w:shd w:val="clear" w:color="auto" w:fill="auto"/>
                  <w:vAlign w:val="center"/>
                </w:tcPr>
                <w:p>
                  <w:pPr>
                    <w:pStyle w:val="34"/>
                    <w:bidi w:val="0"/>
                    <w:ind w:left="0" w:leftChars="0" w:firstLine="0" w:firstLineChars="0"/>
                    <w:rPr>
                      <w:rFonts w:hint="default"/>
                      <w:color w:val="auto"/>
                      <w:highlight w:val="none"/>
                    </w:rPr>
                  </w:pPr>
                  <m:oMath>
                    <m:r>
                      <m:rPr>
                        <m:sty m:val="p"/>
                      </m:rPr>
                      <w:rPr>
                        <w:rFonts w:hint="eastAsia" w:ascii="Times New Roman" w:hAnsi="Times New Roman"/>
                        <w:color w:val="auto"/>
                        <w:highlight w:val="none"/>
                        <w:lang w:val="en-US" w:eastAsia="zh-CN"/>
                      </w:rPr>
                      <m:t>&lt;</m:t>
                    </m:r>
                  </m:oMath>
                  <w:r>
                    <w:rPr>
                      <w:rFonts w:hint="eastAsia"/>
                      <w:color w:val="auto"/>
                      <w:highlight w:val="none"/>
                      <w:lang w:val="en-US" w:eastAsia="zh-CN"/>
                    </w:rPr>
                    <w:t>0.03</w:t>
                  </w:r>
                </w:p>
              </w:tc>
              <w:tc>
                <w:tcPr>
                  <w:tcW w:w="1223" w:type="dxa"/>
                  <w:tcBorders>
                    <w:tl2br w:val="nil"/>
                    <w:tr2bl w:val="nil"/>
                  </w:tcBorders>
                  <w:shd w:val="clear" w:color="auto" w:fill="auto"/>
                  <w:vAlign w:val="center"/>
                </w:tcPr>
                <w:p>
                  <w:pPr>
                    <w:pStyle w:val="34"/>
                    <w:bidi w:val="0"/>
                    <w:ind w:left="0" w:leftChars="0" w:firstLine="0" w:firstLineChars="0"/>
                    <w:rPr>
                      <w:rFonts w:hint="default"/>
                      <w:color w:val="auto"/>
                      <w:highlight w:val="none"/>
                    </w:rPr>
                  </w:pPr>
                  <m:oMath>
                    <m:r>
                      <m:rPr>
                        <m:sty m:val="p"/>
                      </m:rPr>
                      <w:rPr>
                        <w:rFonts w:hint="eastAsia" w:ascii="Times New Roman" w:hAnsi="Times New Roman"/>
                        <w:color w:val="auto"/>
                        <w:highlight w:val="none"/>
                        <w:lang w:val="en-US" w:eastAsia="zh-CN"/>
                      </w:rPr>
                      <m:t>&lt;</m:t>
                    </m:r>
                  </m:oMath>
                  <w:r>
                    <w:rPr>
                      <w:rFonts w:hint="eastAsia"/>
                      <w:color w:val="auto"/>
                      <w:highlight w:val="none"/>
                      <w:lang w:val="en-US" w:eastAsia="zh-CN"/>
                    </w:rPr>
                    <w:t>0.03</w:t>
                  </w:r>
                </w:p>
              </w:tc>
              <w:tc>
                <w:tcPr>
                  <w:tcW w:w="1085" w:type="dxa"/>
                  <w:tcBorders>
                    <w:tl2br w:val="nil"/>
                    <w:tr2bl w:val="nil"/>
                  </w:tcBorders>
                  <w:shd w:val="clear" w:color="auto" w:fill="auto"/>
                  <w:vAlign w:val="center"/>
                </w:tcPr>
                <w:p>
                  <w:pPr>
                    <w:pStyle w:val="34"/>
                    <w:bidi w:val="0"/>
                    <w:ind w:left="0" w:leftChars="0" w:firstLine="0" w:firstLineChars="0"/>
                    <w:rPr>
                      <w:rFonts w:hint="eastAsia" w:eastAsia="宋体"/>
                      <w:color w:val="auto"/>
                      <w:highlight w:val="none"/>
                      <w:lang w:val="en-US" w:eastAsia="zh-CN"/>
                    </w:rPr>
                  </w:pPr>
                  <m:oMath>
                    <m:r>
                      <m:rPr>
                        <m:sty m:val="p"/>
                      </m:rPr>
                      <w:rPr>
                        <w:rFonts w:hint="eastAsia" w:ascii="Times New Roman" w:hAnsi="Times New Roman"/>
                        <w:color w:val="auto"/>
                        <w:highlight w:val="none"/>
                        <w:lang w:val="en-US" w:eastAsia="zh-CN"/>
                      </w:rPr>
                      <m:t>&lt;</m:t>
                    </m:r>
                  </m:oMath>
                  <w:r>
                    <w:rPr>
                      <w:rFonts w:hint="eastAsia"/>
                      <w:color w:val="auto"/>
                      <w:highlight w:val="none"/>
                      <w:lang w:val="en-US" w:eastAsia="zh-CN"/>
                    </w:rPr>
                    <w:t>0.03</w:t>
                  </w:r>
                </w:p>
              </w:tc>
              <w:tc>
                <w:tcPr>
                  <w:tcW w:w="946" w:type="dxa"/>
                  <w:tcBorders>
                    <w:tl2br w:val="nil"/>
                    <w:tr2bl w:val="nil"/>
                  </w:tcBorders>
                  <w:shd w:val="clear" w:color="auto" w:fill="auto"/>
                  <w:vAlign w:val="center"/>
                </w:tcPr>
                <w:p>
                  <w:pPr>
                    <w:pStyle w:val="34"/>
                    <w:bidi w:val="0"/>
                    <w:ind w:left="0" w:leftChars="0" w:firstLine="0" w:firstLineChars="0"/>
                    <w:rPr>
                      <w:rFonts w:hint="default" w:ascii="Times New Roman" w:hAnsi="Times New Roman" w:eastAsia="宋体" w:cstheme="minorBidi"/>
                      <w:color w:val="auto"/>
                      <w:kern w:val="2"/>
                      <w:sz w:val="18"/>
                      <w:szCs w:val="18"/>
                      <w:highlight w:val="none"/>
                      <w:lang w:val="en-US" w:eastAsia="zh-CN" w:bidi="ar-SA"/>
                    </w:rPr>
                  </w:pPr>
                  <w:r>
                    <w:rPr>
                      <w:rFonts w:hint="eastAsia"/>
                      <w:color w:val="auto"/>
                      <w:highlight w:val="none"/>
                      <w:lang w:val="en-US" w:eastAsia="zh-CN"/>
                    </w:rPr>
                    <w:t>0.5</w:t>
                  </w:r>
                </w:p>
              </w:tc>
              <w:tc>
                <w:tcPr>
                  <w:tcW w:w="677" w:type="dxa"/>
                  <w:tcBorders>
                    <w:tl2br w:val="nil"/>
                    <w:tr2bl w:val="nil"/>
                  </w:tcBorders>
                  <w:shd w:val="clear" w:color="auto" w:fill="auto"/>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732" w:type="dxa"/>
                  <w:gridSpan w:val="7"/>
                  <w:tcBorders>
                    <w:tl2br w:val="nil"/>
                    <w:tr2bl w:val="nil"/>
                  </w:tcBorders>
                  <w:shd w:val="clear" w:color="auto" w:fill="auto"/>
                  <w:vAlign w:val="center"/>
                </w:tcPr>
                <w:p>
                  <w:pPr>
                    <w:pStyle w:val="34"/>
                    <w:bidi w:val="0"/>
                    <w:ind w:left="0" w:leftChars="0" w:firstLine="0" w:firstLineChars="0"/>
                    <w:jc w:val="left"/>
                    <w:rPr>
                      <w:rFonts w:hint="eastAsia"/>
                      <w:color w:val="auto"/>
                      <w:highlight w:val="none"/>
                      <w:lang w:val="en-US" w:eastAsia="zh-CN"/>
                    </w:rPr>
                  </w:pPr>
                  <w:r>
                    <w:rPr>
                      <w:rFonts w:hint="eastAsia"/>
                      <w:color w:val="auto"/>
                      <w:highlight w:val="none"/>
                      <w:lang w:val="en-US" w:eastAsia="zh-CN"/>
                    </w:rPr>
                    <w:t>当检测结果低于方法检出限时，报项目的检出限并加“&lt;”或“未检出”表示。</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color w:val="auto"/>
                <w:highlight w:val="none"/>
                <w:lang w:val="en-US" w:eastAsia="zh-CN"/>
              </w:rPr>
            </w:pPr>
            <w:r>
              <w:rPr>
                <w:rFonts w:hint="eastAsia"/>
                <w:color w:val="auto"/>
                <w:highlight w:val="none"/>
                <w:lang w:val="en-US" w:eastAsia="zh-CN"/>
              </w:rPr>
              <w:t>根据上表检测结果，本项目生产废水依托该生产废水深度水处理站进行处理后回用是可行的。</w:t>
            </w:r>
          </w:p>
          <w:p>
            <w:pPr>
              <w:keepNext w:val="0"/>
              <w:keepLines w:val="0"/>
              <w:widowControl/>
              <w:suppressLineNumbers w:val="0"/>
              <w:jc w:val="left"/>
              <w:rPr>
                <w:rFonts w:hint="default"/>
                <w:color w:val="auto"/>
                <w:highlight w:val="none"/>
                <w:lang w:val="en-US"/>
              </w:rPr>
            </w:pPr>
            <w:r>
              <w:rPr>
                <w:rFonts w:hint="eastAsia"/>
                <w:color w:val="auto"/>
                <w:highlight w:val="none"/>
                <w:lang w:val="en-US" w:eastAsia="zh-CN"/>
              </w:rPr>
              <w:t>综上所述，本项目</w:t>
            </w:r>
            <w:r>
              <w:rPr>
                <w:rFonts w:hint="default"/>
                <w:color w:val="auto"/>
                <w:highlight w:val="none"/>
                <w:lang w:val="en-US" w:eastAsia="zh-CN"/>
              </w:rPr>
              <w:t>循环</w:t>
            </w:r>
            <w:r>
              <w:rPr>
                <w:rFonts w:hint="eastAsia"/>
                <w:color w:val="auto"/>
                <w:highlight w:val="none"/>
                <w:lang w:val="en-US" w:eastAsia="zh-CN"/>
              </w:rPr>
              <w:t>冷却</w:t>
            </w:r>
            <w:r>
              <w:rPr>
                <w:rFonts w:hint="default"/>
                <w:color w:val="auto"/>
                <w:highlight w:val="none"/>
                <w:lang w:val="en-US" w:eastAsia="zh-CN"/>
              </w:rPr>
              <w:t>系统排</w:t>
            </w:r>
            <w:r>
              <w:rPr>
                <w:rFonts w:hint="eastAsia"/>
                <w:color w:val="auto"/>
                <w:highlight w:val="none"/>
                <w:lang w:val="en-US" w:eastAsia="zh-CN"/>
              </w:rPr>
              <w:t>污</w:t>
            </w:r>
            <w:r>
              <w:rPr>
                <w:rFonts w:hint="default"/>
                <w:color w:val="auto"/>
                <w:highlight w:val="none"/>
                <w:lang w:val="en-US" w:eastAsia="zh-CN"/>
              </w:rPr>
              <w:t>水</w:t>
            </w:r>
            <w:r>
              <w:rPr>
                <w:rFonts w:hint="eastAsia"/>
                <w:color w:val="auto"/>
                <w:highlight w:val="none"/>
                <w:lang w:val="en-US" w:eastAsia="zh-CN"/>
              </w:rPr>
              <w:t>依托易门铜业有限公司已建废水处理站处理后回用于</w:t>
            </w:r>
            <w:r>
              <w:rPr>
                <w:rFonts w:hint="eastAsia"/>
                <w:color w:val="auto"/>
                <w:spacing w:val="12"/>
                <w:highlight w:val="none"/>
                <w:lang w:val="en-US" w:eastAsia="zh-CN"/>
              </w:rPr>
              <w:t>易门铜业有限公司冶炼渣缓冷场</w:t>
            </w:r>
            <w:r>
              <w:rPr>
                <w:rFonts w:hint="eastAsia"/>
                <w:color w:val="auto"/>
                <w:highlight w:val="none"/>
                <w:lang w:val="en-US" w:eastAsia="zh-CN"/>
              </w:rPr>
              <w:t>是合理可行的。</w:t>
            </w:r>
          </w:p>
          <w:p>
            <w:pPr>
              <w:bidi w:val="0"/>
              <w:rPr>
                <w:rFonts w:hint="default"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3、废水非正常排放环境影响分析</w:t>
            </w:r>
          </w:p>
          <w:p>
            <w:pPr>
              <w:bidi w:val="0"/>
              <w:rPr>
                <w:rFonts w:hint="eastAsia" w:eastAsia="宋体"/>
                <w:color w:val="auto"/>
                <w:highlight w:val="none"/>
                <w:lang w:val="en-US" w:eastAsia="zh-CN"/>
              </w:rPr>
            </w:pPr>
            <w:r>
              <w:rPr>
                <w:rFonts w:hint="eastAsia"/>
                <w:color w:val="auto"/>
                <w:highlight w:val="none"/>
                <w:lang w:val="en-US" w:eastAsia="zh-CN"/>
              </w:rPr>
              <w:t>本项目运营期废水非正常排放情况包括：循环水池池体破损、排水管道破裂、深度水处理站故障或检修等，若上述情形发生将会造成高温废水或含盐废水未经处理直接排放至周边环境，废水的直接外排会对厂区及周边土壤环境、地表水环境造成污染。为了防止废水非正常排放污染周边环境，易门铜业有限公司已设置截流沟和事故水池导流并暂存事故废水。根据建设单位提供的资料，易门铜业有限公司厂区内已设置容积为1900m</w:t>
            </w:r>
            <w:r>
              <w:rPr>
                <w:rFonts w:hint="eastAsia"/>
                <w:color w:val="auto"/>
                <w:highlight w:val="none"/>
                <w:vertAlign w:val="superscript"/>
                <w:lang w:val="en-US" w:eastAsia="zh-CN"/>
              </w:rPr>
              <w:t>3</w:t>
            </w:r>
            <w:r>
              <w:rPr>
                <w:rFonts w:hint="eastAsia"/>
                <w:color w:val="auto"/>
                <w:highlight w:val="none"/>
                <w:lang w:val="en-US" w:eastAsia="zh-CN"/>
              </w:rPr>
              <w:t>的事故水池，项目事故水池容积可满足事故状态废水收集要求；此外，建设单位已针对可能产生的废液、废水事故排放情况设立三级应急防控体系，项目区地面按照要求采取分区防渗措施，</w:t>
            </w:r>
            <w:r>
              <w:rPr>
                <w:rFonts w:ascii="Segoe UI" w:hAnsi="Segoe UI" w:eastAsia="Segoe UI" w:cs="Segoe UI"/>
                <w:i w:val="0"/>
                <w:iCs w:val="0"/>
                <w:caps w:val="0"/>
                <w:color w:val="auto"/>
                <w:spacing w:val="0"/>
                <w:sz w:val="24"/>
                <w:szCs w:val="24"/>
                <w:highlight w:val="none"/>
                <w:shd w:val="clear" w:fill="FFFFFF"/>
              </w:rPr>
              <w:t>发生事故时，事故废水进入事故应急池暂存，确保事故废水未经处理不得出厂界。事后</w:t>
            </w:r>
            <w:r>
              <w:rPr>
                <w:rFonts w:hint="eastAsia" w:ascii="Segoe UI" w:hAnsi="Segoe UI" w:eastAsia="宋体" w:cs="Segoe UI"/>
                <w:i w:val="0"/>
                <w:iCs w:val="0"/>
                <w:caps w:val="0"/>
                <w:color w:val="auto"/>
                <w:spacing w:val="0"/>
                <w:sz w:val="24"/>
                <w:szCs w:val="24"/>
                <w:highlight w:val="none"/>
                <w:shd w:val="clear" w:fill="FFFFFF"/>
                <w:lang w:val="en-US" w:eastAsia="zh-CN"/>
              </w:rPr>
              <w:t>将</w:t>
            </w:r>
            <w:r>
              <w:rPr>
                <w:rFonts w:ascii="Segoe UI" w:hAnsi="Segoe UI" w:eastAsia="Segoe UI" w:cs="Segoe UI"/>
                <w:i w:val="0"/>
                <w:iCs w:val="0"/>
                <w:caps w:val="0"/>
                <w:color w:val="auto"/>
                <w:spacing w:val="0"/>
                <w:sz w:val="24"/>
                <w:szCs w:val="24"/>
                <w:highlight w:val="none"/>
                <w:shd w:val="clear" w:fill="FFFFFF"/>
              </w:rPr>
              <w:t>事故水池中</w:t>
            </w:r>
            <w:r>
              <w:rPr>
                <w:rFonts w:hint="eastAsia" w:ascii="Segoe UI" w:hAnsi="Segoe UI" w:eastAsia="宋体" w:cs="Segoe UI"/>
                <w:i w:val="0"/>
                <w:iCs w:val="0"/>
                <w:caps w:val="0"/>
                <w:color w:val="auto"/>
                <w:spacing w:val="0"/>
                <w:sz w:val="24"/>
                <w:szCs w:val="24"/>
                <w:highlight w:val="none"/>
                <w:shd w:val="clear" w:fill="FFFFFF"/>
                <w:lang w:val="en-US" w:eastAsia="zh-CN"/>
              </w:rPr>
              <w:t>的</w:t>
            </w:r>
            <w:r>
              <w:rPr>
                <w:rFonts w:ascii="Segoe UI" w:hAnsi="Segoe UI" w:eastAsia="Segoe UI" w:cs="Segoe UI"/>
                <w:i w:val="0"/>
                <w:iCs w:val="0"/>
                <w:caps w:val="0"/>
                <w:color w:val="auto"/>
                <w:spacing w:val="0"/>
                <w:sz w:val="24"/>
                <w:szCs w:val="24"/>
                <w:highlight w:val="none"/>
                <w:shd w:val="clear" w:fill="FFFFFF"/>
              </w:rPr>
              <w:t>废水</w:t>
            </w:r>
            <w:r>
              <w:rPr>
                <w:rFonts w:hint="eastAsia" w:ascii="Segoe UI" w:hAnsi="Segoe UI" w:eastAsia="宋体" w:cs="Segoe UI"/>
                <w:i w:val="0"/>
                <w:iCs w:val="0"/>
                <w:caps w:val="0"/>
                <w:color w:val="auto"/>
                <w:spacing w:val="0"/>
                <w:sz w:val="24"/>
                <w:szCs w:val="24"/>
                <w:highlight w:val="none"/>
                <w:shd w:val="clear" w:fill="FFFFFF"/>
                <w:lang w:val="en-US" w:eastAsia="zh-CN"/>
              </w:rPr>
              <w:t>导入废水处理站</w:t>
            </w:r>
            <w:r>
              <w:rPr>
                <w:rFonts w:ascii="Segoe UI" w:hAnsi="Segoe UI" w:eastAsia="Segoe UI" w:cs="Segoe UI"/>
                <w:i w:val="0"/>
                <w:iCs w:val="0"/>
                <w:caps w:val="0"/>
                <w:color w:val="auto"/>
                <w:spacing w:val="0"/>
                <w:sz w:val="24"/>
                <w:szCs w:val="24"/>
                <w:highlight w:val="none"/>
                <w:shd w:val="clear" w:fill="FFFFFF"/>
              </w:rPr>
              <w:t>处理后回用，杜绝事故废水外排</w:t>
            </w:r>
            <w:r>
              <w:rPr>
                <w:rFonts w:hint="eastAsia" w:ascii="Segoe UI" w:hAnsi="Segoe UI" w:eastAsia="宋体" w:cs="Segoe UI"/>
                <w:i w:val="0"/>
                <w:iCs w:val="0"/>
                <w:caps w:val="0"/>
                <w:color w:val="auto"/>
                <w:spacing w:val="0"/>
                <w:sz w:val="24"/>
                <w:szCs w:val="24"/>
                <w:highlight w:val="none"/>
                <w:shd w:val="clear" w:fill="FFFFFF"/>
                <w:lang w:eastAsia="zh-CN"/>
              </w:rPr>
              <w:t>。</w:t>
            </w:r>
          </w:p>
          <w:p>
            <w:pPr>
              <w:bidi w:val="0"/>
              <w:rPr>
                <w:rFonts w:hint="eastAsia"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4、废水监测计划</w:t>
            </w:r>
          </w:p>
          <w:p>
            <w:pPr>
              <w:bidi w:val="0"/>
              <w:rPr>
                <w:rFonts w:hint="default" w:ascii="黑体" w:hAnsi="黑体" w:eastAsia="黑体" w:cs="黑体"/>
                <w:color w:val="auto"/>
                <w:highlight w:val="none"/>
                <w:lang w:val="en-US" w:eastAsia="zh-CN"/>
              </w:rPr>
            </w:pPr>
            <w:r>
              <w:rPr>
                <w:rFonts w:hint="eastAsia"/>
                <w:color w:val="auto"/>
                <w:highlight w:val="none"/>
                <w:lang w:val="en-US" w:eastAsia="zh-CN"/>
              </w:rPr>
              <w:t>本项目运营期废水经处理后全部回用，不外排，无需制定运营期废水监测计划。</w:t>
            </w:r>
          </w:p>
          <w:p>
            <w:pPr>
              <w:keepNext w:val="0"/>
              <w:keepLines w:val="0"/>
              <w:pageBreakBefore w:val="0"/>
              <w:widowControl w:val="0"/>
              <w:kinsoku/>
              <w:wordWrap/>
              <w:overflowPunct/>
              <w:topLinePunct w:val="0"/>
              <w:autoSpaceDE/>
              <w:autoSpaceDN/>
              <w:bidi w:val="0"/>
              <w:adjustRightInd/>
              <w:snapToGrid/>
              <w:spacing w:before="95" w:beforeLines="30"/>
              <w:textAlignment w:val="auto"/>
              <w:rPr>
                <w:rFonts w:hint="eastAsia" w:ascii="黑体" w:hAnsi="黑体" w:eastAsia="黑体" w:cs="黑体"/>
                <w:color w:val="auto"/>
                <w:highlight w:val="none"/>
              </w:rPr>
            </w:pPr>
            <w:r>
              <w:rPr>
                <w:rFonts w:hint="eastAsia" w:ascii="黑体" w:hAnsi="黑体" w:eastAsia="黑体" w:cs="黑体"/>
                <w:color w:val="auto"/>
                <w:highlight w:val="none"/>
                <w:lang w:val="en-US" w:eastAsia="zh-CN"/>
              </w:rPr>
              <w:t>5、废水环境影响分析结论</w:t>
            </w:r>
          </w:p>
          <w:p>
            <w:pPr>
              <w:bidi w:val="0"/>
              <w:rPr>
                <w:rFonts w:hint="default"/>
                <w:color w:val="auto"/>
                <w:highlight w:val="none"/>
                <w:lang w:val="en-US" w:eastAsia="zh-CN"/>
              </w:rPr>
            </w:pPr>
            <w:r>
              <w:rPr>
                <w:rFonts w:hint="eastAsia"/>
                <w:color w:val="auto"/>
                <w:highlight w:val="none"/>
                <w:lang w:val="en-US" w:eastAsia="zh-CN"/>
              </w:rPr>
              <w:t>综上分析，本项目运营期废水（生活污水、生产废水）经处理达标后全部回用，不外排，对周边地表水环境影响较小。</w:t>
            </w:r>
          </w:p>
          <w:p>
            <w:pPr>
              <w:bidi w:val="0"/>
              <w:rPr>
                <w:rFonts w:hint="eastAsia"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（三）噪声</w:t>
            </w:r>
          </w:p>
          <w:p>
            <w:pPr>
              <w:bidi w:val="0"/>
              <w:rPr>
                <w:rFonts w:hint="default"/>
                <w:b/>
                <w:bCs/>
                <w:color w:val="auto"/>
                <w:highlight w:val="none"/>
                <w:lang w:val="en-US" w:eastAsia="zh-CN"/>
              </w:rPr>
            </w:pPr>
            <w:r>
              <w:rPr>
                <w:rFonts w:hint="eastAsia" w:ascii="黑体" w:hAnsi="黑体" w:eastAsia="黑体" w:cs="黑体"/>
                <w:color w:val="auto"/>
                <w:highlight w:val="none"/>
                <w:lang w:val="en-US" w:eastAsia="zh-CN"/>
              </w:rPr>
              <w:t>1、噪声源强</w:t>
            </w:r>
          </w:p>
          <w:p>
            <w:pPr>
              <w:bidi w:val="0"/>
              <w:rPr>
                <w:rFonts w:hint="default"/>
                <w:color w:val="auto"/>
                <w:highlight w:val="none"/>
                <w:lang w:val="en-US" w:eastAsia="zh-CN"/>
              </w:rPr>
            </w:pPr>
            <w:r>
              <w:rPr>
                <w:rFonts w:hint="default"/>
                <w:color w:val="auto"/>
                <w:highlight w:val="none"/>
                <w:lang w:val="en-US" w:eastAsia="zh-CN"/>
              </w:rPr>
              <w:t>运营期主要噪声源为新建制氧装置的动力设备及辅助设备，包括离心鼓风机、离心真空泵、各类水泵、起重机</w:t>
            </w:r>
            <w:r>
              <w:rPr>
                <w:rFonts w:hint="eastAsia"/>
                <w:color w:val="auto"/>
                <w:highlight w:val="none"/>
                <w:lang w:val="en-US" w:eastAsia="zh-CN"/>
              </w:rPr>
              <w:t>以及排气噪声</w:t>
            </w:r>
            <w:r>
              <w:rPr>
                <w:rFonts w:hint="default"/>
                <w:color w:val="auto"/>
                <w:highlight w:val="none"/>
                <w:lang w:val="en-US" w:eastAsia="zh-CN"/>
              </w:rPr>
              <w:t>等</w:t>
            </w:r>
            <w:r>
              <w:rPr>
                <w:rFonts w:hint="eastAsia"/>
                <w:color w:val="auto"/>
                <w:highlight w:val="none"/>
                <w:lang w:val="en-US" w:eastAsia="zh-CN"/>
              </w:rPr>
              <w:t>。项目</w:t>
            </w:r>
            <w:r>
              <w:rPr>
                <w:rFonts w:hint="default"/>
                <w:color w:val="auto"/>
                <w:highlight w:val="none"/>
                <w:lang w:val="en-US" w:eastAsia="zh-CN"/>
              </w:rPr>
              <w:t>噪声源强</w:t>
            </w:r>
            <w:r>
              <w:rPr>
                <w:rFonts w:hint="eastAsia"/>
                <w:color w:val="auto"/>
                <w:highlight w:val="none"/>
                <w:lang w:val="en-US" w:eastAsia="zh-CN"/>
              </w:rPr>
              <w:t>详见下表</w:t>
            </w:r>
            <w:r>
              <w:rPr>
                <w:rFonts w:hint="default"/>
                <w:color w:val="auto"/>
                <w:highlight w:val="none"/>
                <w:lang w:val="en-US" w:eastAsia="zh-CN"/>
              </w:rPr>
              <w:t>。</w:t>
            </w:r>
          </w:p>
          <w:p>
            <w:pPr>
              <w:bidi w:val="0"/>
              <w:rPr>
                <w:rFonts w:hint="default"/>
                <w:color w:val="auto"/>
                <w:highlight w:val="none"/>
                <w:lang w:val="en-US" w:eastAsia="zh-CN"/>
              </w:rPr>
            </w:pPr>
          </w:p>
          <w:p>
            <w:pPr>
              <w:bidi w:val="0"/>
              <w:rPr>
                <w:rFonts w:hint="default"/>
                <w:color w:val="auto"/>
                <w:highlight w:val="none"/>
                <w:lang w:val="en-US" w:eastAsia="zh-CN"/>
              </w:rPr>
            </w:pPr>
          </w:p>
          <w:p>
            <w:pPr>
              <w:bidi w:val="0"/>
              <w:rPr>
                <w:rFonts w:hint="default"/>
                <w:color w:val="auto"/>
                <w:highlight w:val="none"/>
                <w:lang w:val="en-US" w:eastAsia="zh-CN"/>
              </w:rPr>
            </w:pPr>
          </w:p>
          <w:p>
            <w:pPr>
              <w:bidi w:val="0"/>
              <w:rPr>
                <w:rFonts w:hint="default"/>
                <w:color w:val="auto"/>
                <w:highlight w:val="none"/>
                <w:lang w:val="en-US" w:eastAsia="zh-CN"/>
              </w:rPr>
            </w:pPr>
          </w:p>
          <w:p>
            <w:pPr>
              <w:bidi w:val="0"/>
              <w:rPr>
                <w:rFonts w:hint="default"/>
                <w:color w:val="auto"/>
                <w:highlight w:val="none"/>
                <w:lang w:val="en-US" w:eastAsia="zh-CN"/>
              </w:rPr>
            </w:pPr>
          </w:p>
          <w:p>
            <w:pPr>
              <w:bidi w:val="0"/>
              <w:rPr>
                <w:rFonts w:hint="default"/>
                <w:color w:val="auto"/>
                <w:highlight w:val="none"/>
                <w:lang w:val="en-US" w:eastAsia="zh-CN"/>
              </w:rPr>
            </w:pPr>
          </w:p>
          <w:p>
            <w:pPr>
              <w:bidi w:val="0"/>
              <w:rPr>
                <w:rFonts w:hint="default"/>
                <w:color w:val="auto"/>
                <w:highlight w:val="none"/>
                <w:lang w:val="en-US" w:eastAsia="zh-CN"/>
              </w:rPr>
            </w:pPr>
          </w:p>
          <w:p>
            <w:pPr>
              <w:bidi w:val="0"/>
              <w:rPr>
                <w:rFonts w:hint="default"/>
                <w:color w:val="auto"/>
                <w:highlight w:val="none"/>
                <w:lang w:val="en-US" w:eastAsia="zh-CN"/>
              </w:rPr>
            </w:pPr>
          </w:p>
          <w:p>
            <w:pPr>
              <w:bidi w:val="0"/>
              <w:rPr>
                <w:rFonts w:hint="default"/>
                <w:color w:val="auto"/>
                <w:highlight w:val="none"/>
                <w:lang w:val="en-US" w:eastAsia="zh-CN"/>
              </w:rPr>
            </w:pPr>
          </w:p>
          <w:p>
            <w:pPr>
              <w:bidi w:val="0"/>
              <w:rPr>
                <w:rFonts w:hint="default"/>
                <w:color w:val="auto"/>
                <w:highlight w:val="none"/>
                <w:lang w:val="en-US" w:eastAsia="zh-CN"/>
              </w:rPr>
            </w:pPr>
          </w:p>
          <w:p>
            <w:pPr>
              <w:bidi w:val="0"/>
              <w:ind w:left="0" w:leftChars="0" w:firstLine="0" w:firstLineChars="0"/>
              <w:rPr>
                <w:rFonts w:hint="default"/>
                <w:color w:val="auto"/>
                <w:highlight w:val="none"/>
                <w:lang w:val="en-US" w:eastAsia="zh-CN"/>
              </w:rPr>
            </w:pPr>
          </w:p>
          <w:p>
            <w:pPr>
              <w:bidi w:val="0"/>
              <w:ind w:left="0" w:leftChars="0" w:firstLine="0" w:firstLineChars="0"/>
              <w:rPr>
                <w:rFonts w:hint="default"/>
                <w:color w:val="auto"/>
                <w:highlight w:val="none"/>
                <w:lang w:val="en-US" w:eastAsia="zh-CN"/>
              </w:rPr>
            </w:pPr>
          </w:p>
          <w:p>
            <w:pPr>
              <w:bidi w:val="0"/>
              <w:ind w:left="0" w:leftChars="0" w:firstLine="0" w:firstLineChars="0"/>
              <w:rPr>
                <w:rFonts w:hint="default"/>
                <w:color w:val="auto"/>
                <w:highlight w:val="none"/>
                <w:lang w:val="en-US" w:eastAsia="zh-CN"/>
              </w:rPr>
            </w:pPr>
          </w:p>
          <w:p>
            <w:pPr>
              <w:bidi w:val="0"/>
              <w:ind w:left="0" w:leftChars="0" w:firstLine="0" w:firstLineChars="0"/>
              <w:rPr>
                <w:rFonts w:hint="default"/>
                <w:color w:val="auto"/>
                <w:highlight w:val="none"/>
                <w:lang w:val="en-US" w:eastAsia="zh-CN"/>
              </w:rPr>
            </w:pPr>
          </w:p>
          <w:p>
            <w:pPr>
              <w:bidi w:val="0"/>
              <w:ind w:left="0" w:leftChars="0" w:firstLine="0" w:firstLineChars="0"/>
              <w:rPr>
                <w:rFonts w:hint="default"/>
                <w:color w:val="auto"/>
                <w:highlight w:val="none"/>
                <w:lang w:val="en-US" w:eastAsia="zh-CN"/>
              </w:rPr>
            </w:pPr>
          </w:p>
          <w:p>
            <w:pPr>
              <w:bidi w:val="0"/>
              <w:ind w:left="0" w:leftChars="0" w:firstLine="0" w:firstLineChars="0"/>
              <w:rPr>
                <w:rFonts w:hint="default"/>
                <w:color w:val="auto"/>
                <w:highlight w:val="none"/>
                <w:lang w:val="en-US" w:eastAsia="zh-CN"/>
              </w:rPr>
            </w:pPr>
          </w:p>
          <w:p>
            <w:pPr>
              <w:bidi w:val="0"/>
              <w:ind w:left="0" w:leftChars="0" w:firstLine="0" w:firstLineChars="0"/>
              <w:rPr>
                <w:rFonts w:hint="default"/>
                <w:color w:val="auto"/>
                <w:highlight w:val="none"/>
                <w:lang w:val="en-US" w:eastAsia="zh-CN"/>
              </w:rPr>
            </w:pPr>
          </w:p>
        </w:tc>
      </w:tr>
    </w:tbl>
    <w:p>
      <w:pPr>
        <w:ind w:left="0" w:leftChars="0" w:firstLine="0" w:firstLineChars="0"/>
        <w:rPr>
          <w:rFonts w:hint="eastAsia"/>
          <w:color w:val="auto"/>
          <w:highlight w:val="none"/>
          <w:lang w:val="en-US" w:eastAsia="zh-CN"/>
        </w:rPr>
        <w:sectPr>
          <w:footerReference r:id="rId7" w:type="default"/>
          <w:pgSz w:w="11906" w:h="16838"/>
          <w:pgMar w:top="1440" w:right="1797" w:bottom="1440" w:left="1797" w:header="851" w:footer="992" w:gutter="0"/>
          <w:pgBorders w:offsetFrom="page">
            <w:top w:val="none" w:sz="0" w:space="0"/>
            <w:left w:val="none" w:sz="0" w:space="0"/>
            <w:bottom w:val="none" w:sz="0" w:space="0"/>
            <w:right w:val="none" w:sz="0" w:space="0"/>
          </w:pgBorders>
          <w:pgNumType w:fmt="decimal" w:start="1"/>
          <w:cols w:space="425" w:num="1"/>
          <w:docGrid w:type="lines" w:linePitch="312" w:charSpace="0"/>
        </w:sect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
        <w:gridCol w:w="13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6" w:hRule="atLeast"/>
        </w:trPr>
        <w:tc>
          <w:tcPr>
            <w:tcW w:w="407" w:type="dxa"/>
          </w:tcPr>
          <w:p>
            <w:pPr>
              <w:pStyle w:val="2"/>
              <w:bidi w:val="0"/>
              <w:jc w:val="center"/>
              <w:rPr>
                <w:rFonts w:hint="eastAsia"/>
                <w:color w:val="auto"/>
                <w:highlight w:val="none"/>
                <w:vertAlign w:val="baseline"/>
                <w:lang w:val="en-US" w:eastAsia="zh-CN"/>
              </w:rPr>
            </w:pPr>
          </w:p>
        </w:tc>
        <w:tc>
          <w:tcPr>
            <w:tcW w:w="13767" w:type="dxa"/>
          </w:tcPr>
          <w:p>
            <w:pPr>
              <w:pStyle w:val="35"/>
              <w:bidi w:val="0"/>
              <w:rPr>
                <w:rFonts w:hint="eastAsia"/>
                <w:color w:val="auto"/>
                <w:highlight w:val="none"/>
                <w:lang w:val="en-US" w:eastAsia="zh-CN"/>
              </w:rPr>
            </w:pPr>
            <w:r>
              <w:rPr>
                <w:rFonts w:hint="default"/>
                <w:color w:val="auto"/>
                <w:highlight w:val="none"/>
                <w:lang w:val="zh-CN"/>
              </w:rPr>
              <w:t>表4-</w:t>
            </w:r>
            <w:r>
              <w:rPr>
                <w:rFonts w:hint="eastAsia"/>
                <w:color w:val="auto"/>
                <w:highlight w:val="none"/>
                <w:lang w:val="en-US" w:eastAsia="zh-CN"/>
              </w:rPr>
              <w:t>3</w:t>
            </w:r>
            <w:r>
              <w:rPr>
                <w:rFonts w:hint="default"/>
                <w:color w:val="auto"/>
                <w:highlight w:val="none"/>
              </w:rPr>
              <w:t xml:space="preserve"> </w:t>
            </w:r>
            <w:r>
              <w:rPr>
                <w:rFonts w:hint="default"/>
                <w:color w:val="auto"/>
                <w:highlight w:val="none"/>
                <w:lang w:val="en-US" w:eastAsia="zh-CN"/>
              </w:rPr>
              <w:t xml:space="preserve"> 工业企业噪声源强调查清单（室内声源）</w:t>
            </w:r>
          </w:p>
          <w:tbl>
            <w:tblPr>
              <w:tblStyle w:val="23"/>
              <w:tblW w:w="1356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4"/>
              <w:gridCol w:w="720"/>
              <w:gridCol w:w="1071"/>
              <w:gridCol w:w="483"/>
              <w:gridCol w:w="1175"/>
              <w:gridCol w:w="911"/>
              <w:gridCol w:w="1827"/>
              <w:gridCol w:w="564"/>
              <w:gridCol w:w="652"/>
              <w:gridCol w:w="653"/>
              <w:gridCol w:w="868"/>
              <w:gridCol w:w="922"/>
              <w:gridCol w:w="707"/>
              <w:gridCol w:w="964"/>
              <w:gridCol w:w="900"/>
              <w:gridCol w:w="7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 w:type="pct"/>
                  <w:vMerge w:val="restart"/>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lang w:val="en-US" w:eastAsia="zh-CN"/>
                    </w:rPr>
                    <w:t>序号</w:t>
                  </w:r>
                </w:p>
              </w:tc>
              <w:tc>
                <w:tcPr>
                  <w:tcW w:w="265" w:type="pct"/>
                  <w:vMerge w:val="restart"/>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lang w:val="en-US" w:eastAsia="zh-CN"/>
                    </w:rPr>
                    <w:t>建筑物名称</w:t>
                  </w:r>
                </w:p>
              </w:tc>
              <w:tc>
                <w:tcPr>
                  <w:tcW w:w="394" w:type="pct"/>
                  <w:vMerge w:val="restart"/>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lang w:val="en-US" w:eastAsia="zh-CN"/>
                    </w:rPr>
                    <w:t>声源名称</w:t>
                  </w:r>
                </w:p>
              </w:tc>
              <w:tc>
                <w:tcPr>
                  <w:tcW w:w="178" w:type="pct"/>
                  <w:vMerge w:val="restart"/>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lang w:val="en-US" w:eastAsia="zh-CN"/>
                    </w:rPr>
                    <w:t>型号</w:t>
                  </w:r>
                </w:p>
              </w:tc>
              <w:tc>
                <w:tcPr>
                  <w:tcW w:w="768" w:type="pct"/>
                  <w:gridSpan w:val="2"/>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lang w:val="en-US" w:eastAsia="zh-CN"/>
                    </w:rPr>
                    <w:t>声源源强（任选一种）</w:t>
                  </w:r>
                </w:p>
              </w:tc>
              <w:tc>
                <w:tcPr>
                  <w:tcW w:w="673" w:type="pct"/>
                  <w:vMerge w:val="restart"/>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lang w:val="en-US" w:eastAsia="zh-CN"/>
                    </w:rPr>
                    <w:t>声源控制措施</w:t>
                  </w:r>
                </w:p>
              </w:tc>
              <w:tc>
                <w:tcPr>
                  <w:tcW w:w="688" w:type="pct"/>
                  <w:gridSpan w:val="3"/>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lang w:val="en-US" w:eastAsia="zh-CN"/>
                    </w:rPr>
                    <w:t>空间相对位置/m</w:t>
                  </w:r>
                </w:p>
              </w:tc>
              <w:tc>
                <w:tcPr>
                  <w:tcW w:w="319" w:type="pct"/>
                  <w:vMerge w:val="restar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距室内边界距离/m</w:t>
                  </w:r>
                </w:p>
              </w:tc>
              <w:tc>
                <w:tcPr>
                  <w:tcW w:w="339" w:type="pct"/>
                  <w:vMerge w:val="restar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室内边界声级/dB（A）</w:t>
                  </w:r>
                </w:p>
              </w:tc>
              <w:tc>
                <w:tcPr>
                  <w:tcW w:w="260" w:type="pct"/>
                  <w:vMerge w:val="restart"/>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lang w:val="en-US" w:eastAsia="zh-CN"/>
                    </w:rPr>
                    <w:t>运行</w:t>
                  </w:r>
                </w:p>
                <w:p>
                  <w:pPr>
                    <w:pStyle w:val="34"/>
                    <w:bidi w:val="0"/>
                    <w:rPr>
                      <w:rFonts w:hint="default"/>
                      <w:color w:val="auto"/>
                      <w:highlight w:val="none"/>
                      <w:lang w:val="en-US" w:eastAsia="zh-CN"/>
                    </w:rPr>
                  </w:pPr>
                  <w:r>
                    <w:rPr>
                      <w:rFonts w:hint="default"/>
                      <w:color w:val="auto"/>
                      <w:highlight w:val="none"/>
                      <w:lang w:val="en-US" w:eastAsia="zh-CN"/>
                    </w:rPr>
                    <w:t>时段</w:t>
                  </w:r>
                </w:p>
              </w:tc>
              <w:tc>
                <w:tcPr>
                  <w:tcW w:w="355" w:type="pct"/>
                  <w:vMerge w:val="restart"/>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lang w:val="en-US" w:eastAsia="zh-CN"/>
                    </w:rPr>
                    <w:t>建筑物插入损失 / dB(A)</w:t>
                  </w:r>
                </w:p>
              </w:tc>
              <w:tc>
                <w:tcPr>
                  <w:tcW w:w="621" w:type="pct"/>
                  <w:gridSpan w:val="2"/>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建筑物外噪声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 w:type="pct"/>
                  <w:vMerge w:val="continue"/>
                  <w:tcBorders>
                    <w:tl2br w:val="nil"/>
                    <w:tr2bl w:val="nil"/>
                  </w:tcBorders>
                  <w:noWrap w:val="0"/>
                  <w:vAlign w:val="center"/>
                </w:tcPr>
                <w:p>
                  <w:pPr>
                    <w:pStyle w:val="34"/>
                    <w:bidi w:val="0"/>
                    <w:rPr>
                      <w:rFonts w:hint="default"/>
                      <w:color w:val="auto"/>
                      <w:highlight w:val="none"/>
                      <w:lang w:val="en-US" w:eastAsia="zh-CN"/>
                    </w:rPr>
                  </w:pPr>
                </w:p>
              </w:tc>
              <w:tc>
                <w:tcPr>
                  <w:tcW w:w="265" w:type="pct"/>
                  <w:vMerge w:val="continue"/>
                  <w:tcBorders>
                    <w:tl2br w:val="nil"/>
                    <w:tr2bl w:val="nil"/>
                  </w:tcBorders>
                  <w:noWrap w:val="0"/>
                  <w:vAlign w:val="center"/>
                </w:tcPr>
                <w:p>
                  <w:pPr>
                    <w:pStyle w:val="34"/>
                    <w:bidi w:val="0"/>
                    <w:rPr>
                      <w:rFonts w:hint="default"/>
                      <w:color w:val="auto"/>
                      <w:highlight w:val="none"/>
                      <w:lang w:val="en-US" w:eastAsia="zh-CN"/>
                    </w:rPr>
                  </w:pPr>
                </w:p>
              </w:tc>
              <w:tc>
                <w:tcPr>
                  <w:tcW w:w="394" w:type="pct"/>
                  <w:vMerge w:val="continue"/>
                  <w:tcBorders>
                    <w:tl2br w:val="nil"/>
                    <w:tr2bl w:val="nil"/>
                  </w:tcBorders>
                  <w:noWrap w:val="0"/>
                  <w:vAlign w:val="center"/>
                </w:tcPr>
                <w:p>
                  <w:pPr>
                    <w:pStyle w:val="34"/>
                    <w:bidi w:val="0"/>
                    <w:rPr>
                      <w:rFonts w:hint="default"/>
                      <w:color w:val="auto"/>
                      <w:highlight w:val="none"/>
                      <w:lang w:val="en-US" w:eastAsia="zh-CN"/>
                    </w:rPr>
                  </w:pPr>
                </w:p>
              </w:tc>
              <w:tc>
                <w:tcPr>
                  <w:tcW w:w="178" w:type="pct"/>
                  <w:vMerge w:val="continue"/>
                  <w:tcBorders>
                    <w:tl2br w:val="nil"/>
                    <w:tr2bl w:val="nil"/>
                  </w:tcBorders>
                  <w:noWrap w:val="0"/>
                  <w:vAlign w:val="center"/>
                </w:tcPr>
                <w:p>
                  <w:pPr>
                    <w:pStyle w:val="34"/>
                    <w:bidi w:val="0"/>
                    <w:rPr>
                      <w:rFonts w:hint="default"/>
                      <w:color w:val="auto"/>
                      <w:highlight w:val="none"/>
                      <w:lang w:val="en-US" w:eastAsia="zh-CN"/>
                    </w:rPr>
                  </w:pPr>
                </w:p>
              </w:tc>
              <w:tc>
                <w:tcPr>
                  <w:tcW w:w="433" w:type="pct"/>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lang w:val="en-US" w:eastAsia="zh-CN"/>
                    </w:rPr>
                    <w:t>（声压级/距声源距离）/（dB(A)/m）</w:t>
                  </w:r>
                </w:p>
              </w:tc>
              <w:tc>
                <w:tcPr>
                  <w:tcW w:w="335" w:type="pct"/>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lang w:val="en-US" w:eastAsia="zh-CN"/>
                    </w:rPr>
                    <w:t>声功率级/dB(A)</w:t>
                  </w:r>
                </w:p>
              </w:tc>
              <w:tc>
                <w:tcPr>
                  <w:tcW w:w="673" w:type="pct"/>
                  <w:vMerge w:val="continue"/>
                  <w:tcBorders>
                    <w:tl2br w:val="nil"/>
                    <w:tr2bl w:val="nil"/>
                  </w:tcBorders>
                  <w:noWrap w:val="0"/>
                  <w:vAlign w:val="center"/>
                </w:tcPr>
                <w:p>
                  <w:pPr>
                    <w:pStyle w:val="34"/>
                    <w:bidi w:val="0"/>
                    <w:rPr>
                      <w:rFonts w:hint="default"/>
                      <w:color w:val="auto"/>
                      <w:highlight w:val="none"/>
                      <w:lang w:val="en-US" w:eastAsia="zh-CN"/>
                    </w:rPr>
                  </w:pPr>
                </w:p>
              </w:tc>
              <w:tc>
                <w:tcPr>
                  <w:tcW w:w="207" w:type="pct"/>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lang w:val="en-US" w:eastAsia="zh-CN"/>
                    </w:rPr>
                    <w:t>X</w:t>
                  </w:r>
                </w:p>
              </w:tc>
              <w:tc>
                <w:tcPr>
                  <w:tcW w:w="240" w:type="pct"/>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lang w:val="en-US" w:eastAsia="zh-CN"/>
                    </w:rPr>
                    <w:t>Y</w:t>
                  </w:r>
                </w:p>
              </w:tc>
              <w:tc>
                <w:tcPr>
                  <w:tcW w:w="240" w:type="pct"/>
                  <w:tcBorders>
                    <w:tl2br w:val="nil"/>
                    <w:tr2bl w:val="nil"/>
                  </w:tcBorders>
                  <w:noWrap w:val="0"/>
                  <w:vAlign w:val="center"/>
                </w:tcPr>
                <w:p>
                  <w:pPr>
                    <w:pStyle w:val="34"/>
                    <w:bidi w:val="0"/>
                    <w:rPr>
                      <w:rFonts w:hint="default"/>
                      <w:color w:val="auto"/>
                      <w:highlight w:val="none"/>
                      <w:lang w:val="en-US" w:eastAsia="zh-CN"/>
                    </w:rPr>
                  </w:pPr>
                  <w:r>
                    <w:rPr>
                      <w:rFonts w:hint="default"/>
                      <w:color w:val="auto"/>
                      <w:highlight w:val="none"/>
                      <w:lang w:val="en-US" w:eastAsia="zh-CN"/>
                    </w:rPr>
                    <w:t>Z</w:t>
                  </w:r>
                </w:p>
              </w:tc>
              <w:tc>
                <w:tcPr>
                  <w:tcW w:w="319" w:type="pct"/>
                  <w:vMerge w:val="continue"/>
                  <w:tcBorders>
                    <w:tl2br w:val="nil"/>
                    <w:tr2bl w:val="nil"/>
                  </w:tcBorders>
                  <w:noWrap w:val="0"/>
                  <w:vAlign w:val="center"/>
                </w:tcPr>
                <w:p>
                  <w:pPr>
                    <w:pStyle w:val="34"/>
                    <w:bidi w:val="0"/>
                    <w:rPr>
                      <w:rFonts w:hint="default"/>
                      <w:color w:val="auto"/>
                      <w:highlight w:val="none"/>
                      <w:lang w:val="en-US" w:eastAsia="zh-CN"/>
                    </w:rPr>
                  </w:pPr>
                </w:p>
              </w:tc>
              <w:tc>
                <w:tcPr>
                  <w:tcW w:w="339" w:type="pct"/>
                  <w:vMerge w:val="continue"/>
                  <w:tcBorders>
                    <w:tl2br w:val="nil"/>
                    <w:tr2bl w:val="nil"/>
                  </w:tcBorders>
                  <w:noWrap w:val="0"/>
                  <w:vAlign w:val="center"/>
                </w:tcPr>
                <w:p>
                  <w:pPr>
                    <w:pStyle w:val="34"/>
                    <w:bidi w:val="0"/>
                    <w:rPr>
                      <w:rFonts w:hint="default"/>
                      <w:color w:val="auto"/>
                      <w:highlight w:val="none"/>
                      <w:lang w:val="en-US" w:eastAsia="zh-CN"/>
                    </w:rPr>
                  </w:pPr>
                </w:p>
              </w:tc>
              <w:tc>
                <w:tcPr>
                  <w:tcW w:w="260" w:type="pct"/>
                  <w:vMerge w:val="continue"/>
                  <w:tcBorders>
                    <w:tl2br w:val="nil"/>
                    <w:tr2bl w:val="nil"/>
                  </w:tcBorders>
                  <w:noWrap w:val="0"/>
                  <w:vAlign w:val="center"/>
                </w:tcPr>
                <w:p>
                  <w:pPr>
                    <w:pStyle w:val="34"/>
                    <w:bidi w:val="0"/>
                    <w:rPr>
                      <w:rFonts w:hint="default"/>
                      <w:color w:val="auto"/>
                      <w:highlight w:val="none"/>
                      <w:lang w:val="en-US" w:eastAsia="zh-CN"/>
                    </w:rPr>
                  </w:pPr>
                </w:p>
              </w:tc>
              <w:tc>
                <w:tcPr>
                  <w:tcW w:w="355" w:type="pct"/>
                  <w:vMerge w:val="continue"/>
                  <w:tcBorders>
                    <w:tl2br w:val="nil"/>
                    <w:tr2bl w:val="nil"/>
                  </w:tcBorders>
                  <w:noWrap w:val="0"/>
                  <w:vAlign w:val="center"/>
                </w:tcPr>
                <w:p>
                  <w:pPr>
                    <w:pStyle w:val="34"/>
                    <w:bidi w:val="0"/>
                    <w:rPr>
                      <w:rFonts w:hint="default"/>
                      <w:color w:val="auto"/>
                      <w:highlight w:val="none"/>
                      <w:lang w:val="en-US" w:eastAsia="zh-CN"/>
                    </w:rPr>
                  </w:pPr>
                </w:p>
              </w:tc>
              <w:tc>
                <w:tcPr>
                  <w:tcW w:w="331"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声压级/（dB（A））</w:t>
                  </w:r>
                </w:p>
              </w:tc>
              <w:tc>
                <w:tcPr>
                  <w:tcW w:w="289"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建筑物外距离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1</w:t>
                  </w:r>
                </w:p>
              </w:tc>
              <w:tc>
                <w:tcPr>
                  <w:tcW w:w="265" w:type="pct"/>
                  <w:vMerge w:val="restar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制氧车间</w:t>
                  </w:r>
                </w:p>
              </w:tc>
              <w:tc>
                <w:tcPr>
                  <w:tcW w:w="394"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1#离心鼓风机</w:t>
                  </w:r>
                </w:p>
              </w:tc>
              <w:tc>
                <w:tcPr>
                  <w:tcW w:w="178"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w:t>
                  </w:r>
                </w:p>
              </w:tc>
              <w:tc>
                <w:tcPr>
                  <w:tcW w:w="433"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w:t>
                  </w:r>
                </w:p>
              </w:tc>
              <w:tc>
                <w:tcPr>
                  <w:tcW w:w="335"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95</w:t>
                  </w:r>
                </w:p>
              </w:tc>
              <w:tc>
                <w:tcPr>
                  <w:tcW w:w="673"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低噪设备+基础减振+建筑隔声+进排气口消声器</w:t>
                  </w:r>
                </w:p>
              </w:tc>
              <w:tc>
                <w:tcPr>
                  <w:tcW w:w="207" w:type="pct"/>
                  <w:tcBorders>
                    <w:tl2br w:val="nil"/>
                    <w:tr2bl w:val="nil"/>
                  </w:tcBorders>
                  <w:noWrap w:val="0"/>
                  <w:vAlign w:val="center"/>
                </w:tcPr>
                <w:p>
                  <w:pPr>
                    <w:pStyle w:val="34"/>
                    <w:bidi w:val="0"/>
                    <w:ind w:left="0" w:leftChars="0" w:firstLine="0" w:firstLineChars="0"/>
                    <w:jc w:val="center"/>
                    <w:rPr>
                      <w:rFonts w:hint="default"/>
                      <w:color w:val="auto"/>
                      <w:highlight w:val="none"/>
                      <w:lang w:val="en-US" w:eastAsia="zh-CN"/>
                    </w:rPr>
                  </w:pPr>
                  <w:r>
                    <w:rPr>
                      <w:rFonts w:hint="eastAsia"/>
                      <w:color w:val="auto"/>
                      <w:highlight w:val="none"/>
                      <w:lang w:val="en-US" w:eastAsia="zh-CN"/>
                    </w:rPr>
                    <w:t>29</w:t>
                  </w:r>
                </w:p>
              </w:tc>
              <w:tc>
                <w:tcPr>
                  <w:tcW w:w="240" w:type="pct"/>
                  <w:tcBorders>
                    <w:tl2br w:val="nil"/>
                    <w:tr2bl w:val="nil"/>
                  </w:tcBorders>
                  <w:noWrap w:val="0"/>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33</w:t>
                  </w:r>
                </w:p>
              </w:tc>
              <w:tc>
                <w:tcPr>
                  <w:tcW w:w="240" w:type="pct"/>
                  <w:tcBorders>
                    <w:tl2br w:val="nil"/>
                    <w:tr2bl w:val="nil"/>
                  </w:tcBorders>
                  <w:noWrap w:val="0"/>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1</w:t>
                  </w:r>
                </w:p>
              </w:tc>
              <w:tc>
                <w:tcPr>
                  <w:tcW w:w="319"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5</w:t>
                  </w:r>
                </w:p>
              </w:tc>
              <w:tc>
                <w:tcPr>
                  <w:tcW w:w="339"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78.94</w:t>
                  </w:r>
                </w:p>
              </w:tc>
              <w:tc>
                <w:tcPr>
                  <w:tcW w:w="260" w:type="pct"/>
                  <w:tcBorders>
                    <w:tl2br w:val="nil"/>
                    <w:tr2bl w:val="nil"/>
                  </w:tcBorders>
                  <w:noWrap w:val="0"/>
                  <w:vAlign w:val="center"/>
                </w:tcPr>
                <w:p>
                  <w:pPr>
                    <w:pStyle w:val="34"/>
                    <w:bidi w:val="0"/>
                    <w:rPr>
                      <w:rFonts w:hint="eastAsia"/>
                      <w:color w:val="auto"/>
                      <w:highlight w:val="none"/>
                      <w:lang w:val="en-US" w:eastAsia="zh-CN"/>
                    </w:rPr>
                  </w:pPr>
                  <w:r>
                    <w:rPr>
                      <w:rFonts w:hint="eastAsia"/>
                      <w:color w:val="auto"/>
                      <w:highlight w:val="none"/>
                      <w:lang w:val="en-US" w:eastAsia="zh-CN"/>
                    </w:rPr>
                    <w:t>连续</w:t>
                  </w:r>
                </w:p>
              </w:tc>
              <w:tc>
                <w:tcPr>
                  <w:tcW w:w="355"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25</w:t>
                  </w:r>
                </w:p>
              </w:tc>
              <w:tc>
                <w:tcPr>
                  <w:tcW w:w="331"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47.94</w:t>
                  </w:r>
                </w:p>
              </w:tc>
              <w:tc>
                <w:tcPr>
                  <w:tcW w:w="289"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 w:type="pct"/>
                  <w:tcBorders>
                    <w:tl2br w:val="nil"/>
                    <w:tr2bl w:val="nil"/>
                  </w:tcBorders>
                  <w:noWrap w:val="0"/>
                  <w:vAlign w:val="center"/>
                </w:tcPr>
                <w:p>
                  <w:pPr>
                    <w:pStyle w:val="34"/>
                    <w:bidi w:val="0"/>
                    <w:rPr>
                      <w:rFonts w:hint="eastAsia"/>
                      <w:color w:val="auto"/>
                      <w:highlight w:val="none"/>
                      <w:lang w:val="en-US" w:eastAsia="zh-CN"/>
                    </w:rPr>
                  </w:pPr>
                  <w:r>
                    <w:rPr>
                      <w:rFonts w:hint="eastAsia"/>
                      <w:color w:val="auto"/>
                      <w:highlight w:val="none"/>
                      <w:lang w:val="en-US" w:eastAsia="zh-CN"/>
                    </w:rPr>
                    <w:t>2</w:t>
                  </w:r>
                </w:p>
              </w:tc>
              <w:tc>
                <w:tcPr>
                  <w:tcW w:w="265" w:type="pct"/>
                  <w:vMerge w:val="continue"/>
                  <w:tcBorders>
                    <w:tl2br w:val="nil"/>
                    <w:tr2bl w:val="nil"/>
                  </w:tcBorders>
                  <w:noWrap w:val="0"/>
                  <w:vAlign w:val="center"/>
                </w:tcPr>
                <w:p>
                  <w:pPr>
                    <w:pStyle w:val="34"/>
                    <w:bidi w:val="0"/>
                    <w:rPr>
                      <w:rFonts w:hint="eastAsia"/>
                      <w:color w:val="auto"/>
                      <w:highlight w:val="none"/>
                      <w:lang w:val="en-US" w:eastAsia="zh-CN"/>
                    </w:rPr>
                  </w:pPr>
                </w:p>
              </w:tc>
              <w:tc>
                <w:tcPr>
                  <w:tcW w:w="394"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2#离心鼓风机</w:t>
                  </w:r>
                </w:p>
              </w:tc>
              <w:tc>
                <w:tcPr>
                  <w:tcW w:w="178"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w:t>
                  </w:r>
                </w:p>
              </w:tc>
              <w:tc>
                <w:tcPr>
                  <w:tcW w:w="433"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w:t>
                  </w:r>
                </w:p>
              </w:tc>
              <w:tc>
                <w:tcPr>
                  <w:tcW w:w="335"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95</w:t>
                  </w:r>
                </w:p>
              </w:tc>
              <w:tc>
                <w:tcPr>
                  <w:tcW w:w="673"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低噪设备+基础减振+建筑隔声+进排气口消声器</w:t>
                  </w:r>
                </w:p>
              </w:tc>
              <w:tc>
                <w:tcPr>
                  <w:tcW w:w="207" w:type="pct"/>
                  <w:tcBorders>
                    <w:tl2br w:val="nil"/>
                    <w:tr2bl w:val="nil"/>
                  </w:tcBorders>
                  <w:noWrap w:val="0"/>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30</w:t>
                  </w:r>
                </w:p>
              </w:tc>
              <w:tc>
                <w:tcPr>
                  <w:tcW w:w="240" w:type="pct"/>
                  <w:tcBorders>
                    <w:tl2br w:val="nil"/>
                    <w:tr2bl w:val="nil"/>
                  </w:tcBorders>
                  <w:noWrap w:val="0"/>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28</w:t>
                  </w:r>
                </w:p>
              </w:tc>
              <w:tc>
                <w:tcPr>
                  <w:tcW w:w="240" w:type="pct"/>
                  <w:tcBorders>
                    <w:tl2br w:val="nil"/>
                    <w:tr2bl w:val="nil"/>
                  </w:tcBorders>
                  <w:noWrap w:val="0"/>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1</w:t>
                  </w:r>
                </w:p>
              </w:tc>
              <w:tc>
                <w:tcPr>
                  <w:tcW w:w="319"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4.5</w:t>
                  </w:r>
                </w:p>
              </w:tc>
              <w:tc>
                <w:tcPr>
                  <w:tcW w:w="339"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79.08</w:t>
                  </w:r>
                </w:p>
              </w:tc>
              <w:tc>
                <w:tcPr>
                  <w:tcW w:w="260"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连续</w:t>
                  </w:r>
                </w:p>
              </w:tc>
              <w:tc>
                <w:tcPr>
                  <w:tcW w:w="355" w:type="pct"/>
                  <w:tcBorders>
                    <w:tl2br w:val="nil"/>
                    <w:tr2bl w:val="nil"/>
                  </w:tcBorders>
                  <w:noWrap w:val="0"/>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25</w:t>
                  </w:r>
                </w:p>
              </w:tc>
              <w:tc>
                <w:tcPr>
                  <w:tcW w:w="331"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48.08</w:t>
                  </w:r>
                </w:p>
              </w:tc>
              <w:tc>
                <w:tcPr>
                  <w:tcW w:w="289"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3</w:t>
                  </w:r>
                </w:p>
              </w:tc>
              <w:tc>
                <w:tcPr>
                  <w:tcW w:w="265" w:type="pct"/>
                  <w:vMerge w:val="continue"/>
                  <w:tcBorders>
                    <w:tl2br w:val="nil"/>
                    <w:tr2bl w:val="nil"/>
                  </w:tcBorders>
                  <w:noWrap w:val="0"/>
                  <w:vAlign w:val="center"/>
                </w:tcPr>
                <w:p>
                  <w:pPr>
                    <w:pStyle w:val="34"/>
                    <w:bidi w:val="0"/>
                    <w:rPr>
                      <w:rFonts w:hint="eastAsia"/>
                      <w:color w:val="auto"/>
                      <w:highlight w:val="none"/>
                      <w:lang w:val="en-US" w:eastAsia="zh-CN"/>
                    </w:rPr>
                  </w:pPr>
                </w:p>
              </w:tc>
              <w:tc>
                <w:tcPr>
                  <w:tcW w:w="394" w:type="pct"/>
                  <w:tcBorders>
                    <w:tl2br w:val="nil"/>
                    <w:tr2bl w:val="nil"/>
                  </w:tcBorders>
                  <w:noWrap w:val="0"/>
                  <w:vAlign w:val="center"/>
                </w:tcPr>
                <w:p>
                  <w:pPr>
                    <w:pStyle w:val="34"/>
                    <w:bidi w:val="0"/>
                    <w:rPr>
                      <w:rFonts w:hint="eastAsia" w:eastAsia="宋体"/>
                      <w:color w:val="auto"/>
                      <w:highlight w:val="none"/>
                      <w:lang w:val="en-US" w:eastAsia="zh-CN"/>
                    </w:rPr>
                  </w:pPr>
                  <w:r>
                    <w:rPr>
                      <w:rFonts w:hint="eastAsia"/>
                      <w:color w:val="auto"/>
                      <w:highlight w:val="none"/>
                      <w:lang w:val="en-US" w:eastAsia="zh-CN"/>
                    </w:rPr>
                    <w:t>1#</w:t>
                  </w:r>
                  <w:r>
                    <w:rPr>
                      <w:rFonts w:hint="eastAsia" w:eastAsia="宋体"/>
                      <w:color w:val="auto"/>
                      <w:highlight w:val="none"/>
                      <w:lang w:val="en-US" w:eastAsia="zh-CN"/>
                    </w:rPr>
                    <w:t>离心真空泵</w:t>
                  </w:r>
                </w:p>
              </w:tc>
              <w:tc>
                <w:tcPr>
                  <w:tcW w:w="178" w:type="pct"/>
                  <w:tcBorders>
                    <w:tl2br w:val="nil"/>
                    <w:tr2bl w:val="nil"/>
                  </w:tcBorders>
                  <w:noWrap w:val="0"/>
                  <w:vAlign w:val="center"/>
                </w:tcPr>
                <w:p>
                  <w:pPr>
                    <w:pStyle w:val="34"/>
                    <w:bidi w:val="0"/>
                    <w:rPr>
                      <w:rFonts w:hint="eastAsia"/>
                      <w:color w:val="auto"/>
                      <w:highlight w:val="none"/>
                      <w:lang w:val="en-US" w:eastAsia="zh-CN"/>
                    </w:rPr>
                  </w:pPr>
                  <w:r>
                    <w:rPr>
                      <w:rFonts w:hint="eastAsia"/>
                      <w:color w:val="auto"/>
                      <w:highlight w:val="none"/>
                      <w:lang w:val="en-US" w:eastAsia="zh-CN"/>
                    </w:rPr>
                    <w:t>/</w:t>
                  </w:r>
                </w:p>
              </w:tc>
              <w:tc>
                <w:tcPr>
                  <w:tcW w:w="433" w:type="pct"/>
                  <w:tcBorders>
                    <w:tl2br w:val="nil"/>
                    <w:tr2bl w:val="nil"/>
                  </w:tcBorders>
                  <w:noWrap w:val="0"/>
                  <w:vAlign w:val="center"/>
                </w:tcPr>
                <w:p>
                  <w:pPr>
                    <w:pStyle w:val="34"/>
                    <w:bidi w:val="0"/>
                    <w:rPr>
                      <w:rFonts w:hint="eastAsia"/>
                      <w:color w:val="auto"/>
                      <w:highlight w:val="none"/>
                      <w:lang w:val="en-US" w:eastAsia="zh-CN"/>
                    </w:rPr>
                  </w:pPr>
                  <w:r>
                    <w:rPr>
                      <w:rFonts w:hint="eastAsia"/>
                      <w:color w:val="auto"/>
                      <w:highlight w:val="none"/>
                      <w:lang w:val="en-US" w:eastAsia="zh-CN"/>
                    </w:rPr>
                    <w:t>/</w:t>
                  </w:r>
                </w:p>
              </w:tc>
              <w:tc>
                <w:tcPr>
                  <w:tcW w:w="335"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93</w:t>
                  </w:r>
                </w:p>
              </w:tc>
              <w:tc>
                <w:tcPr>
                  <w:tcW w:w="673"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低噪设备+基础减振+建筑隔声+消声器</w:t>
                  </w:r>
                </w:p>
              </w:tc>
              <w:tc>
                <w:tcPr>
                  <w:tcW w:w="207" w:type="pct"/>
                  <w:tcBorders>
                    <w:tl2br w:val="nil"/>
                    <w:tr2bl w:val="nil"/>
                  </w:tcBorders>
                  <w:noWrap w:val="0"/>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25</w:t>
                  </w:r>
                </w:p>
              </w:tc>
              <w:tc>
                <w:tcPr>
                  <w:tcW w:w="240" w:type="pct"/>
                  <w:tcBorders>
                    <w:tl2br w:val="nil"/>
                    <w:tr2bl w:val="nil"/>
                  </w:tcBorders>
                  <w:noWrap w:val="0"/>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23</w:t>
                  </w:r>
                </w:p>
              </w:tc>
              <w:tc>
                <w:tcPr>
                  <w:tcW w:w="240" w:type="pct"/>
                  <w:tcBorders>
                    <w:tl2br w:val="nil"/>
                    <w:tr2bl w:val="nil"/>
                  </w:tcBorders>
                  <w:noWrap w:val="0"/>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1</w:t>
                  </w:r>
                </w:p>
              </w:tc>
              <w:tc>
                <w:tcPr>
                  <w:tcW w:w="319"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3</w:t>
                  </w:r>
                </w:p>
              </w:tc>
              <w:tc>
                <w:tcPr>
                  <w:tcW w:w="339"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77.86</w:t>
                  </w:r>
                </w:p>
              </w:tc>
              <w:tc>
                <w:tcPr>
                  <w:tcW w:w="260" w:type="pct"/>
                  <w:tcBorders>
                    <w:tl2br w:val="nil"/>
                    <w:tr2bl w:val="nil"/>
                  </w:tcBorders>
                  <w:noWrap w:val="0"/>
                  <w:vAlign w:val="center"/>
                </w:tcPr>
                <w:p>
                  <w:pPr>
                    <w:pStyle w:val="34"/>
                    <w:bidi w:val="0"/>
                    <w:rPr>
                      <w:rFonts w:hint="eastAsia"/>
                      <w:color w:val="auto"/>
                      <w:highlight w:val="none"/>
                      <w:lang w:val="en-US" w:eastAsia="zh-CN"/>
                    </w:rPr>
                  </w:pPr>
                  <w:r>
                    <w:rPr>
                      <w:rFonts w:hint="eastAsia"/>
                      <w:color w:val="auto"/>
                      <w:highlight w:val="none"/>
                      <w:lang w:val="en-US" w:eastAsia="zh-CN"/>
                    </w:rPr>
                    <w:t>连续</w:t>
                  </w:r>
                </w:p>
              </w:tc>
              <w:tc>
                <w:tcPr>
                  <w:tcW w:w="355" w:type="pct"/>
                  <w:tcBorders>
                    <w:tl2br w:val="nil"/>
                    <w:tr2bl w:val="nil"/>
                  </w:tcBorders>
                  <w:noWrap w:val="0"/>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25</w:t>
                  </w:r>
                </w:p>
              </w:tc>
              <w:tc>
                <w:tcPr>
                  <w:tcW w:w="331"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46.86</w:t>
                  </w:r>
                </w:p>
              </w:tc>
              <w:tc>
                <w:tcPr>
                  <w:tcW w:w="289" w:type="pct"/>
                  <w:tcBorders>
                    <w:tl2br w:val="nil"/>
                    <w:tr2bl w:val="nil"/>
                  </w:tcBorders>
                  <w:noWrap w:val="0"/>
                  <w:vAlign w:val="center"/>
                </w:tcPr>
                <w:p>
                  <w:pPr>
                    <w:pStyle w:val="34"/>
                    <w:bidi w:val="0"/>
                    <w:ind w:left="0" w:leftChars="0" w:firstLine="0" w:firstLineChars="0"/>
                    <w:rPr>
                      <w:rFonts w:hint="eastAsia"/>
                      <w:color w:val="auto"/>
                      <w:highlight w:val="none"/>
                      <w:lang w:val="en-US" w:eastAsia="zh-CN"/>
                    </w:rPr>
                  </w:pPr>
                  <w:r>
                    <w:rPr>
                      <w:rFonts w:hint="eastAsia"/>
                      <w:color w:val="auto"/>
                      <w:highlight w:val="none"/>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4</w:t>
                  </w:r>
                </w:p>
              </w:tc>
              <w:tc>
                <w:tcPr>
                  <w:tcW w:w="265" w:type="pct"/>
                  <w:vMerge w:val="continue"/>
                  <w:tcBorders>
                    <w:tl2br w:val="nil"/>
                    <w:tr2bl w:val="nil"/>
                  </w:tcBorders>
                  <w:noWrap w:val="0"/>
                  <w:vAlign w:val="center"/>
                </w:tcPr>
                <w:p>
                  <w:pPr>
                    <w:pStyle w:val="34"/>
                    <w:bidi w:val="0"/>
                    <w:rPr>
                      <w:rFonts w:hint="eastAsia"/>
                      <w:color w:val="auto"/>
                      <w:highlight w:val="none"/>
                      <w:lang w:val="en-US" w:eastAsia="zh-CN"/>
                    </w:rPr>
                  </w:pPr>
                </w:p>
              </w:tc>
              <w:tc>
                <w:tcPr>
                  <w:tcW w:w="394" w:type="pct"/>
                  <w:tcBorders>
                    <w:tl2br w:val="nil"/>
                    <w:tr2bl w:val="nil"/>
                  </w:tcBorders>
                  <w:noWrap w:val="0"/>
                  <w:vAlign w:val="center"/>
                </w:tcPr>
                <w:p>
                  <w:pPr>
                    <w:pStyle w:val="34"/>
                    <w:bidi w:val="0"/>
                    <w:rPr>
                      <w:rFonts w:hint="eastAsia" w:eastAsia="宋体"/>
                      <w:color w:val="auto"/>
                      <w:highlight w:val="none"/>
                      <w:lang w:val="en-US" w:eastAsia="zh-CN"/>
                    </w:rPr>
                  </w:pPr>
                  <w:r>
                    <w:rPr>
                      <w:rFonts w:hint="eastAsia"/>
                      <w:color w:val="auto"/>
                      <w:highlight w:val="none"/>
                      <w:lang w:val="en-US" w:eastAsia="zh-CN"/>
                    </w:rPr>
                    <w:t>2#</w:t>
                  </w:r>
                  <w:r>
                    <w:rPr>
                      <w:rFonts w:hint="eastAsia" w:eastAsia="宋体"/>
                      <w:color w:val="auto"/>
                      <w:highlight w:val="none"/>
                      <w:lang w:val="en-US" w:eastAsia="zh-CN"/>
                    </w:rPr>
                    <w:t>离心真空泵</w:t>
                  </w:r>
                </w:p>
              </w:tc>
              <w:tc>
                <w:tcPr>
                  <w:tcW w:w="178" w:type="pct"/>
                  <w:tcBorders>
                    <w:tl2br w:val="nil"/>
                    <w:tr2bl w:val="nil"/>
                  </w:tcBorders>
                  <w:noWrap w:val="0"/>
                  <w:vAlign w:val="center"/>
                </w:tcPr>
                <w:p>
                  <w:pPr>
                    <w:pStyle w:val="34"/>
                    <w:bidi w:val="0"/>
                    <w:rPr>
                      <w:rFonts w:hint="eastAsia"/>
                      <w:color w:val="auto"/>
                      <w:highlight w:val="none"/>
                      <w:lang w:val="en-US" w:eastAsia="zh-CN"/>
                    </w:rPr>
                  </w:pPr>
                  <w:r>
                    <w:rPr>
                      <w:rFonts w:hint="eastAsia"/>
                      <w:color w:val="auto"/>
                      <w:highlight w:val="none"/>
                      <w:lang w:val="en-US" w:eastAsia="zh-CN"/>
                    </w:rPr>
                    <w:t>/</w:t>
                  </w:r>
                </w:p>
              </w:tc>
              <w:tc>
                <w:tcPr>
                  <w:tcW w:w="433" w:type="pct"/>
                  <w:tcBorders>
                    <w:tl2br w:val="nil"/>
                    <w:tr2bl w:val="nil"/>
                  </w:tcBorders>
                  <w:noWrap w:val="0"/>
                  <w:vAlign w:val="center"/>
                </w:tcPr>
                <w:p>
                  <w:pPr>
                    <w:pStyle w:val="34"/>
                    <w:bidi w:val="0"/>
                    <w:rPr>
                      <w:rFonts w:hint="eastAsia"/>
                      <w:color w:val="auto"/>
                      <w:highlight w:val="none"/>
                      <w:lang w:val="en-US" w:eastAsia="zh-CN"/>
                    </w:rPr>
                  </w:pPr>
                  <w:r>
                    <w:rPr>
                      <w:rFonts w:hint="eastAsia"/>
                      <w:color w:val="auto"/>
                      <w:highlight w:val="none"/>
                      <w:lang w:val="en-US" w:eastAsia="zh-CN"/>
                    </w:rPr>
                    <w:t>/</w:t>
                  </w:r>
                </w:p>
              </w:tc>
              <w:tc>
                <w:tcPr>
                  <w:tcW w:w="335"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93</w:t>
                  </w:r>
                </w:p>
              </w:tc>
              <w:tc>
                <w:tcPr>
                  <w:tcW w:w="673"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低噪设备+基础减振+建筑隔声+消声器</w:t>
                  </w:r>
                </w:p>
              </w:tc>
              <w:tc>
                <w:tcPr>
                  <w:tcW w:w="207" w:type="pct"/>
                  <w:tcBorders>
                    <w:tl2br w:val="nil"/>
                    <w:tr2bl w:val="nil"/>
                  </w:tcBorders>
                  <w:noWrap w:val="0"/>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24</w:t>
                  </w:r>
                </w:p>
              </w:tc>
              <w:tc>
                <w:tcPr>
                  <w:tcW w:w="240" w:type="pct"/>
                  <w:tcBorders>
                    <w:tl2br w:val="nil"/>
                    <w:tr2bl w:val="nil"/>
                  </w:tcBorders>
                  <w:noWrap w:val="0"/>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19</w:t>
                  </w:r>
                </w:p>
              </w:tc>
              <w:tc>
                <w:tcPr>
                  <w:tcW w:w="240" w:type="pct"/>
                  <w:tcBorders>
                    <w:tl2br w:val="nil"/>
                    <w:tr2bl w:val="nil"/>
                  </w:tcBorders>
                  <w:noWrap w:val="0"/>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1</w:t>
                  </w:r>
                </w:p>
              </w:tc>
              <w:tc>
                <w:tcPr>
                  <w:tcW w:w="319"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2.5</w:t>
                  </w:r>
                </w:p>
              </w:tc>
              <w:tc>
                <w:tcPr>
                  <w:tcW w:w="339"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78.39</w:t>
                  </w:r>
                </w:p>
              </w:tc>
              <w:tc>
                <w:tcPr>
                  <w:tcW w:w="260" w:type="pct"/>
                  <w:tcBorders>
                    <w:tl2br w:val="nil"/>
                    <w:tr2bl w:val="nil"/>
                  </w:tcBorders>
                  <w:noWrap w:val="0"/>
                  <w:vAlign w:val="center"/>
                </w:tcPr>
                <w:p>
                  <w:pPr>
                    <w:pStyle w:val="34"/>
                    <w:bidi w:val="0"/>
                    <w:rPr>
                      <w:rFonts w:hint="eastAsia"/>
                      <w:color w:val="auto"/>
                      <w:highlight w:val="none"/>
                      <w:lang w:val="en-US" w:eastAsia="zh-CN"/>
                    </w:rPr>
                  </w:pPr>
                  <w:r>
                    <w:rPr>
                      <w:rFonts w:hint="eastAsia"/>
                      <w:color w:val="auto"/>
                      <w:highlight w:val="none"/>
                      <w:lang w:val="en-US" w:eastAsia="zh-CN"/>
                    </w:rPr>
                    <w:t>连续</w:t>
                  </w:r>
                </w:p>
              </w:tc>
              <w:tc>
                <w:tcPr>
                  <w:tcW w:w="355" w:type="pct"/>
                  <w:tcBorders>
                    <w:tl2br w:val="nil"/>
                    <w:tr2bl w:val="nil"/>
                  </w:tcBorders>
                  <w:noWrap w:val="0"/>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25</w:t>
                  </w:r>
                </w:p>
              </w:tc>
              <w:tc>
                <w:tcPr>
                  <w:tcW w:w="331"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47.39</w:t>
                  </w:r>
                </w:p>
              </w:tc>
              <w:tc>
                <w:tcPr>
                  <w:tcW w:w="289" w:type="pct"/>
                  <w:tcBorders>
                    <w:tl2br w:val="nil"/>
                    <w:tr2bl w:val="nil"/>
                  </w:tcBorders>
                  <w:noWrap w:val="0"/>
                  <w:vAlign w:val="center"/>
                </w:tcPr>
                <w:p>
                  <w:pPr>
                    <w:pStyle w:val="34"/>
                    <w:bidi w:val="0"/>
                    <w:ind w:left="0" w:leftChars="0" w:firstLine="0" w:firstLineChars="0"/>
                    <w:rPr>
                      <w:rFonts w:hint="eastAsia"/>
                      <w:color w:val="auto"/>
                      <w:highlight w:val="none"/>
                      <w:lang w:val="en-US" w:eastAsia="zh-CN"/>
                    </w:rPr>
                  </w:pPr>
                  <w:r>
                    <w:rPr>
                      <w:rFonts w:hint="eastAsia"/>
                      <w:color w:val="auto"/>
                      <w:highlight w:val="none"/>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5</w:t>
                  </w:r>
                </w:p>
              </w:tc>
              <w:tc>
                <w:tcPr>
                  <w:tcW w:w="265" w:type="pct"/>
                  <w:vMerge w:val="continue"/>
                  <w:tcBorders>
                    <w:tl2br w:val="nil"/>
                    <w:tr2bl w:val="nil"/>
                  </w:tcBorders>
                  <w:noWrap w:val="0"/>
                  <w:vAlign w:val="center"/>
                </w:tcPr>
                <w:p>
                  <w:pPr>
                    <w:pStyle w:val="34"/>
                    <w:bidi w:val="0"/>
                    <w:rPr>
                      <w:rFonts w:hint="eastAsia"/>
                      <w:color w:val="auto"/>
                      <w:highlight w:val="none"/>
                      <w:lang w:val="en-US" w:eastAsia="zh-CN"/>
                    </w:rPr>
                  </w:pPr>
                </w:p>
              </w:tc>
              <w:tc>
                <w:tcPr>
                  <w:tcW w:w="394" w:type="pct"/>
                  <w:tcBorders>
                    <w:tl2br w:val="nil"/>
                    <w:tr2bl w:val="nil"/>
                  </w:tcBorders>
                  <w:noWrap w:val="0"/>
                  <w:vAlign w:val="center"/>
                </w:tcPr>
                <w:p>
                  <w:pPr>
                    <w:pStyle w:val="34"/>
                    <w:bidi w:val="0"/>
                    <w:rPr>
                      <w:rFonts w:hint="eastAsia" w:eastAsia="宋体"/>
                      <w:color w:val="auto"/>
                      <w:highlight w:val="none"/>
                      <w:lang w:val="en-US" w:eastAsia="zh-CN"/>
                    </w:rPr>
                  </w:pPr>
                  <w:r>
                    <w:rPr>
                      <w:rFonts w:hint="eastAsia" w:eastAsia="宋体"/>
                      <w:color w:val="auto"/>
                      <w:highlight w:val="none"/>
                      <w:lang w:val="en-US" w:eastAsia="zh-CN"/>
                    </w:rPr>
                    <w:t>电动单梁起重机</w:t>
                  </w:r>
                </w:p>
              </w:tc>
              <w:tc>
                <w:tcPr>
                  <w:tcW w:w="178" w:type="pct"/>
                  <w:tcBorders>
                    <w:tl2br w:val="nil"/>
                    <w:tr2bl w:val="nil"/>
                  </w:tcBorders>
                  <w:noWrap w:val="0"/>
                  <w:vAlign w:val="center"/>
                </w:tcPr>
                <w:p>
                  <w:pPr>
                    <w:pStyle w:val="34"/>
                    <w:bidi w:val="0"/>
                    <w:rPr>
                      <w:rFonts w:hint="eastAsia"/>
                      <w:color w:val="auto"/>
                      <w:highlight w:val="none"/>
                      <w:lang w:val="en-US" w:eastAsia="zh-CN"/>
                    </w:rPr>
                  </w:pPr>
                  <w:r>
                    <w:rPr>
                      <w:rFonts w:hint="eastAsia"/>
                      <w:color w:val="auto"/>
                      <w:highlight w:val="none"/>
                      <w:lang w:val="en-US" w:eastAsia="zh-CN"/>
                    </w:rPr>
                    <w:t>/</w:t>
                  </w:r>
                </w:p>
              </w:tc>
              <w:tc>
                <w:tcPr>
                  <w:tcW w:w="433" w:type="pct"/>
                  <w:tcBorders>
                    <w:tl2br w:val="nil"/>
                    <w:tr2bl w:val="nil"/>
                  </w:tcBorders>
                  <w:noWrap w:val="0"/>
                  <w:vAlign w:val="center"/>
                </w:tcPr>
                <w:p>
                  <w:pPr>
                    <w:pStyle w:val="34"/>
                    <w:bidi w:val="0"/>
                    <w:rPr>
                      <w:rFonts w:hint="eastAsia"/>
                      <w:color w:val="auto"/>
                      <w:highlight w:val="none"/>
                      <w:lang w:val="en-US" w:eastAsia="zh-CN"/>
                    </w:rPr>
                  </w:pPr>
                  <w:r>
                    <w:rPr>
                      <w:rFonts w:hint="eastAsia"/>
                      <w:color w:val="auto"/>
                      <w:highlight w:val="none"/>
                      <w:lang w:val="en-US" w:eastAsia="zh-CN"/>
                    </w:rPr>
                    <w:t>/</w:t>
                  </w:r>
                </w:p>
              </w:tc>
              <w:tc>
                <w:tcPr>
                  <w:tcW w:w="335"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85</w:t>
                  </w:r>
                </w:p>
              </w:tc>
              <w:tc>
                <w:tcPr>
                  <w:tcW w:w="673"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基础减振+建筑隔声</w:t>
                  </w:r>
                </w:p>
              </w:tc>
              <w:tc>
                <w:tcPr>
                  <w:tcW w:w="207" w:type="pct"/>
                  <w:tcBorders>
                    <w:tl2br w:val="nil"/>
                    <w:tr2bl w:val="nil"/>
                  </w:tcBorders>
                  <w:noWrap w:val="0"/>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25</w:t>
                  </w:r>
                </w:p>
              </w:tc>
              <w:tc>
                <w:tcPr>
                  <w:tcW w:w="240" w:type="pct"/>
                  <w:tcBorders>
                    <w:tl2br w:val="nil"/>
                    <w:tr2bl w:val="nil"/>
                  </w:tcBorders>
                  <w:noWrap w:val="0"/>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28</w:t>
                  </w:r>
                </w:p>
              </w:tc>
              <w:tc>
                <w:tcPr>
                  <w:tcW w:w="240" w:type="pct"/>
                  <w:tcBorders>
                    <w:tl2br w:val="nil"/>
                    <w:tr2bl w:val="nil"/>
                  </w:tcBorders>
                  <w:noWrap w:val="0"/>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8</w:t>
                  </w:r>
                </w:p>
              </w:tc>
              <w:tc>
                <w:tcPr>
                  <w:tcW w:w="319"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8</w:t>
                  </w:r>
                </w:p>
              </w:tc>
              <w:tc>
                <w:tcPr>
                  <w:tcW w:w="339"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68.58</w:t>
                  </w:r>
                </w:p>
              </w:tc>
              <w:tc>
                <w:tcPr>
                  <w:tcW w:w="260" w:type="pct"/>
                  <w:tcBorders>
                    <w:tl2br w:val="nil"/>
                    <w:tr2bl w:val="nil"/>
                  </w:tcBorders>
                  <w:noWrap w:val="0"/>
                  <w:vAlign w:val="center"/>
                </w:tcPr>
                <w:p>
                  <w:pPr>
                    <w:pStyle w:val="34"/>
                    <w:bidi w:val="0"/>
                    <w:rPr>
                      <w:rFonts w:hint="eastAsia"/>
                      <w:color w:val="auto"/>
                      <w:highlight w:val="none"/>
                      <w:lang w:val="en-US" w:eastAsia="zh-CN"/>
                    </w:rPr>
                  </w:pPr>
                  <w:r>
                    <w:rPr>
                      <w:rFonts w:hint="eastAsia"/>
                      <w:color w:val="auto"/>
                      <w:highlight w:val="none"/>
                      <w:lang w:val="en-US" w:eastAsia="zh-CN"/>
                    </w:rPr>
                    <w:t>间歇</w:t>
                  </w:r>
                </w:p>
              </w:tc>
              <w:tc>
                <w:tcPr>
                  <w:tcW w:w="355" w:type="pct"/>
                  <w:tcBorders>
                    <w:tl2br w:val="nil"/>
                    <w:tr2bl w:val="nil"/>
                  </w:tcBorders>
                  <w:noWrap w:val="0"/>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25</w:t>
                  </w:r>
                </w:p>
              </w:tc>
              <w:tc>
                <w:tcPr>
                  <w:tcW w:w="331"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37.58</w:t>
                  </w:r>
                </w:p>
              </w:tc>
              <w:tc>
                <w:tcPr>
                  <w:tcW w:w="289" w:type="pct"/>
                  <w:tcBorders>
                    <w:tl2br w:val="nil"/>
                    <w:tr2bl w:val="nil"/>
                  </w:tcBorders>
                  <w:noWrap w:val="0"/>
                  <w:vAlign w:val="center"/>
                </w:tcPr>
                <w:p>
                  <w:pPr>
                    <w:pStyle w:val="34"/>
                    <w:bidi w:val="0"/>
                    <w:ind w:left="0" w:leftChars="0" w:firstLine="0" w:firstLineChars="0"/>
                    <w:rPr>
                      <w:rFonts w:hint="eastAsia"/>
                      <w:color w:val="auto"/>
                      <w:highlight w:val="none"/>
                      <w:lang w:val="en-US" w:eastAsia="zh-CN"/>
                    </w:rPr>
                  </w:pPr>
                  <w:r>
                    <w:rPr>
                      <w:rFonts w:hint="eastAsia"/>
                      <w:color w:val="auto"/>
                      <w:highlight w:val="none"/>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6</w:t>
                  </w:r>
                </w:p>
              </w:tc>
              <w:tc>
                <w:tcPr>
                  <w:tcW w:w="265" w:type="pct"/>
                  <w:vMerge w:val="continue"/>
                  <w:tcBorders>
                    <w:tl2br w:val="nil"/>
                    <w:tr2bl w:val="nil"/>
                  </w:tcBorders>
                  <w:noWrap w:val="0"/>
                  <w:vAlign w:val="center"/>
                </w:tcPr>
                <w:p>
                  <w:pPr>
                    <w:pStyle w:val="34"/>
                    <w:bidi w:val="0"/>
                    <w:rPr>
                      <w:rFonts w:hint="eastAsia"/>
                      <w:color w:val="auto"/>
                      <w:highlight w:val="none"/>
                      <w:lang w:val="en-US" w:eastAsia="zh-CN"/>
                    </w:rPr>
                  </w:pPr>
                </w:p>
              </w:tc>
              <w:tc>
                <w:tcPr>
                  <w:tcW w:w="394" w:type="pct"/>
                  <w:tcBorders>
                    <w:tl2br w:val="nil"/>
                    <w:tr2bl w:val="nil"/>
                  </w:tcBorders>
                  <w:noWrap w:val="0"/>
                  <w:vAlign w:val="center"/>
                </w:tcPr>
                <w:p>
                  <w:pPr>
                    <w:pStyle w:val="34"/>
                    <w:bidi w:val="0"/>
                    <w:rPr>
                      <w:rFonts w:hint="default" w:eastAsia="宋体"/>
                      <w:color w:val="auto"/>
                      <w:highlight w:val="none"/>
                      <w:lang w:val="en-US" w:eastAsia="zh-CN"/>
                    </w:rPr>
                  </w:pPr>
                  <w:r>
                    <w:rPr>
                      <w:rFonts w:hint="eastAsia"/>
                      <w:color w:val="auto"/>
                      <w:highlight w:val="none"/>
                      <w:lang w:val="en-US" w:eastAsia="zh-CN"/>
                    </w:rPr>
                    <w:t>排气噪声</w:t>
                  </w:r>
                </w:p>
              </w:tc>
              <w:tc>
                <w:tcPr>
                  <w:tcW w:w="178"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w:t>
                  </w:r>
                </w:p>
              </w:tc>
              <w:tc>
                <w:tcPr>
                  <w:tcW w:w="433"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w:t>
                  </w:r>
                </w:p>
              </w:tc>
              <w:tc>
                <w:tcPr>
                  <w:tcW w:w="335"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90</w:t>
                  </w:r>
                </w:p>
              </w:tc>
              <w:tc>
                <w:tcPr>
                  <w:tcW w:w="673" w:type="pct"/>
                  <w:tcBorders>
                    <w:tl2br w:val="nil"/>
                    <w:tr2bl w:val="nil"/>
                  </w:tcBorders>
                  <w:noWrap w:val="0"/>
                  <w:vAlign w:val="center"/>
                </w:tcPr>
                <w:p>
                  <w:pPr>
                    <w:pStyle w:val="34"/>
                    <w:bidi w:val="0"/>
                    <w:rPr>
                      <w:rFonts w:hint="eastAsia"/>
                      <w:color w:val="auto"/>
                      <w:highlight w:val="none"/>
                      <w:lang w:val="en-US" w:eastAsia="zh-CN"/>
                    </w:rPr>
                  </w:pPr>
                  <w:r>
                    <w:rPr>
                      <w:rFonts w:hint="eastAsia"/>
                      <w:color w:val="auto"/>
                      <w:highlight w:val="none"/>
                      <w:lang w:val="en-US" w:eastAsia="zh-CN"/>
                    </w:rPr>
                    <w:t>建筑隔声+消声器</w:t>
                  </w:r>
                </w:p>
              </w:tc>
              <w:tc>
                <w:tcPr>
                  <w:tcW w:w="207" w:type="pct"/>
                  <w:tcBorders>
                    <w:tl2br w:val="nil"/>
                    <w:tr2bl w:val="nil"/>
                  </w:tcBorders>
                  <w:noWrap w:val="0"/>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25</w:t>
                  </w:r>
                </w:p>
              </w:tc>
              <w:tc>
                <w:tcPr>
                  <w:tcW w:w="240" w:type="pct"/>
                  <w:tcBorders>
                    <w:tl2br w:val="nil"/>
                    <w:tr2bl w:val="nil"/>
                  </w:tcBorders>
                  <w:noWrap w:val="0"/>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17</w:t>
                  </w:r>
                </w:p>
              </w:tc>
              <w:tc>
                <w:tcPr>
                  <w:tcW w:w="240" w:type="pct"/>
                  <w:tcBorders>
                    <w:tl2br w:val="nil"/>
                    <w:tr2bl w:val="nil"/>
                  </w:tcBorders>
                  <w:noWrap w:val="0"/>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10</w:t>
                  </w:r>
                </w:p>
              </w:tc>
              <w:tc>
                <w:tcPr>
                  <w:tcW w:w="319"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7</w:t>
                  </w:r>
                </w:p>
              </w:tc>
              <w:tc>
                <w:tcPr>
                  <w:tcW w:w="339"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73.65</w:t>
                  </w:r>
                </w:p>
              </w:tc>
              <w:tc>
                <w:tcPr>
                  <w:tcW w:w="260" w:type="pct"/>
                  <w:tcBorders>
                    <w:tl2br w:val="nil"/>
                    <w:tr2bl w:val="nil"/>
                  </w:tcBorders>
                  <w:noWrap w:val="0"/>
                  <w:vAlign w:val="center"/>
                </w:tcPr>
                <w:p>
                  <w:pPr>
                    <w:pStyle w:val="34"/>
                    <w:bidi w:val="0"/>
                    <w:rPr>
                      <w:rFonts w:hint="eastAsia"/>
                      <w:color w:val="auto"/>
                      <w:highlight w:val="none"/>
                      <w:lang w:val="en-US" w:eastAsia="zh-CN"/>
                    </w:rPr>
                  </w:pPr>
                  <w:r>
                    <w:rPr>
                      <w:rFonts w:hint="eastAsia"/>
                      <w:color w:val="auto"/>
                      <w:highlight w:val="none"/>
                      <w:lang w:val="en-US" w:eastAsia="zh-CN"/>
                    </w:rPr>
                    <w:t>连续</w:t>
                  </w:r>
                </w:p>
              </w:tc>
              <w:tc>
                <w:tcPr>
                  <w:tcW w:w="355" w:type="pct"/>
                  <w:tcBorders>
                    <w:tl2br w:val="nil"/>
                    <w:tr2bl w:val="nil"/>
                  </w:tcBorders>
                  <w:noWrap w:val="0"/>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25</w:t>
                  </w:r>
                </w:p>
              </w:tc>
              <w:tc>
                <w:tcPr>
                  <w:tcW w:w="331"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42.65</w:t>
                  </w:r>
                </w:p>
              </w:tc>
              <w:tc>
                <w:tcPr>
                  <w:tcW w:w="289" w:type="pct"/>
                  <w:tcBorders>
                    <w:tl2br w:val="nil"/>
                    <w:tr2bl w:val="nil"/>
                  </w:tcBorders>
                  <w:noWrap w:val="0"/>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7</w:t>
                  </w:r>
                </w:p>
              </w:tc>
              <w:tc>
                <w:tcPr>
                  <w:tcW w:w="265" w:type="pct"/>
                  <w:vMerge w:val="continue"/>
                  <w:tcBorders>
                    <w:tl2br w:val="nil"/>
                    <w:tr2bl w:val="nil"/>
                  </w:tcBorders>
                  <w:noWrap w:val="0"/>
                  <w:vAlign w:val="center"/>
                </w:tcPr>
                <w:p>
                  <w:pPr>
                    <w:pStyle w:val="34"/>
                    <w:bidi w:val="0"/>
                    <w:rPr>
                      <w:rFonts w:hint="eastAsia"/>
                      <w:color w:val="auto"/>
                      <w:highlight w:val="none"/>
                      <w:lang w:val="en-US" w:eastAsia="zh-CN"/>
                    </w:rPr>
                  </w:pPr>
                </w:p>
              </w:tc>
              <w:tc>
                <w:tcPr>
                  <w:tcW w:w="394"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1#液压泵站</w:t>
                  </w:r>
                </w:p>
              </w:tc>
              <w:tc>
                <w:tcPr>
                  <w:tcW w:w="178"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w:t>
                  </w:r>
                </w:p>
              </w:tc>
              <w:tc>
                <w:tcPr>
                  <w:tcW w:w="433"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w:t>
                  </w:r>
                </w:p>
              </w:tc>
              <w:tc>
                <w:tcPr>
                  <w:tcW w:w="335"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90</w:t>
                  </w:r>
                </w:p>
              </w:tc>
              <w:tc>
                <w:tcPr>
                  <w:tcW w:w="673" w:type="pct"/>
                  <w:tcBorders>
                    <w:tl2br w:val="nil"/>
                    <w:tr2bl w:val="nil"/>
                  </w:tcBorders>
                  <w:noWrap w:val="0"/>
                  <w:vAlign w:val="center"/>
                </w:tcPr>
                <w:p>
                  <w:pPr>
                    <w:pStyle w:val="34"/>
                    <w:bidi w:val="0"/>
                    <w:rPr>
                      <w:rFonts w:hint="eastAsia"/>
                      <w:color w:val="auto"/>
                      <w:highlight w:val="none"/>
                      <w:lang w:val="en-US" w:eastAsia="zh-CN"/>
                    </w:rPr>
                  </w:pPr>
                  <w:r>
                    <w:rPr>
                      <w:rFonts w:hint="eastAsia"/>
                      <w:color w:val="auto"/>
                      <w:highlight w:val="none"/>
                      <w:lang w:val="en-US" w:eastAsia="zh-CN"/>
                    </w:rPr>
                    <w:t>基础减振+建筑隔声</w:t>
                  </w:r>
                </w:p>
              </w:tc>
              <w:tc>
                <w:tcPr>
                  <w:tcW w:w="207" w:type="pct"/>
                  <w:tcBorders>
                    <w:tl2br w:val="nil"/>
                    <w:tr2bl w:val="nil"/>
                  </w:tcBorders>
                  <w:noWrap w:val="0"/>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33</w:t>
                  </w:r>
                </w:p>
              </w:tc>
              <w:tc>
                <w:tcPr>
                  <w:tcW w:w="240" w:type="pct"/>
                  <w:tcBorders>
                    <w:tl2br w:val="nil"/>
                    <w:tr2bl w:val="nil"/>
                  </w:tcBorders>
                  <w:noWrap w:val="0"/>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38</w:t>
                  </w:r>
                </w:p>
              </w:tc>
              <w:tc>
                <w:tcPr>
                  <w:tcW w:w="240" w:type="pct"/>
                  <w:tcBorders>
                    <w:tl2br w:val="nil"/>
                    <w:tr2bl w:val="nil"/>
                  </w:tcBorders>
                  <w:noWrap w:val="0"/>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1</w:t>
                  </w:r>
                </w:p>
              </w:tc>
              <w:tc>
                <w:tcPr>
                  <w:tcW w:w="319"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3</w:t>
                  </w:r>
                </w:p>
              </w:tc>
              <w:tc>
                <w:tcPr>
                  <w:tcW w:w="339"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73.76</w:t>
                  </w:r>
                </w:p>
              </w:tc>
              <w:tc>
                <w:tcPr>
                  <w:tcW w:w="260" w:type="pct"/>
                  <w:tcBorders>
                    <w:tl2br w:val="nil"/>
                    <w:tr2bl w:val="nil"/>
                  </w:tcBorders>
                  <w:noWrap w:val="0"/>
                  <w:vAlign w:val="center"/>
                </w:tcPr>
                <w:p>
                  <w:pPr>
                    <w:pStyle w:val="34"/>
                    <w:bidi w:val="0"/>
                    <w:rPr>
                      <w:rFonts w:hint="eastAsia"/>
                      <w:color w:val="auto"/>
                      <w:highlight w:val="none"/>
                      <w:lang w:val="en-US" w:eastAsia="zh-CN"/>
                    </w:rPr>
                  </w:pPr>
                  <w:r>
                    <w:rPr>
                      <w:rFonts w:hint="eastAsia"/>
                      <w:color w:val="auto"/>
                      <w:highlight w:val="none"/>
                      <w:lang w:val="en-US" w:eastAsia="zh-CN"/>
                    </w:rPr>
                    <w:t>连续</w:t>
                  </w:r>
                </w:p>
              </w:tc>
              <w:tc>
                <w:tcPr>
                  <w:tcW w:w="355" w:type="pct"/>
                  <w:tcBorders>
                    <w:tl2br w:val="nil"/>
                    <w:tr2bl w:val="nil"/>
                  </w:tcBorders>
                  <w:noWrap w:val="0"/>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25</w:t>
                  </w:r>
                </w:p>
              </w:tc>
              <w:tc>
                <w:tcPr>
                  <w:tcW w:w="331"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42.76</w:t>
                  </w:r>
                </w:p>
              </w:tc>
              <w:tc>
                <w:tcPr>
                  <w:tcW w:w="289" w:type="pct"/>
                  <w:tcBorders>
                    <w:tl2br w:val="nil"/>
                    <w:tr2bl w:val="nil"/>
                  </w:tcBorders>
                  <w:noWrap w:val="0"/>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8</w:t>
                  </w:r>
                </w:p>
              </w:tc>
              <w:tc>
                <w:tcPr>
                  <w:tcW w:w="265" w:type="pct"/>
                  <w:vMerge w:val="continue"/>
                  <w:tcBorders>
                    <w:tl2br w:val="nil"/>
                    <w:tr2bl w:val="nil"/>
                  </w:tcBorders>
                  <w:noWrap w:val="0"/>
                  <w:vAlign w:val="center"/>
                </w:tcPr>
                <w:p>
                  <w:pPr>
                    <w:pStyle w:val="34"/>
                    <w:bidi w:val="0"/>
                    <w:rPr>
                      <w:rFonts w:hint="eastAsia"/>
                      <w:color w:val="auto"/>
                      <w:highlight w:val="none"/>
                      <w:lang w:val="en-US" w:eastAsia="zh-CN"/>
                    </w:rPr>
                  </w:pPr>
                </w:p>
              </w:tc>
              <w:tc>
                <w:tcPr>
                  <w:tcW w:w="394" w:type="pct"/>
                  <w:tcBorders>
                    <w:tl2br w:val="nil"/>
                    <w:tr2bl w:val="nil"/>
                  </w:tcBorders>
                  <w:noWrap w:val="0"/>
                  <w:vAlign w:val="center"/>
                </w:tcPr>
                <w:p>
                  <w:pPr>
                    <w:pStyle w:val="34"/>
                    <w:bidi w:val="0"/>
                    <w:rPr>
                      <w:rFonts w:hint="eastAsia"/>
                      <w:color w:val="auto"/>
                      <w:highlight w:val="none"/>
                      <w:lang w:val="en-US" w:eastAsia="zh-CN"/>
                    </w:rPr>
                  </w:pPr>
                  <w:r>
                    <w:rPr>
                      <w:rFonts w:hint="eastAsia"/>
                      <w:color w:val="auto"/>
                      <w:highlight w:val="none"/>
                      <w:lang w:val="en-US" w:eastAsia="zh-CN"/>
                    </w:rPr>
                    <w:t>2#液压泵站</w:t>
                  </w:r>
                </w:p>
              </w:tc>
              <w:tc>
                <w:tcPr>
                  <w:tcW w:w="178"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w:t>
                  </w:r>
                </w:p>
              </w:tc>
              <w:tc>
                <w:tcPr>
                  <w:tcW w:w="433"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w:t>
                  </w:r>
                </w:p>
              </w:tc>
              <w:tc>
                <w:tcPr>
                  <w:tcW w:w="335" w:type="pct"/>
                  <w:tcBorders>
                    <w:tl2br w:val="nil"/>
                    <w:tr2bl w:val="nil"/>
                  </w:tcBorders>
                  <w:noWrap w:val="0"/>
                  <w:vAlign w:val="center"/>
                </w:tcPr>
                <w:p>
                  <w:pPr>
                    <w:pStyle w:val="34"/>
                    <w:bidi w:val="0"/>
                    <w:rPr>
                      <w:rFonts w:hint="eastAsia"/>
                      <w:color w:val="auto"/>
                      <w:highlight w:val="none"/>
                      <w:lang w:val="en-US" w:eastAsia="zh-CN"/>
                    </w:rPr>
                  </w:pPr>
                  <w:r>
                    <w:rPr>
                      <w:rFonts w:hint="eastAsia"/>
                      <w:color w:val="auto"/>
                      <w:highlight w:val="none"/>
                      <w:lang w:val="en-US" w:eastAsia="zh-CN"/>
                    </w:rPr>
                    <w:t>90</w:t>
                  </w:r>
                </w:p>
              </w:tc>
              <w:tc>
                <w:tcPr>
                  <w:tcW w:w="673" w:type="pct"/>
                  <w:tcBorders>
                    <w:tl2br w:val="nil"/>
                    <w:tr2bl w:val="nil"/>
                  </w:tcBorders>
                  <w:noWrap w:val="0"/>
                  <w:vAlign w:val="center"/>
                </w:tcPr>
                <w:p>
                  <w:pPr>
                    <w:pStyle w:val="34"/>
                    <w:bidi w:val="0"/>
                    <w:rPr>
                      <w:rFonts w:hint="eastAsia"/>
                      <w:color w:val="auto"/>
                      <w:highlight w:val="none"/>
                      <w:lang w:val="en-US" w:eastAsia="zh-CN"/>
                    </w:rPr>
                  </w:pPr>
                  <w:r>
                    <w:rPr>
                      <w:rFonts w:hint="eastAsia"/>
                      <w:color w:val="auto"/>
                      <w:highlight w:val="none"/>
                      <w:lang w:val="en-US" w:eastAsia="zh-CN"/>
                    </w:rPr>
                    <w:t>基础减振+建筑隔声</w:t>
                  </w:r>
                </w:p>
              </w:tc>
              <w:tc>
                <w:tcPr>
                  <w:tcW w:w="207" w:type="pct"/>
                  <w:tcBorders>
                    <w:tl2br w:val="nil"/>
                    <w:tr2bl w:val="nil"/>
                  </w:tcBorders>
                  <w:noWrap w:val="0"/>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37</w:t>
                  </w:r>
                </w:p>
              </w:tc>
              <w:tc>
                <w:tcPr>
                  <w:tcW w:w="240" w:type="pct"/>
                  <w:tcBorders>
                    <w:tl2br w:val="nil"/>
                    <w:tr2bl w:val="nil"/>
                  </w:tcBorders>
                  <w:noWrap w:val="0"/>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35</w:t>
                  </w:r>
                </w:p>
              </w:tc>
              <w:tc>
                <w:tcPr>
                  <w:tcW w:w="240" w:type="pct"/>
                  <w:tcBorders>
                    <w:tl2br w:val="nil"/>
                    <w:tr2bl w:val="nil"/>
                  </w:tcBorders>
                  <w:noWrap w:val="0"/>
                  <w:vAlign w:val="center"/>
                </w:tcPr>
                <w:p>
                  <w:pPr>
                    <w:pStyle w:val="34"/>
                    <w:bidi w:val="0"/>
                    <w:ind w:left="0" w:leftChars="0" w:firstLine="0" w:firstLineChars="0"/>
                    <w:rPr>
                      <w:rFonts w:hint="default"/>
                      <w:color w:val="auto"/>
                      <w:highlight w:val="none"/>
                      <w:lang w:val="en-US" w:eastAsia="zh-CN"/>
                    </w:rPr>
                  </w:pPr>
                  <w:r>
                    <w:rPr>
                      <w:rFonts w:hint="eastAsia"/>
                      <w:color w:val="auto"/>
                      <w:highlight w:val="none"/>
                      <w:lang w:val="en-US" w:eastAsia="zh-CN"/>
                    </w:rPr>
                    <w:t>1</w:t>
                  </w:r>
                </w:p>
              </w:tc>
              <w:tc>
                <w:tcPr>
                  <w:tcW w:w="319" w:type="pct"/>
                  <w:tcBorders>
                    <w:tl2br w:val="nil"/>
                    <w:tr2bl w:val="nil"/>
                  </w:tcBorders>
                  <w:noWrap w:val="0"/>
                  <w:vAlign w:val="center"/>
                </w:tcPr>
                <w:p>
                  <w:pPr>
                    <w:pStyle w:val="34"/>
                    <w:bidi w:val="0"/>
                    <w:rPr>
                      <w:rFonts w:hint="default"/>
                      <w:color w:val="auto"/>
                      <w:highlight w:val="none"/>
                      <w:lang w:val="en-US" w:eastAsia="zh-CN"/>
                    </w:rPr>
                  </w:pPr>
                  <w:r>
                    <w:rPr>
                      <w:rFonts w:hint="eastAsia"/>
                      <w:color w:val="auto"/>
                      <w:highlight w:val="none"/>
                      <w:lang w:val="en-US" w:eastAsia="zh-CN"/>
                    </w:rPr>
                    <w:t>3</w:t>
                  </w:r>
                </w:p>
              </w:tc>
              <w:tc>
                <w:tcPr>
                  <w:tcW w:w="339" w:type="pct"/>
                  <w:tcBorders>
                    <w:tl2br w:val="nil"/>
                    <w:tr2bl w:val="nil"/>
                  </w:tcBorders>
                  <w:noWrap w:val="0"/>
                  <w:vAlign w:val="center"/>
                </w:tcPr>
                <w:p>
                  <w:pPr>
                    <w:pStyle w:val="34"/>
                    <w:bidi w:val="0"/>
                    <w:rPr>
                      <w:rFonts w:hint="eastAsia"/>
                      <w:color w:val="auto"/>
                      <w:highlight w:val="none"/>
                      <w:lang w:val="en-US" w:eastAsia="zh-CN"/>
                    </w:rPr>
                  </w:pPr>
                  <w:r>
                    <w:rPr>
                      <w:rFonts w:hint="eastAsia"/>
                      <w:color w:val="auto"/>
                      <w:highlight w:val="none"/>
                      <w:lang w:val="en-US" w:eastAsia="zh-CN"/>
                    </w:rPr>
                    <w:t>73.76</w:t>
                  </w:r>
                </w:p>
              </w:tc>
              <w:tc>
                <w:tcPr>
                  <w:tcW w:w="260" w:type="pct"/>
                  <w:tcBorders>
                    <w:tl2br w:val="nil"/>
                    <w:tr2bl w:val="nil"/>
                  </w:tcBorders>
                  <w:noWrap w:val="0"/>
                  <w:vAlign w:val="center"/>
                </w:tcPr>
                <w:p>
                  <w:pPr>
                    <w:pStyle w:val="34"/>
                    <w:bidi w:val="0"/>
                    <w:rPr>
                      <w:rFonts w:hint="eastAsia"/>
                      <w:color w:val="auto"/>
                      <w:highlight w:val="none"/>
                      <w:lang w:val="en-US" w:eastAsia="zh-CN"/>
                    </w:rPr>
                  </w:pPr>
                  <w:r>
                    <w:rPr>
                      <w:rFonts w:hint="eastAsia"/>
                      <w:color w:val="auto"/>
                      <w:highlight w:val="none"/>
                      <w:lang w:val="en-US" w:eastAsia="zh-CN"/>
                    </w:rPr>
                    <w:t>连续</w:t>
                  </w:r>
                </w:p>
              </w:tc>
              <w:tc>
                <w:tcPr>
                  <w:tcW w:w="355" w:type="pct"/>
                  <w:tcBorders>
                    <w:tl2br w:val="nil"/>
                    <w:tr2bl w:val="nil"/>
                  </w:tcBorders>
                  <w:noWrap w:val="0"/>
                  <w:vAlign w:val="center"/>
                </w:tcPr>
                <w:p>
                  <w:pPr>
                    <w:pStyle w:val="34"/>
                    <w:bidi w:val="0"/>
                    <w:ind w:left="0" w:leftChars="0" w:firstLine="0" w:firstLineChars="0"/>
                    <w:rPr>
                      <w:rFonts w:hint="eastAsia"/>
                      <w:color w:val="auto"/>
                      <w:highlight w:val="none"/>
                      <w:lang w:val="en-US" w:eastAsia="zh-CN"/>
                    </w:rPr>
                  </w:pPr>
                  <w:r>
                    <w:rPr>
                      <w:rFonts w:hint="eastAsia"/>
                      <w:color w:val="auto"/>
                      <w:highlight w:val="none"/>
                      <w:lang w:val="en-US" w:eastAsia="zh-CN"/>
                    </w:rPr>
                    <w:t>25</w:t>
                  </w:r>
                </w:p>
              </w:tc>
              <w:tc>
                <w:tcPr>
                  <w:tcW w:w="331" w:type="pct"/>
                  <w:tcBorders>
                    <w:tl2br w:val="nil"/>
                    <w:tr2bl w:val="nil"/>
                  </w:tcBorders>
                  <w:noWrap w:val="0"/>
                  <w:vAlign w:val="center"/>
                </w:tcPr>
                <w:p>
                  <w:pPr>
                    <w:pStyle w:val="34"/>
                    <w:bidi w:val="0"/>
                    <w:rPr>
                      <w:rFonts w:hint="eastAsia"/>
                      <w:color w:val="auto"/>
                      <w:highlight w:val="none"/>
                      <w:lang w:val="en-US" w:eastAsia="zh-CN"/>
                    </w:rPr>
                  </w:pPr>
                  <w:r>
                    <w:rPr>
                      <w:rFonts w:hint="eastAsia"/>
                      <w:color w:val="auto"/>
                      <w:highlight w:val="none"/>
                      <w:lang w:val="en-US" w:eastAsia="zh-CN"/>
                    </w:rPr>
                    <w:t>42.76</w:t>
                  </w:r>
                </w:p>
              </w:tc>
              <w:tc>
                <w:tcPr>
                  <w:tcW w:w="289" w:type="pct"/>
                  <w:tcBorders>
                    <w:tl2br w:val="nil"/>
                    <w:tr2bl w:val="nil"/>
                  </w:tcBorders>
                  <w:noWrap w:val="0"/>
                  <w:vAlign w:val="center"/>
                </w:tcPr>
                <w:p>
                  <w:pPr>
                    <w:pStyle w:val="34"/>
                    <w:bidi w:val="0"/>
                    <w:ind w:left="0" w:leftChars="0" w:firstLine="0" w:firstLineChars="0"/>
                    <w:rPr>
                      <w:rFonts w:hint="eastAsia"/>
                      <w:color w:val="auto"/>
                      <w:highlight w:val="none"/>
                      <w:lang w:val="en-US" w:eastAsia="zh-CN"/>
                    </w:rPr>
                  </w:pPr>
                  <w:r>
                    <w:rPr>
                      <w:rFonts w:hint="eastAsia"/>
                      <w:color w:val="auto"/>
                      <w:highlight w:val="none"/>
                      <w:lang w:val="en-US" w:eastAsia="zh-CN"/>
                    </w:rPr>
                    <w:t>1m</w:t>
                  </w:r>
                </w:p>
              </w:tc>
            </w:tr>
          </w:tbl>
          <w:p>
            <w:pPr>
              <w:ind w:left="0" w:leftChars="0" w:firstLine="0" w:firstLineChars="0"/>
              <w:jc w:val="left"/>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注：本次坐标原点</w:t>
            </w:r>
            <w:r>
              <w:rPr>
                <w:rFonts w:hint="default" w:ascii="Times New Roman" w:hAnsi="Times New Roman"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0）点设置在</w:t>
            </w:r>
            <w:r>
              <w:rPr>
                <w:rFonts w:hint="eastAsia" w:cs="Times New Roman"/>
                <w:color w:val="auto"/>
                <w:sz w:val="21"/>
                <w:szCs w:val="21"/>
                <w:highlight w:val="none"/>
                <w:lang w:val="en-US" w:eastAsia="zh-CN"/>
              </w:rPr>
              <w:t>制氧车间西南角拐点处</w:t>
            </w:r>
            <w:r>
              <w:rPr>
                <w:rFonts w:hint="default" w:ascii="Times New Roman" w:hAnsi="Times New Roman" w:cs="Times New Roman"/>
                <w:color w:val="auto"/>
                <w:sz w:val="21"/>
                <w:szCs w:val="21"/>
                <w:highlight w:val="none"/>
                <w:lang w:val="en-US" w:eastAsia="zh-CN"/>
              </w:rPr>
              <w:t>，地理坐标为东经：102.1663</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北纬：24.7051</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w:t>
            </w:r>
          </w:p>
          <w:p>
            <w:pPr>
              <w:ind w:left="0" w:leftChars="0" w:firstLine="0" w:firstLineChars="0"/>
              <w:rPr>
                <w:rFonts w:hint="eastAsia"/>
                <w:color w:val="auto"/>
                <w:highlight w:val="none"/>
                <w:vertAlign w:val="baseline"/>
                <w:lang w:val="en-US" w:eastAsia="zh-CN"/>
              </w:rPr>
            </w:pPr>
          </w:p>
        </w:tc>
      </w:tr>
    </w:tbl>
    <w:p>
      <w:pPr>
        <w:ind w:left="0" w:leftChars="0" w:firstLine="0" w:firstLineChars="0"/>
        <w:rPr>
          <w:rFonts w:hint="eastAsia"/>
          <w:color w:val="auto"/>
          <w:highlight w:val="none"/>
          <w:lang w:val="en-US" w:eastAsia="zh-CN"/>
        </w:rPr>
        <w:sectPr>
          <w:headerReference r:id="rId8" w:type="default"/>
          <w:pgSz w:w="16838" w:h="11906" w:orient="landscape"/>
          <w:pgMar w:top="1797" w:right="1440" w:bottom="1797" w:left="1440" w:header="1191" w:footer="992" w:gutter="0"/>
          <w:pgBorders w:offsetFrom="page">
            <w:top w:val="none" w:sz="0" w:space="0"/>
            <w:left w:val="none" w:sz="0" w:space="0"/>
            <w:bottom w:val="none" w:sz="0" w:space="0"/>
            <w:right w:val="none" w:sz="0" w:space="0"/>
          </w:pgBorders>
          <w:pgNumType w:fmt="decimal"/>
          <w:cols w:space="425" w:num="1"/>
          <w:docGrid w:type="lines" w:linePitch="312" w:charSpace="0"/>
        </w:sect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
        <w:gridCol w:w="7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4" w:hRule="atLeast"/>
        </w:trPr>
        <w:tc>
          <w:tcPr>
            <w:tcW w:w="558" w:type="dxa"/>
            <w:vAlign w:val="center"/>
          </w:tcPr>
          <w:p>
            <w:pPr>
              <w:pStyle w:val="41"/>
              <w:bidi w:val="0"/>
              <w:rPr>
                <w:rFonts w:hint="default"/>
                <w:color w:val="auto"/>
                <w:highlight w:val="none"/>
                <w:lang w:val="en-US" w:eastAsia="zh-CN"/>
              </w:rPr>
            </w:pPr>
          </w:p>
        </w:tc>
        <w:tc>
          <w:tcPr>
            <w:tcW w:w="7970" w:type="dxa"/>
            <w:vAlign w:val="top"/>
          </w:tcPr>
          <w:p>
            <w:pPr>
              <w:bidi w:val="0"/>
              <w:rPr>
                <w:rFonts w:hint="eastAsia"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2、噪声预测评价</w:t>
            </w:r>
          </w:p>
          <w:p>
            <w:pPr>
              <w:bidi w:val="0"/>
              <w:rPr>
                <w:rFonts w:hint="default"/>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default"/>
                <w:color w:val="auto"/>
                <w:highlight w:val="none"/>
              </w:rPr>
              <w:t>室内声源预测模式</w:t>
            </w:r>
          </w:p>
          <w:p>
            <w:pPr>
              <w:bidi w:val="0"/>
              <w:rPr>
                <w:rFonts w:hint="default"/>
                <w:color w:val="auto"/>
                <w:highlight w:val="none"/>
              </w:rPr>
            </w:pPr>
            <w:r>
              <w:rPr>
                <w:rFonts w:hint="default"/>
                <w:color w:val="auto"/>
                <w:highlight w:val="none"/>
              </w:rPr>
              <w:t>根据《环境影响评价技术导则 声环境》（HJ 2.4-2021），先计算某室内声源靠近围护结构处产生的倍频带声压级或A声级，计算公式如下：</w:t>
            </w:r>
          </w:p>
          <w:p>
            <w:pPr>
              <w:ind w:firstLine="48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drawing>
                <wp:inline distT="0" distB="0" distL="114300" distR="114300">
                  <wp:extent cx="3028950" cy="66675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0"/>
                          <a:stretch>
                            <a:fillRect/>
                          </a:stretch>
                        </pic:blipFill>
                        <pic:spPr>
                          <a:xfrm>
                            <a:off x="0" y="0"/>
                            <a:ext cx="3028950" cy="666750"/>
                          </a:xfrm>
                          <a:prstGeom prst="rect">
                            <a:avLst/>
                          </a:prstGeom>
                          <a:noFill/>
                          <a:ln>
                            <a:noFill/>
                          </a:ln>
                        </pic:spPr>
                      </pic:pic>
                    </a:graphicData>
                  </a:graphic>
                </wp:inline>
              </w:drawing>
            </w:r>
          </w:p>
          <w:p>
            <w:pPr>
              <w:widowControl/>
              <w:autoSpaceDE w:val="0"/>
              <w:autoSpaceDN w:val="0"/>
              <w:ind w:firstLine="480"/>
              <w:jc w:val="left"/>
              <w:rPr>
                <w:rFonts w:hint="default" w:ascii="Times New Roman" w:hAnsi="Times New Roman" w:eastAsia="宋体" w:cs="Times New Roman"/>
                <w:color w:val="auto"/>
                <w:highlight w:val="none"/>
                <w:lang w:bidi="ar"/>
              </w:rPr>
            </w:pPr>
            <w:r>
              <w:rPr>
                <w:rFonts w:hint="default" w:ascii="Times New Roman" w:hAnsi="Times New Roman" w:eastAsia="宋体" w:cs="Times New Roman"/>
                <w:color w:val="auto"/>
                <w:highlight w:val="none"/>
                <w:lang w:bidi="ar"/>
              </w:rPr>
              <w:t>式中：</w:t>
            </w:r>
            <w:r>
              <w:rPr>
                <w:rFonts w:hint="default" w:ascii="Times New Roman" w:hAnsi="Times New Roman" w:eastAsia="宋体" w:cs="Times New Roman"/>
                <w:i/>
                <w:iCs/>
                <w:color w:val="auto"/>
                <w:highlight w:val="none"/>
                <w:lang w:bidi="ar"/>
              </w:rPr>
              <w:t>L</w:t>
            </w:r>
            <w:r>
              <w:rPr>
                <w:rFonts w:hint="default" w:ascii="Times New Roman" w:hAnsi="Times New Roman" w:eastAsia="宋体" w:cs="Times New Roman"/>
                <w:i/>
                <w:iCs/>
                <w:color w:val="auto"/>
                <w:highlight w:val="none"/>
                <w:vertAlign w:val="subscript"/>
                <w:lang w:bidi="ar"/>
              </w:rPr>
              <w:t>p1</w:t>
            </w:r>
            <w:r>
              <w:rPr>
                <w:rFonts w:hint="default" w:ascii="Times New Roman" w:hAnsi="Times New Roman" w:eastAsia="宋体" w:cs="Times New Roman"/>
                <w:color w:val="auto"/>
                <w:highlight w:val="none"/>
                <w:lang w:bidi="ar"/>
              </w:rPr>
              <w:t xml:space="preserve">—靠近开口处 </w:t>
            </w:r>
            <w:r>
              <w:rPr>
                <w:rFonts w:hint="eastAsia" w:cs="Times New Roman"/>
                <w:color w:val="auto"/>
                <w:highlight w:val="none"/>
                <w:lang w:eastAsia="zh-CN" w:bidi="ar"/>
              </w:rPr>
              <w:t>（</w:t>
            </w:r>
            <w:r>
              <w:rPr>
                <w:rFonts w:hint="default" w:ascii="Times New Roman" w:hAnsi="Times New Roman" w:eastAsia="宋体" w:cs="Times New Roman"/>
                <w:color w:val="auto"/>
                <w:highlight w:val="none"/>
                <w:lang w:bidi="ar"/>
              </w:rPr>
              <w:t>或窗户</w:t>
            </w:r>
            <w:r>
              <w:rPr>
                <w:rFonts w:hint="eastAsia" w:cs="Times New Roman"/>
                <w:color w:val="auto"/>
                <w:highlight w:val="none"/>
                <w:lang w:eastAsia="zh-CN" w:bidi="ar"/>
              </w:rPr>
              <w:t>）</w:t>
            </w:r>
            <w:r>
              <w:rPr>
                <w:rFonts w:hint="default" w:ascii="Times New Roman" w:hAnsi="Times New Roman" w:eastAsia="宋体" w:cs="Times New Roman"/>
                <w:color w:val="auto"/>
                <w:highlight w:val="none"/>
                <w:lang w:bidi="ar"/>
              </w:rPr>
              <w:t>室内某倍频带的声压级或A声级，dB;</w:t>
            </w:r>
          </w:p>
          <w:p>
            <w:pPr>
              <w:widowControl/>
              <w:autoSpaceDE w:val="0"/>
              <w:autoSpaceDN w:val="0"/>
              <w:ind w:firstLine="1200" w:firstLineChars="500"/>
              <w:jc w:val="left"/>
              <w:rPr>
                <w:rFonts w:hint="default" w:ascii="Times New Roman" w:hAnsi="Times New Roman" w:eastAsia="宋体" w:cs="Times New Roman"/>
                <w:color w:val="auto"/>
                <w:highlight w:val="none"/>
                <w:lang w:bidi="ar"/>
              </w:rPr>
            </w:pPr>
            <w:r>
              <w:rPr>
                <w:rFonts w:hint="default" w:ascii="Times New Roman" w:hAnsi="Times New Roman" w:eastAsia="宋体" w:cs="Times New Roman"/>
                <w:i/>
                <w:iCs/>
                <w:color w:val="auto"/>
                <w:highlight w:val="none"/>
                <w:lang w:bidi="ar"/>
              </w:rPr>
              <w:t>Lw</w:t>
            </w:r>
            <w:r>
              <w:rPr>
                <w:rFonts w:hint="default" w:ascii="Times New Roman" w:hAnsi="Times New Roman" w:eastAsia="宋体" w:cs="Times New Roman"/>
                <w:color w:val="auto"/>
                <w:highlight w:val="none"/>
                <w:lang w:bidi="ar"/>
              </w:rPr>
              <w:t>—点声源声功率级</w:t>
            </w:r>
            <w:r>
              <w:rPr>
                <w:rFonts w:hint="eastAsia" w:cs="Times New Roman"/>
                <w:color w:val="auto"/>
                <w:highlight w:val="none"/>
                <w:lang w:eastAsia="zh-CN" w:bidi="ar"/>
              </w:rPr>
              <w:t>（</w:t>
            </w:r>
            <w:r>
              <w:rPr>
                <w:rFonts w:hint="default" w:ascii="Times New Roman" w:hAnsi="Times New Roman" w:eastAsia="宋体" w:cs="Times New Roman"/>
                <w:color w:val="auto"/>
                <w:highlight w:val="none"/>
                <w:lang w:bidi="ar"/>
              </w:rPr>
              <w:t>A计权或倍频带</w:t>
            </w:r>
            <w:r>
              <w:rPr>
                <w:rFonts w:hint="eastAsia" w:cs="Times New Roman"/>
                <w:color w:val="auto"/>
                <w:highlight w:val="none"/>
                <w:lang w:eastAsia="zh-CN" w:bidi="ar"/>
              </w:rPr>
              <w:t>）</w:t>
            </w:r>
            <w:r>
              <w:rPr>
                <w:rFonts w:hint="default" w:ascii="Times New Roman" w:hAnsi="Times New Roman" w:eastAsia="宋体" w:cs="Times New Roman"/>
                <w:color w:val="auto"/>
                <w:highlight w:val="none"/>
                <w:lang w:bidi="ar"/>
              </w:rPr>
              <w:t>，dB；</w:t>
            </w:r>
          </w:p>
          <w:p>
            <w:pPr>
              <w:widowControl/>
              <w:autoSpaceDE w:val="0"/>
              <w:autoSpaceDN w:val="0"/>
              <w:ind w:firstLine="1200" w:firstLineChars="500"/>
              <w:jc w:val="left"/>
              <w:rPr>
                <w:rFonts w:hint="default" w:ascii="Times New Roman" w:hAnsi="Times New Roman" w:eastAsia="宋体" w:cs="Times New Roman"/>
                <w:color w:val="auto"/>
                <w:highlight w:val="none"/>
                <w:lang w:bidi="ar"/>
              </w:rPr>
            </w:pPr>
            <w:r>
              <w:rPr>
                <w:rFonts w:hint="default" w:ascii="Times New Roman" w:hAnsi="Times New Roman" w:eastAsia="宋体" w:cs="Times New Roman"/>
                <w:i/>
                <w:iCs/>
                <w:color w:val="auto"/>
                <w:highlight w:val="none"/>
                <w:lang w:bidi="ar"/>
              </w:rPr>
              <w:t>Q</w:t>
            </w:r>
            <w:r>
              <w:rPr>
                <w:rFonts w:hint="default" w:ascii="Times New Roman" w:hAnsi="Times New Roman" w:eastAsia="宋体" w:cs="Times New Roman"/>
                <w:color w:val="auto"/>
                <w:highlight w:val="none"/>
                <w:lang w:bidi="ar"/>
              </w:rPr>
              <w:t>—指向性因数；通常对无指向性声源，当声源放在房间中心时，Q=1；当放在一面墙的中心时，Q=2；当放在两面墙夹角处时，Q=4；当放在三面墙夹角处时，Q=8；</w:t>
            </w:r>
          </w:p>
          <w:p>
            <w:pPr>
              <w:widowControl/>
              <w:autoSpaceDE w:val="0"/>
              <w:autoSpaceDN w:val="0"/>
              <w:ind w:firstLine="1200" w:firstLineChars="500"/>
              <w:jc w:val="left"/>
              <w:rPr>
                <w:rFonts w:hint="default" w:ascii="Times New Roman" w:hAnsi="Times New Roman" w:eastAsia="宋体" w:cs="Times New Roman"/>
                <w:color w:val="auto"/>
                <w:highlight w:val="none"/>
                <w:lang w:bidi="ar"/>
              </w:rPr>
            </w:pPr>
            <w:r>
              <w:rPr>
                <w:rFonts w:hint="default" w:ascii="Times New Roman" w:hAnsi="Times New Roman" w:eastAsia="宋体" w:cs="Times New Roman"/>
                <w:i/>
                <w:iCs/>
                <w:color w:val="auto"/>
                <w:highlight w:val="none"/>
                <w:lang w:bidi="ar"/>
              </w:rPr>
              <w:t>R</w:t>
            </w:r>
            <w:r>
              <w:rPr>
                <w:rFonts w:hint="default" w:ascii="Times New Roman" w:hAnsi="Times New Roman" w:eastAsia="宋体" w:cs="Times New Roman"/>
                <w:color w:val="auto"/>
                <w:highlight w:val="none"/>
                <w:lang w:bidi="ar"/>
              </w:rPr>
              <w:t>—房间常数；R=Sa/</w:t>
            </w:r>
            <w:r>
              <w:rPr>
                <w:rFonts w:hint="eastAsia" w:cs="Times New Roman"/>
                <w:color w:val="auto"/>
                <w:highlight w:val="none"/>
                <w:lang w:eastAsia="zh-CN" w:bidi="ar"/>
              </w:rPr>
              <w:t>（</w:t>
            </w:r>
            <w:r>
              <w:rPr>
                <w:rFonts w:hint="default" w:ascii="Times New Roman" w:hAnsi="Times New Roman" w:eastAsia="宋体" w:cs="Times New Roman"/>
                <w:color w:val="auto"/>
                <w:highlight w:val="none"/>
                <w:lang w:bidi="ar"/>
              </w:rPr>
              <w:t>1-a</w:t>
            </w:r>
            <w:r>
              <w:rPr>
                <w:rFonts w:hint="eastAsia" w:cs="Times New Roman"/>
                <w:color w:val="auto"/>
                <w:highlight w:val="none"/>
                <w:lang w:eastAsia="zh-CN" w:bidi="ar"/>
              </w:rPr>
              <w:t>）</w:t>
            </w:r>
            <w:r>
              <w:rPr>
                <w:rFonts w:hint="default" w:ascii="Times New Roman" w:hAnsi="Times New Roman" w:eastAsia="宋体" w:cs="Times New Roman"/>
                <w:color w:val="auto"/>
                <w:highlight w:val="none"/>
                <w:lang w:bidi="ar"/>
              </w:rPr>
              <w:t>，S为房间内表面面积，m</w:t>
            </w:r>
            <w:r>
              <w:rPr>
                <w:rFonts w:hint="default" w:ascii="Times New Roman" w:hAnsi="Times New Roman" w:eastAsia="宋体" w:cs="Times New Roman"/>
                <w:color w:val="auto"/>
                <w:highlight w:val="none"/>
                <w:vertAlign w:val="superscript"/>
                <w:lang w:bidi="ar"/>
              </w:rPr>
              <w:t>2</w:t>
            </w:r>
            <w:r>
              <w:rPr>
                <w:rFonts w:hint="default" w:ascii="Times New Roman" w:hAnsi="Times New Roman" w:eastAsia="宋体" w:cs="Times New Roman"/>
                <w:color w:val="auto"/>
                <w:highlight w:val="none"/>
                <w:lang w:bidi="ar"/>
              </w:rPr>
              <w:t>；a为平均吸声系数；</w:t>
            </w:r>
          </w:p>
          <w:p>
            <w:pPr>
              <w:widowControl/>
              <w:autoSpaceDE w:val="0"/>
              <w:autoSpaceDN w:val="0"/>
              <w:ind w:firstLine="1200" w:firstLineChars="500"/>
              <w:jc w:val="left"/>
              <w:rPr>
                <w:rFonts w:hint="default" w:ascii="Times New Roman" w:hAnsi="Times New Roman" w:eastAsia="宋体" w:cs="Times New Roman"/>
                <w:color w:val="auto"/>
                <w:highlight w:val="none"/>
                <w:lang w:bidi="ar"/>
              </w:rPr>
            </w:pPr>
            <w:r>
              <w:rPr>
                <w:rFonts w:hint="default" w:ascii="Times New Roman" w:hAnsi="Times New Roman" w:eastAsia="宋体" w:cs="Times New Roman"/>
                <w:i/>
                <w:iCs/>
                <w:color w:val="auto"/>
                <w:highlight w:val="none"/>
                <w:lang w:bidi="ar"/>
              </w:rPr>
              <w:t>r</w:t>
            </w:r>
            <w:r>
              <w:rPr>
                <w:rFonts w:hint="default" w:ascii="Times New Roman" w:hAnsi="Times New Roman" w:eastAsia="宋体" w:cs="Times New Roman"/>
                <w:color w:val="auto"/>
                <w:highlight w:val="none"/>
                <w:lang w:bidi="ar"/>
              </w:rPr>
              <w:t>—声源到靠近围护结构某点处的距离，m。</w:t>
            </w:r>
          </w:p>
          <w:p>
            <w:pPr>
              <w:widowControl/>
              <w:autoSpaceDE w:val="0"/>
              <w:autoSpaceDN w:val="0"/>
              <w:ind w:firstLine="480"/>
              <w:jc w:val="left"/>
              <w:rPr>
                <w:rFonts w:hint="default" w:ascii="Times New Roman" w:hAnsi="Times New Roman" w:eastAsia="宋体" w:cs="Times New Roman"/>
                <w:color w:val="auto"/>
                <w:highlight w:val="none"/>
                <w:lang w:bidi="ar"/>
              </w:rPr>
            </w:pPr>
            <w:r>
              <w:rPr>
                <w:rFonts w:hint="default" w:ascii="Times New Roman" w:hAnsi="Times New Roman" w:eastAsia="宋体" w:cs="Times New Roman"/>
                <w:color w:val="auto"/>
                <w:highlight w:val="none"/>
                <w:lang w:bidi="ar"/>
              </w:rPr>
              <w:t>然后按如下式计算出所有室内声源在围护结构处产生的i倍频带叠加声压级</w:t>
            </w:r>
            <w:r>
              <w:rPr>
                <w:rFonts w:hint="eastAsia" w:cs="Times New Roman"/>
                <w:color w:val="auto"/>
                <w:highlight w:val="none"/>
                <w:lang w:eastAsia="zh-CN" w:bidi="ar"/>
              </w:rPr>
              <w:t>：</w:t>
            </w:r>
          </w:p>
          <w:p>
            <w:pPr>
              <w:ind w:firstLine="48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drawing>
                <wp:inline distT="0" distB="0" distL="114300" distR="114300">
                  <wp:extent cx="2762250" cy="714375"/>
                  <wp:effectExtent l="0" t="0" r="0" b="952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1"/>
                          <a:stretch>
                            <a:fillRect/>
                          </a:stretch>
                        </pic:blipFill>
                        <pic:spPr>
                          <a:xfrm>
                            <a:off x="0" y="0"/>
                            <a:ext cx="2762250" cy="714375"/>
                          </a:xfrm>
                          <a:prstGeom prst="rect">
                            <a:avLst/>
                          </a:prstGeom>
                          <a:noFill/>
                          <a:ln>
                            <a:noFill/>
                          </a:ln>
                        </pic:spPr>
                      </pic:pic>
                    </a:graphicData>
                  </a:graphic>
                </wp:inline>
              </w:drawing>
            </w:r>
          </w:p>
          <w:p>
            <w:pPr>
              <w:widowControl/>
              <w:autoSpaceDE w:val="0"/>
              <w:autoSpaceDN w:val="0"/>
              <w:ind w:firstLine="480"/>
              <w:jc w:val="left"/>
              <w:rPr>
                <w:rFonts w:hint="default" w:ascii="Times New Roman" w:hAnsi="Times New Roman" w:eastAsia="宋体" w:cs="Times New Roman"/>
                <w:color w:val="auto"/>
                <w:highlight w:val="none"/>
                <w:lang w:bidi="ar"/>
              </w:rPr>
            </w:pPr>
            <w:r>
              <w:rPr>
                <w:rFonts w:hint="default" w:ascii="Times New Roman" w:hAnsi="Times New Roman" w:eastAsia="宋体" w:cs="Times New Roman"/>
                <w:color w:val="auto"/>
                <w:highlight w:val="none"/>
                <w:lang w:bidi="ar"/>
              </w:rPr>
              <w:t>式中：</w:t>
            </w:r>
            <w:r>
              <w:rPr>
                <w:rFonts w:hint="default" w:ascii="Times New Roman" w:hAnsi="Times New Roman" w:eastAsia="宋体" w:cs="Times New Roman"/>
                <w:i/>
                <w:iCs/>
                <w:color w:val="auto"/>
                <w:highlight w:val="none"/>
                <w:lang w:bidi="ar"/>
              </w:rPr>
              <w:t>L</w:t>
            </w:r>
            <w:r>
              <w:rPr>
                <w:rFonts w:hint="default" w:ascii="Times New Roman" w:hAnsi="Times New Roman" w:eastAsia="宋体" w:cs="Times New Roman"/>
                <w:i/>
                <w:iCs/>
                <w:color w:val="auto"/>
                <w:highlight w:val="none"/>
                <w:vertAlign w:val="subscript"/>
                <w:lang w:bidi="ar"/>
              </w:rPr>
              <w:t>pli</w:t>
            </w:r>
            <w:r>
              <w:rPr>
                <w:rFonts w:hint="default" w:ascii="Times New Roman" w:hAnsi="Times New Roman" w:eastAsia="宋体" w:cs="Times New Roman"/>
                <w:i/>
                <w:iCs/>
                <w:color w:val="auto"/>
                <w:highlight w:val="none"/>
                <w:lang w:bidi="ar"/>
              </w:rPr>
              <w:t>(T)</w:t>
            </w:r>
            <w:r>
              <w:rPr>
                <w:rFonts w:hint="default" w:ascii="Times New Roman" w:hAnsi="Times New Roman" w:eastAsia="宋体" w:cs="Times New Roman"/>
                <w:color w:val="auto"/>
                <w:highlight w:val="none"/>
                <w:lang w:bidi="ar"/>
              </w:rPr>
              <w:t>—靠近围护结构处室内N个声源i倍频带的叠加声压级，dB;</w:t>
            </w:r>
          </w:p>
          <w:p>
            <w:pPr>
              <w:widowControl/>
              <w:autoSpaceDE w:val="0"/>
              <w:autoSpaceDN w:val="0"/>
              <w:ind w:firstLine="1200" w:firstLineChars="500"/>
              <w:jc w:val="left"/>
              <w:rPr>
                <w:rFonts w:hint="default" w:ascii="Times New Roman" w:hAnsi="Times New Roman" w:eastAsia="宋体" w:cs="Times New Roman"/>
                <w:color w:val="auto"/>
                <w:highlight w:val="none"/>
                <w:lang w:bidi="ar"/>
              </w:rPr>
            </w:pPr>
            <w:r>
              <w:rPr>
                <w:rFonts w:hint="default" w:ascii="Times New Roman" w:hAnsi="Times New Roman" w:eastAsia="宋体" w:cs="Times New Roman"/>
                <w:i/>
                <w:iCs/>
                <w:color w:val="auto"/>
                <w:highlight w:val="none"/>
                <w:lang w:bidi="ar"/>
              </w:rPr>
              <w:t>Lpi</w:t>
            </w:r>
            <w:r>
              <w:rPr>
                <w:rFonts w:hint="default" w:ascii="Times New Roman" w:hAnsi="Times New Roman" w:eastAsia="宋体" w:cs="Times New Roman"/>
                <w:color w:val="auto"/>
                <w:highlight w:val="none"/>
                <w:lang w:bidi="ar"/>
              </w:rPr>
              <w:t>—室内j声源i倍频带的声压级，dB；</w:t>
            </w:r>
          </w:p>
          <w:p>
            <w:pPr>
              <w:widowControl/>
              <w:autoSpaceDE w:val="0"/>
              <w:autoSpaceDN w:val="0"/>
              <w:ind w:firstLine="1200" w:firstLineChars="500"/>
              <w:jc w:val="left"/>
              <w:rPr>
                <w:rFonts w:hint="default" w:ascii="Times New Roman" w:hAnsi="Times New Roman" w:eastAsia="宋体" w:cs="Times New Roman"/>
                <w:color w:val="auto"/>
                <w:highlight w:val="none"/>
                <w:lang w:bidi="ar"/>
              </w:rPr>
            </w:pPr>
            <w:r>
              <w:rPr>
                <w:rFonts w:hint="default" w:ascii="Times New Roman" w:hAnsi="Times New Roman" w:eastAsia="宋体" w:cs="Times New Roman"/>
                <w:i/>
                <w:iCs/>
                <w:color w:val="auto"/>
                <w:highlight w:val="none"/>
                <w:lang w:bidi="ar"/>
              </w:rPr>
              <w:t>N</w:t>
            </w:r>
            <w:r>
              <w:rPr>
                <w:rFonts w:hint="default" w:ascii="Times New Roman" w:hAnsi="Times New Roman" w:eastAsia="宋体" w:cs="Times New Roman"/>
                <w:color w:val="auto"/>
                <w:highlight w:val="none"/>
                <w:lang w:bidi="ar"/>
              </w:rPr>
              <w:t>—室内声源总数。</w:t>
            </w:r>
          </w:p>
          <w:p>
            <w:pPr>
              <w:widowControl/>
              <w:autoSpaceDE w:val="0"/>
              <w:autoSpaceDN w:val="0"/>
              <w:ind w:firstLine="480"/>
              <w:jc w:val="left"/>
              <w:rPr>
                <w:rFonts w:hint="default" w:ascii="Times New Roman" w:hAnsi="Times New Roman" w:eastAsia="宋体" w:cs="Times New Roman"/>
                <w:color w:val="auto"/>
                <w:highlight w:val="none"/>
                <w:lang w:bidi="ar"/>
              </w:rPr>
            </w:pPr>
            <w:r>
              <w:rPr>
                <w:rFonts w:hint="default" w:ascii="Times New Roman" w:hAnsi="Times New Roman" w:eastAsia="宋体" w:cs="Times New Roman"/>
                <w:color w:val="auto"/>
                <w:highlight w:val="none"/>
                <w:lang w:bidi="ar"/>
              </w:rPr>
              <w:t>在室内近似为扩散声场时，按下式计算出靠近室外围护结构处的声压级：</w:t>
            </w:r>
          </w:p>
          <w:p>
            <w:pPr>
              <w:ind w:firstLine="560"/>
              <w:jc w:val="center"/>
              <w:rPr>
                <w:rFonts w:hint="default" w:ascii="Times New Roman" w:hAnsi="Times New Roman" w:eastAsia="宋体" w:cs="Times New Roman"/>
                <w:i/>
                <w:iCs/>
                <w:color w:val="auto"/>
                <w:sz w:val="28"/>
                <w:szCs w:val="28"/>
                <w:highlight w:val="none"/>
              </w:rPr>
            </w:pPr>
            <w:r>
              <w:rPr>
                <w:rFonts w:hint="default" w:ascii="Times New Roman" w:hAnsi="Times New Roman" w:eastAsia="宋体" w:cs="Times New Roman"/>
                <w:i/>
                <w:iCs/>
                <w:color w:val="auto"/>
                <w:sz w:val="28"/>
                <w:szCs w:val="28"/>
                <w:highlight w:val="none"/>
              </w:rPr>
              <w:t>L</w:t>
            </w:r>
            <w:r>
              <w:rPr>
                <w:rFonts w:hint="default" w:ascii="Times New Roman" w:hAnsi="Times New Roman" w:eastAsia="宋体" w:cs="Times New Roman"/>
                <w:i/>
                <w:iCs/>
                <w:color w:val="auto"/>
                <w:sz w:val="28"/>
                <w:szCs w:val="28"/>
                <w:highlight w:val="none"/>
                <w:vertAlign w:val="subscript"/>
              </w:rPr>
              <w:t>p2i</w:t>
            </w:r>
            <w:r>
              <w:rPr>
                <w:rFonts w:hint="default" w:ascii="Times New Roman" w:hAnsi="Times New Roman" w:eastAsia="宋体" w:cs="Times New Roman"/>
                <w:i/>
                <w:iCs/>
                <w:color w:val="auto"/>
                <w:sz w:val="28"/>
                <w:szCs w:val="28"/>
                <w:highlight w:val="none"/>
              </w:rPr>
              <w:t>(T)= L</w:t>
            </w:r>
            <w:r>
              <w:rPr>
                <w:rFonts w:hint="default" w:ascii="Times New Roman" w:hAnsi="Times New Roman" w:eastAsia="宋体" w:cs="Times New Roman"/>
                <w:i/>
                <w:iCs/>
                <w:color w:val="auto"/>
                <w:sz w:val="28"/>
                <w:szCs w:val="28"/>
                <w:highlight w:val="none"/>
                <w:vertAlign w:val="subscript"/>
              </w:rPr>
              <w:t>pli</w:t>
            </w:r>
            <w:r>
              <w:rPr>
                <w:rFonts w:hint="default" w:ascii="Times New Roman" w:hAnsi="Times New Roman" w:eastAsia="宋体" w:cs="Times New Roman"/>
                <w:i/>
                <w:iCs/>
                <w:color w:val="auto"/>
                <w:sz w:val="28"/>
                <w:szCs w:val="28"/>
                <w:highlight w:val="none"/>
              </w:rPr>
              <w:t>(T)-(TL</w:t>
            </w:r>
            <w:r>
              <w:rPr>
                <w:rFonts w:hint="default" w:ascii="Times New Roman" w:hAnsi="Times New Roman" w:eastAsia="宋体" w:cs="Times New Roman"/>
                <w:i/>
                <w:iCs/>
                <w:color w:val="auto"/>
                <w:sz w:val="28"/>
                <w:szCs w:val="28"/>
                <w:highlight w:val="none"/>
                <w:vertAlign w:val="subscript"/>
              </w:rPr>
              <w:t>i</w:t>
            </w:r>
            <w:r>
              <w:rPr>
                <w:rFonts w:hint="default" w:ascii="Times New Roman" w:hAnsi="Times New Roman" w:eastAsia="宋体" w:cs="Times New Roman"/>
                <w:i/>
                <w:iCs/>
                <w:color w:val="auto"/>
                <w:sz w:val="28"/>
                <w:szCs w:val="28"/>
                <w:highlight w:val="none"/>
              </w:rPr>
              <w:t>+6)</w:t>
            </w:r>
          </w:p>
          <w:p>
            <w:pPr>
              <w:ind w:firstLine="480"/>
              <w:rPr>
                <w:rFonts w:hint="default" w:ascii="Times New Roman" w:hAnsi="Times New Roman" w:eastAsia="宋体" w:cs="Times New Roman"/>
                <w:color w:val="auto"/>
                <w:highlight w:val="none"/>
                <w:lang w:bidi="ar"/>
              </w:rPr>
            </w:pPr>
            <w:r>
              <w:rPr>
                <w:rFonts w:hint="default" w:ascii="Times New Roman" w:hAnsi="Times New Roman" w:eastAsia="宋体" w:cs="Times New Roman"/>
                <w:color w:val="auto"/>
                <w:highlight w:val="none"/>
              </w:rPr>
              <w:t>式中：</w:t>
            </w:r>
            <w:r>
              <w:rPr>
                <w:rFonts w:hint="default" w:ascii="Times New Roman" w:hAnsi="Times New Roman" w:eastAsia="宋体" w:cs="Times New Roman"/>
                <w:i/>
                <w:iCs/>
                <w:color w:val="auto"/>
                <w:highlight w:val="none"/>
                <w:lang w:bidi="ar"/>
              </w:rPr>
              <w:t>L</w:t>
            </w:r>
            <w:r>
              <w:rPr>
                <w:rFonts w:hint="default" w:ascii="Times New Roman" w:hAnsi="Times New Roman" w:eastAsia="宋体" w:cs="Times New Roman"/>
                <w:i/>
                <w:iCs/>
                <w:color w:val="auto"/>
                <w:highlight w:val="none"/>
                <w:vertAlign w:val="subscript"/>
                <w:lang w:bidi="ar"/>
              </w:rPr>
              <w:t>2pi</w:t>
            </w:r>
            <w:r>
              <w:rPr>
                <w:rFonts w:hint="default" w:ascii="Times New Roman" w:hAnsi="Times New Roman" w:eastAsia="宋体" w:cs="Times New Roman"/>
                <w:i/>
                <w:iCs/>
                <w:color w:val="auto"/>
                <w:highlight w:val="none"/>
                <w:lang w:bidi="ar"/>
              </w:rPr>
              <w:t>（T）</w:t>
            </w:r>
            <w:r>
              <w:rPr>
                <w:rFonts w:hint="default" w:ascii="Times New Roman" w:hAnsi="Times New Roman" w:eastAsia="宋体" w:cs="Times New Roman"/>
                <w:color w:val="auto"/>
                <w:highlight w:val="none"/>
                <w:lang w:bidi="ar"/>
              </w:rPr>
              <w:t>—靠近围护结构处室外N个声源i倍频带的叠加声压级，dB；</w:t>
            </w:r>
          </w:p>
          <w:p>
            <w:pPr>
              <w:widowControl/>
              <w:autoSpaceDE w:val="0"/>
              <w:autoSpaceDN w:val="0"/>
              <w:ind w:firstLine="1200" w:firstLineChars="500"/>
              <w:jc w:val="left"/>
              <w:rPr>
                <w:rFonts w:hint="default" w:ascii="Times New Roman" w:hAnsi="Times New Roman" w:eastAsia="宋体" w:cs="Times New Roman"/>
                <w:color w:val="auto"/>
                <w:highlight w:val="none"/>
                <w:lang w:bidi="ar"/>
              </w:rPr>
            </w:pPr>
            <w:r>
              <w:rPr>
                <w:rFonts w:hint="default" w:ascii="Times New Roman" w:hAnsi="Times New Roman" w:eastAsia="宋体" w:cs="Times New Roman"/>
                <w:i/>
                <w:iCs/>
                <w:color w:val="auto"/>
                <w:highlight w:val="none"/>
                <w:lang w:bidi="ar"/>
              </w:rPr>
              <w:t>L</w:t>
            </w:r>
            <w:r>
              <w:rPr>
                <w:rFonts w:hint="default" w:ascii="Times New Roman" w:hAnsi="Times New Roman" w:eastAsia="宋体" w:cs="Times New Roman"/>
                <w:i/>
                <w:iCs/>
                <w:color w:val="auto"/>
                <w:highlight w:val="none"/>
                <w:vertAlign w:val="subscript"/>
                <w:lang w:bidi="ar"/>
              </w:rPr>
              <w:t>1pi</w:t>
            </w:r>
            <w:r>
              <w:rPr>
                <w:rFonts w:hint="default" w:ascii="Times New Roman" w:hAnsi="Times New Roman" w:eastAsia="宋体" w:cs="Times New Roman"/>
                <w:i/>
                <w:iCs/>
                <w:color w:val="auto"/>
                <w:highlight w:val="none"/>
                <w:lang w:bidi="ar"/>
              </w:rPr>
              <w:t>（T）</w:t>
            </w:r>
            <w:r>
              <w:rPr>
                <w:rFonts w:hint="default" w:ascii="Times New Roman" w:hAnsi="Times New Roman" w:eastAsia="宋体" w:cs="Times New Roman"/>
                <w:color w:val="auto"/>
                <w:highlight w:val="none"/>
                <w:lang w:bidi="ar"/>
              </w:rPr>
              <w:t>—靠近围护结构处室内N个声源i倍频带的叠加声压级，dB；</w:t>
            </w:r>
          </w:p>
          <w:p>
            <w:pPr>
              <w:widowControl/>
              <w:autoSpaceDE w:val="0"/>
              <w:autoSpaceDN w:val="0"/>
              <w:ind w:firstLine="1200" w:firstLineChars="500"/>
              <w:jc w:val="left"/>
              <w:rPr>
                <w:rFonts w:hint="default" w:ascii="Times New Roman" w:hAnsi="Times New Roman" w:eastAsia="宋体" w:cs="Times New Roman"/>
                <w:color w:val="auto"/>
                <w:highlight w:val="none"/>
                <w:lang w:bidi="ar"/>
              </w:rPr>
            </w:pPr>
            <w:r>
              <w:rPr>
                <w:rFonts w:hint="default" w:ascii="Times New Roman" w:hAnsi="Times New Roman" w:eastAsia="宋体" w:cs="Times New Roman"/>
                <w:i/>
                <w:iCs/>
                <w:color w:val="auto"/>
                <w:highlight w:val="none"/>
                <w:lang w:bidi="ar"/>
              </w:rPr>
              <w:t>TL</w:t>
            </w:r>
            <w:r>
              <w:rPr>
                <w:rFonts w:hint="default" w:ascii="Times New Roman" w:hAnsi="Times New Roman" w:eastAsia="宋体" w:cs="Times New Roman"/>
                <w:color w:val="auto"/>
                <w:highlight w:val="none"/>
                <w:lang w:bidi="ar"/>
              </w:rPr>
              <w:t>—围护结构i倍频带的隔声量，dB。</w:t>
            </w:r>
          </w:p>
          <w:p>
            <w:pPr>
              <w:widowControl/>
              <w:autoSpaceDE w:val="0"/>
              <w:autoSpaceDN w:val="0"/>
              <w:ind w:firstLine="48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bidi="ar"/>
              </w:rPr>
              <w:t>然后按下式将室外声源的声压级和透过面积换算成等效的室外声源，计算出中心位置位于透</w:t>
            </w:r>
            <w:r>
              <w:rPr>
                <w:rFonts w:hint="default" w:ascii="Times New Roman" w:hAnsi="Times New Roman" w:eastAsia="宋体" w:cs="Times New Roman"/>
                <w:color w:val="auto"/>
                <w:highlight w:val="none"/>
              </w:rPr>
              <w:t>声面积（S）处的等效声源的倍频带声功率级。</w:t>
            </w:r>
          </w:p>
          <w:p>
            <w:pPr>
              <w:ind w:firstLine="560"/>
              <w:jc w:val="center"/>
              <w:rPr>
                <w:rFonts w:hint="default" w:ascii="Times New Roman" w:hAnsi="Times New Roman" w:eastAsia="宋体" w:cs="Times New Roman"/>
                <w:i/>
                <w:iCs/>
                <w:color w:val="auto"/>
                <w:sz w:val="28"/>
                <w:szCs w:val="28"/>
                <w:highlight w:val="none"/>
              </w:rPr>
            </w:pPr>
            <w:r>
              <w:rPr>
                <w:rFonts w:hint="default" w:ascii="Times New Roman" w:hAnsi="Times New Roman" w:eastAsia="宋体" w:cs="Times New Roman"/>
                <w:i/>
                <w:iCs/>
                <w:color w:val="auto"/>
                <w:sz w:val="28"/>
                <w:szCs w:val="28"/>
                <w:highlight w:val="none"/>
              </w:rPr>
              <w:t>Lw=L</w:t>
            </w:r>
            <w:r>
              <w:rPr>
                <w:rFonts w:hint="default" w:ascii="Times New Roman" w:hAnsi="Times New Roman" w:eastAsia="宋体" w:cs="Times New Roman"/>
                <w:i/>
                <w:iCs/>
                <w:color w:val="auto"/>
                <w:sz w:val="28"/>
                <w:szCs w:val="28"/>
                <w:highlight w:val="none"/>
                <w:vertAlign w:val="subscript"/>
              </w:rPr>
              <w:t>P2</w:t>
            </w:r>
            <w:r>
              <w:rPr>
                <w:rFonts w:hint="default" w:ascii="Times New Roman" w:hAnsi="Times New Roman" w:eastAsia="宋体" w:cs="Times New Roman"/>
                <w:i/>
                <w:iCs/>
                <w:color w:val="auto"/>
                <w:sz w:val="28"/>
                <w:szCs w:val="28"/>
                <w:highlight w:val="none"/>
              </w:rPr>
              <w:t>(T)+ 10lgS</w:t>
            </w:r>
          </w:p>
          <w:p>
            <w:pPr>
              <w:widowControl/>
              <w:autoSpaceDE w:val="0"/>
              <w:autoSpaceDN w:val="0"/>
              <w:ind w:firstLine="480"/>
              <w:jc w:val="left"/>
              <w:rPr>
                <w:rFonts w:hint="default" w:ascii="Times New Roman" w:hAnsi="Times New Roman" w:eastAsia="宋体" w:cs="Times New Roman"/>
                <w:color w:val="auto"/>
                <w:highlight w:val="none"/>
                <w:lang w:bidi="ar"/>
              </w:rPr>
            </w:pPr>
            <w:r>
              <w:rPr>
                <w:rFonts w:hint="default" w:ascii="Times New Roman" w:hAnsi="Times New Roman" w:eastAsia="宋体" w:cs="Times New Roman"/>
                <w:color w:val="auto"/>
                <w:highlight w:val="none"/>
                <w:lang w:bidi="ar"/>
              </w:rPr>
              <w:t>式中：</w:t>
            </w:r>
            <w:r>
              <w:rPr>
                <w:rFonts w:hint="default" w:ascii="Times New Roman" w:hAnsi="Times New Roman" w:eastAsia="宋体" w:cs="Times New Roman"/>
                <w:i/>
                <w:iCs/>
                <w:color w:val="auto"/>
                <w:highlight w:val="none"/>
                <w:lang w:bidi="ar"/>
              </w:rPr>
              <w:t>Lw</w:t>
            </w:r>
            <w:r>
              <w:rPr>
                <w:rFonts w:hint="default" w:ascii="Times New Roman" w:hAnsi="Times New Roman" w:eastAsia="宋体" w:cs="Times New Roman"/>
                <w:color w:val="auto"/>
                <w:highlight w:val="none"/>
                <w:lang w:bidi="ar"/>
              </w:rPr>
              <w:t>—中心位置位于透声面积（S）处的等效声源的倍频带声功率级，dB；</w:t>
            </w:r>
          </w:p>
          <w:p>
            <w:pPr>
              <w:widowControl/>
              <w:autoSpaceDE w:val="0"/>
              <w:autoSpaceDN w:val="0"/>
              <w:ind w:firstLine="1200" w:firstLineChars="500"/>
              <w:jc w:val="left"/>
              <w:rPr>
                <w:rFonts w:hint="default" w:ascii="Times New Roman" w:hAnsi="Times New Roman" w:eastAsia="宋体" w:cs="Times New Roman"/>
                <w:color w:val="auto"/>
                <w:highlight w:val="none"/>
                <w:lang w:bidi="ar"/>
              </w:rPr>
            </w:pPr>
            <w:r>
              <w:rPr>
                <w:rFonts w:hint="default" w:ascii="Times New Roman" w:hAnsi="Times New Roman" w:eastAsia="宋体" w:cs="Times New Roman"/>
                <w:i/>
                <w:iCs/>
                <w:color w:val="auto"/>
                <w:highlight w:val="none"/>
                <w:lang w:bidi="ar"/>
              </w:rPr>
              <w:t>L</w:t>
            </w:r>
            <w:r>
              <w:rPr>
                <w:rFonts w:hint="default" w:ascii="Times New Roman" w:hAnsi="Times New Roman" w:eastAsia="宋体" w:cs="Times New Roman"/>
                <w:i/>
                <w:iCs/>
                <w:color w:val="auto"/>
                <w:highlight w:val="none"/>
                <w:vertAlign w:val="subscript"/>
                <w:lang w:bidi="ar"/>
              </w:rPr>
              <w:t>p2</w:t>
            </w:r>
            <w:r>
              <w:rPr>
                <w:rFonts w:hint="default" w:ascii="Times New Roman" w:hAnsi="Times New Roman" w:eastAsia="宋体" w:cs="Times New Roman"/>
                <w:i/>
                <w:iCs/>
                <w:color w:val="auto"/>
                <w:highlight w:val="none"/>
                <w:lang w:bidi="ar"/>
              </w:rPr>
              <w:t xml:space="preserve"> (T)</w:t>
            </w:r>
            <w:r>
              <w:rPr>
                <w:rFonts w:hint="default" w:ascii="Times New Roman" w:hAnsi="Times New Roman" w:eastAsia="宋体" w:cs="Times New Roman"/>
                <w:color w:val="auto"/>
                <w:highlight w:val="none"/>
                <w:lang w:bidi="ar"/>
              </w:rPr>
              <w:t>—靠近围护结构处室外声源的声压级，dB；</w:t>
            </w:r>
          </w:p>
          <w:p>
            <w:pPr>
              <w:widowControl/>
              <w:autoSpaceDE w:val="0"/>
              <w:autoSpaceDN w:val="0"/>
              <w:ind w:firstLine="1200" w:firstLineChars="500"/>
              <w:jc w:val="left"/>
              <w:rPr>
                <w:rFonts w:hint="default" w:ascii="Times New Roman" w:hAnsi="Times New Roman" w:eastAsia="宋体" w:cs="Times New Roman"/>
                <w:color w:val="auto"/>
                <w:highlight w:val="none"/>
                <w:lang w:bidi="ar"/>
              </w:rPr>
            </w:pPr>
            <w:r>
              <w:rPr>
                <w:rFonts w:hint="default" w:ascii="Times New Roman" w:hAnsi="Times New Roman" w:eastAsia="宋体" w:cs="Times New Roman"/>
                <w:i/>
                <w:iCs/>
                <w:color w:val="auto"/>
                <w:highlight w:val="none"/>
                <w:lang w:bidi="ar"/>
              </w:rPr>
              <w:t>S</w:t>
            </w:r>
            <w:r>
              <w:rPr>
                <w:rFonts w:hint="default" w:ascii="Times New Roman" w:hAnsi="Times New Roman" w:eastAsia="宋体" w:cs="Times New Roman"/>
                <w:color w:val="auto"/>
                <w:highlight w:val="none"/>
                <w:lang w:bidi="ar"/>
              </w:rPr>
              <w:t>—透声面积，m</w:t>
            </w:r>
            <w:r>
              <w:rPr>
                <w:rFonts w:hint="default" w:ascii="Times New Roman" w:hAnsi="Times New Roman" w:eastAsia="宋体" w:cs="Times New Roman"/>
                <w:color w:val="auto"/>
                <w:highlight w:val="none"/>
                <w:vertAlign w:val="superscript"/>
                <w:lang w:bidi="ar"/>
              </w:rPr>
              <w:t>2</w:t>
            </w:r>
            <w:r>
              <w:rPr>
                <w:rFonts w:hint="default" w:ascii="Times New Roman" w:hAnsi="Times New Roman" w:eastAsia="宋体" w:cs="Times New Roman"/>
                <w:color w:val="auto"/>
                <w:highlight w:val="none"/>
                <w:lang w:bidi="ar"/>
              </w:rPr>
              <w:t>。</w:t>
            </w:r>
          </w:p>
          <w:p>
            <w:pPr>
              <w:widowControl/>
              <w:ind w:firstLine="480"/>
              <w:rPr>
                <w:rFonts w:hint="default" w:ascii="Times New Roman" w:hAnsi="Times New Roman" w:eastAsia="宋体" w:cs="Times New Roman"/>
                <w:color w:val="auto"/>
                <w:highlight w:val="none"/>
                <w:lang w:bidi="ar"/>
              </w:rPr>
            </w:pPr>
            <w:r>
              <w:rPr>
                <w:rFonts w:hint="default" w:ascii="Times New Roman" w:hAnsi="Times New Roman" w:eastAsia="宋体" w:cs="Times New Roman"/>
                <w:color w:val="auto"/>
                <w:highlight w:val="none"/>
                <w:lang w:bidi="ar"/>
              </w:rPr>
              <w:t>然后按室外声源预测方法计算预测点处的A声级。</w:t>
            </w:r>
          </w:p>
          <w:p>
            <w:pPr>
              <w:bidi w:val="0"/>
              <w:rPr>
                <w:color w:val="auto"/>
                <w:highlight w:val="none"/>
                <w:lang w:val="en-US" w:eastAsia="zh-CN"/>
              </w:rPr>
            </w:pPr>
            <w:r>
              <w:rPr>
                <w:rFonts w:hint="eastAsia"/>
                <w:color w:val="auto"/>
                <w:highlight w:val="none"/>
                <w:lang w:val="en-US" w:eastAsia="zh-CN"/>
              </w:rPr>
              <w:t>（2）</w:t>
            </w:r>
            <w:r>
              <w:rPr>
                <w:color w:val="auto"/>
                <w:highlight w:val="none"/>
                <w:lang w:val="en-US" w:eastAsia="zh-CN"/>
              </w:rPr>
              <w:t>地形数据</w:t>
            </w:r>
          </w:p>
          <w:p>
            <w:pP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从http://srtm.csi.cgiar.org/selection/inputcoor.asp下载90m分辨率地形高程数据文件srtm_5</w:t>
            </w:r>
            <w:r>
              <w:rPr>
                <w:rFonts w:hint="eastAsia" w:cs="Times New Roman"/>
                <w:color w:val="auto"/>
                <w:highlight w:val="none"/>
                <w:lang w:val="en-US" w:eastAsia="zh-CN"/>
              </w:rPr>
              <w:t>7</w:t>
            </w:r>
            <w:r>
              <w:rPr>
                <w:rFonts w:hint="default" w:ascii="Times New Roman" w:hAnsi="Times New Roman" w:eastAsia="宋体" w:cs="Times New Roman"/>
                <w:color w:val="auto"/>
                <w:highlight w:val="none"/>
                <w:lang w:val="en-US" w:eastAsia="zh-CN"/>
              </w:rPr>
              <w:t>_08.ASC，应用GLOBAL Mapper v10.02，选择完全包含预测范围的区域设置为UTM投影，导出生成AERMAP所需的数字高程DEM文件。</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本次噪声预测（0</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0）点设置在项目</w:t>
            </w:r>
            <w:r>
              <w:rPr>
                <w:rFonts w:hint="eastAsia" w:cs="Times New Roman"/>
                <w:color w:val="auto"/>
                <w:highlight w:val="none"/>
                <w:lang w:val="en-US" w:eastAsia="zh-CN"/>
              </w:rPr>
              <w:t>制氧车间西南角拐点处</w:t>
            </w:r>
            <w:r>
              <w:rPr>
                <w:rFonts w:hint="default" w:ascii="Times New Roman" w:hAnsi="Times New Roman" w:cs="Times New Roman"/>
                <w:color w:val="auto"/>
                <w:highlight w:val="none"/>
                <w:lang w:val="en-US" w:eastAsia="zh-CN"/>
              </w:rPr>
              <w:t>，地理坐标为东经：102.1663°，北纬：24.7051°。</w:t>
            </w:r>
          </w:p>
          <w:p>
            <w:pPr>
              <w:bidi w:val="0"/>
              <w:rPr>
                <w:rFonts w:hint="default"/>
                <w:color w:val="auto"/>
                <w:highlight w:val="none"/>
              </w:rPr>
            </w:pPr>
            <w:r>
              <w:rPr>
                <w:rFonts w:hint="default"/>
                <w:color w:val="auto"/>
                <w:highlight w:val="none"/>
              </w:rPr>
              <w:t>（</w:t>
            </w:r>
            <w:r>
              <w:rPr>
                <w:rFonts w:hint="eastAsia"/>
                <w:color w:val="auto"/>
                <w:highlight w:val="none"/>
                <w:lang w:val="en-US" w:eastAsia="zh-CN"/>
              </w:rPr>
              <w:t>3</w:t>
            </w:r>
            <w:r>
              <w:rPr>
                <w:rFonts w:hint="default"/>
                <w:color w:val="auto"/>
                <w:highlight w:val="none"/>
              </w:rPr>
              <w:t>）预测结果</w:t>
            </w:r>
          </w:p>
          <w:p>
            <w:pPr>
              <w:bidi w:val="0"/>
              <w:rPr>
                <w:rFonts w:hint="default" w:ascii="Times New Roman" w:hAnsi="Times New Roman" w:eastAsia="宋体" w:cs="Times New Roman"/>
                <w:color w:val="auto"/>
                <w:highlight w:val="none"/>
                <w:lang w:val="en-US" w:eastAsia="zh-CN"/>
              </w:rPr>
            </w:pPr>
            <w:r>
              <w:rPr>
                <w:rFonts w:hint="default"/>
                <w:color w:val="auto"/>
                <w:highlight w:val="none"/>
              </w:rPr>
              <w:t>本项目</w:t>
            </w:r>
            <w:r>
              <w:rPr>
                <w:rFonts w:hint="eastAsia"/>
                <w:color w:val="auto"/>
                <w:highlight w:val="none"/>
                <w:lang w:val="en-US" w:eastAsia="zh-CN"/>
              </w:rPr>
              <w:t>为改建项目，</w:t>
            </w:r>
            <w:r>
              <w:rPr>
                <w:rFonts w:hint="default"/>
                <w:color w:val="auto"/>
                <w:highlight w:val="none"/>
              </w:rPr>
              <w:t>位于</w:t>
            </w:r>
            <w:r>
              <w:rPr>
                <w:rFonts w:hint="eastAsia"/>
                <w:color w:val="auto"/>
                <w:highlight w:val="none"/>
                <w:lang w:val="en-US" w:eastAsia="zh-CN"/>
              </w:rPr>
              <w:t>易门铜业有限公司既有厂区内</w:t>
            </w:r>
            <w:r>
              <w:rPr>
                <w:rFonts w:hint="default"/>
                <w:color w:val="auto"/>
                <w:highlight w:val="none"/>
              </w:rPr>
              <w:t>，本</w:t>
            </w:r>
            <w:r>
              <w:rPr>
                <w:rFonts w:hint="eastAsia"/>
                <w:color w:val="auto"/>
                <w:highlight w:val="none"/>
                <w:lang w:val="en-US" w:eastAsia="zh-CN"/>
              </w:rPr>
              <w:t>次</w:t>
            </w:r>
            <w:r>
              <w:rPr>
                <w:rFonts w:hint="default"/>
                <w:color w:val="auto"/>
                <w:highlight w:val="none"/>
              </w:rPr>
              <w:t>评价噪声预测</w:t>
            </w:r>
            <w:r>
              <w:rPr>
                <w:rFonts w:hint="eastAsia"/>
                <w:color w:val="auto"/>
                <w:highlight w:val="none"/>
                <w:lang w:val="en-US" w:eastAsia="zh-CN"/>
              </w:rPr>
              <w:t>应</w:t>
            </w:r>
            <w:r>
              <w:rPr>
                <w:rFonts w:hint="default"/>
                <w:color w:val="auto"/>
                <w:highlight w:val="none"/>
              </w:rPr>
              <w:t>考虑原有噪声源及本项目</w:t>
            </w:r>
            <w:r>
              <w:rPr>
                <w:rFonts w:hint="default"/>
                <w:color w:val="auto"/>
                <w:highlight w:val="none"/>
                <w:lang w:val="en-US" w:eastAsia="zh-CN"/>
              </w:rPr>
              <w:t>新增</w:t>
            </w:r>
            <w:r>
              <w:rPr>
                <w:rFonts w:hint="default"/>
                <w:color w:val="auto"/>
                <w:highlight w:val="none"/>
              </w:rPr>
              <w:t>噪声源进行</w:t>
            </w:r>
            <w:r>
              <w:rPr>
                <w:rFonts w:hint="default"/>
                <w:color w:val="auto"/>
                <w:highlight w:val="none"/>
                <w:lang w:val="en-US" w:eastAsia="zh-CN"/>
              </w:rPr>
              <w:t>叠加</w:t>
            </w:r>
            <w:r>
              <w:rPr>
                <w:rFonts w:hint="default"/>
                <w:color w:val="auto"/>
                <w:highlight w:val="none"/>
              </w:rPr>
              <w:t>预测</w:t>
            </w:r>
            <w:r>
              <w:rPr>
                <w:rFonts w:hint="default"/>
                <w:color w:val="auto"/>
                <w:highlight w:val="none"/>
                <w:lang w:eastAsia="zh-CN"/>
              </w:rPr>
              <w:t>，</w:t>
            </w:r>
            <w:r>
              <w:rPr>
                <w:rFonts w:hint="default"/>
                <w:color w:val="auto"/>
                <w:highlight w:val="none"/>
                <w:lang w:val="en-US" w:eastAsia="zh-CN"/>
              </w:rPr>
              <w:t>原有噪声源选取</w:t>
            </w:r>
            <w:r>
              <w:rPr>
                <w:rFonts w:hint="eastAsia"/>
                <w:color w:val="auto"/>
                <w:highlight w:val="none"/>
                <w:lang w:val="en-US" w:eastAsia="zh-CN"/>
              </w:rPr>
              <w:t>易门铜业有限公司自行</w:t>
            </w:r>
            <w:r>
              <w:rPr>
                <w:rFonts w:hint="default"/>
                <w:color w:val="auto"/>
                <w:highlight w:val="none"/>
                <w:lang w:val="en-US" w:eastAsia="zh-CN"/>
              </w:rPr>
              <w:t>监测值</w:t>
            </w:r>
            <w:r>
              <w:rPr>
                <w:rFonts w:hint="eastAsia"/>
                <w:color w:val="auto"/>
                <w:highlight w:val="none"/>
                <w:lang w:eastAsia="zh-CN"/>
              </w:rPr>
              <w:t>。</w:t>
            </w:r>
            <w:r>
              <w:rPr>
                <w:rFonts w:hint="default" w:ascii="Times New Roman" w:hAnsi="Times New Roman" w:eastAsia="宋体" w:cs="Times New Roman"/>
                <w:color w:val="auto"/>
                <w:highlight w:val="none"/>
                <w:lang w:val="en-US" w:eastAsia="zh-CN"/>
              </w:rPr>
              <w:t>采用上述预测</w:t>
            </w:r>
            <w:r>
              <w:rPr>
                <w:rFonts w:hint="eastAsia" w:cs="Times New Roman"/>
                <w:color w:val="auto"/>
                <w:highlight w:val="none"/>
                <w:lang w:val="en-US" w:eastAsia="zh-CN"/>
              </w:rPr>
              <w:t>模式</w:t>
            </w:r>
            <w:r>
              <w:rPr>
                <w:rFonts w:hint="default" w:ascii="Times New Roman" w:hAnsi="Times New Roman" w:eastAsia="宋体" w:cs="Times New Roman"/>
                <w:color w:val="auto"/>
                <w:highlight w:val="none"/>
                <w:lang w:val="en-US" w:eastAsia="zh-CN"/>
              </w:rPr>
              <w:t>，于</w:t>
            </w:r>
            <w:r>
              <w:rPr>
                <w:rFonts w:hint="eastAsia" w:cs="Times New Roman"/>
                <w:color w:val="auto"/>
                <w:highlight w:val="none"/>
                <w:lang w:val="en-US" w:eastAsia="zh-CN"/>
              </w:rPr>
              <w:t>易门铜业有限公司总</w:t>
            </w:r>
            <w:r>
              <w:rPr>
                <w:rFonts w:hint="default" w:ascii="Times New Roman" w:hAnsi="Times New Roman" w:eastAsia="宋体" w:cs="Times New Roman"/>
                <w:color w:val="auto"/>
                <w:highlight w:val="none"/>
                <w:lang w:val="en-US" w:eastAsia="zh-CN"/>
              </w:rPr>
              <w:t>厂界</w:t>
            </w:r>
            <w:r>
              <w:rPr>
                <w:rFonts w:hint="eastAsia" w:cs="Times New Roman"/>
                <w:color w:val="auto"/>
                <w:highlight w:val="none"/>
                <w:lang w:val="en-US" w:eastAsia="zh-CN"/>
              </w:rPr>
              <w:t>东南西北四个方位</w:t>
            </w:r>
            <w:r>
              <w:rPr>
                <w:rFonts w:hint="default" w:ascii="Times New Roman" w:hAnsi="Times New Roman" w:eastAsia="宋体" w:cs="Times New Roman"/>
                <w:color w:val="auto"/>
                <w:highlight w:val="none"/>
                <w:lang w:val="en-US" w:eastAsia="zh-CN"/>
              </w:rPr>
              <w:t>设置</w:t>
            </w:r>
            <w:r>
              <w:rPr>
                <w:rFonts w:hint="eastAsia" w:cs="Times New Roman"/>
                <w:color w:val="auto"/>
                <w:highlight w:val="none"/>
                <w:lang w:val="en-US" w:eastAsia="zh-CN"/>
              </w:rPr>
              <w:t>4</w:t>
            </w:r>
            <w:r>
              <w:rPr>
                <w:rFonts w:hint="default" w:ascii="Times New Roman" w:hAnsi="Times New Roman" w:eastAsia="宋体" w:cs="Times New Roman"/>
                <w:color w:val="auto"/>
                <w:highlight w:val="none"/>
                <w:lang w:val="en-US" w:eastAsia="zh-CN"/>
              </w:rPr>
              <w:t>个预测点</w:t>
            </w:r>
            <w:r>
              <w:rPr>
                <w:rFonts w:hint="eastAsia" w:cs="Times New Roman"/>
                <w:color w:val="auto"/>
                <w:highlight w:val="none"/>
                <w:lang w:val="en-US" w:eastAsia="zh-CN"/>
              </w:rPr>
              <w:t>，</w:t>
            </w:r>
            <w:r>
              <w:rPr>
                <w:rFonts w:hint="default"/>
                <w:color w:val="auto"/>
                <w:highlight w:val="none"/>
              </w:rPr>
              <w:t>预测结果见下表</w:t>
            </w:r>
            <w:r>
              <w:rPr>
                <w:rFonts w:hint="eastAsia"/>
                <w:color w:val="auto"/>
                <w:highlight w:val="none"/>
                <w:lang w:eastAsia="zh-CN"/>
              </w:rPr>
              <w:t>：</w:t>
            </w:r>
          </w:p>
          <w:p>
            <w:pPr>
              <w:pStyle w:val="35"/>
              <w:bidi w:val="0"/>
              <w:rPr>
                <w:rFonts w:hint="default"/>
                <w:color w:val="auto"/>
                <w:highlight w:val="none"/>
                <w:lang w:val="en-US" w:eastAsia="zh-CN"/>
              </w:rPr>
            </w:pPr>
            <w:r>
              <w:rPr>
                <w:rFonts w:hint="default"/>
                <w:color w:val="auto"/>
                <w:highlight w:val="none"/>
                <w:lang w:val="en-US" w:eastAsia="zh-CN"/>
              </w:rPr>
              <w:t>表4-</w:t>
            </w:r>
            <w:r>
              <w:rPr>
                <w:rFonts w:hint="eastAsia"/>
                <w:color w:val="auto"/>
                <w:highlight w:val="none"/>
                <w:lang w:val="en-US" w:eastAsia="zh-CN"/>
              </w:rPr>
              <w:t>4</w:t>
            </w:r>
            <w:r>
              <w:rPr>
                <w:rFonts w:hint="default"/>
                <w:color w:val="auto"/>
                <w:highlight w:val="none"/>
                <w:lang w:val="en-US" w:eastAsia="zh-CN"/>
              </w:rPr>
              <w:t xml:space="preserve">  厂界噪声预测结果</w:t>
            </w:r>
            <w:r>
              <w:rPr>
                <w:rFonts w:hint="eastAsia"/>
                <w:color w:val="auto"/>
                <w:highlight w:val="none"/>
                <w:lang w:val="en-US" w:eastAsia="zh-CN"/>
              </w:rPr>
              <w:t>一览表</w:t>
            </w:r>
            <w:r>
              <w:rPr>
                <w:rFonts w:hint="default"/>
                <w:color w:val="auto"/>
                <w:highlight w:val="none"/>
                <w:lang w:val="en-US" w:eastAsia="zh-CN"/>
              </w:rPr>
              <w:t xml:space="preserve"> </w:t>
            </w:r>
            <w:r>
              <w:rPr>
                <w:rFonts w:hint="eastAsia"/>
                <w:color w:val="auto"/>
                <w:highlight w:val="none"/>
                <w:lang w:val="en-US" w:eastAsia="zh-CN"/>
              </w:rPr>
              <w:t xml:space="preserve">  </w:t>
            </w:r>
            <w:r>
              <w:rPr>
                <w:rFonts w:hint="default"/>
                <w:color w:val="auto"/>
                <w:highlight w:val="none"/>
                <w:lang w:val="en-US" w:eastAsia="zh-CN"/>
              </w:rPr>
              <w:t>单位：dB（A）</w:t>
            </w:r>
          </w:p>
          <w:tbl>
            <w:tblPr>
              <w:tblStyle w:val="24"/>
              <w:tblW w:w="770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729"/>
              <w:gridCol w:w="782"/>
              <w:gridCol w:w="848"/>
              <w:gridCol w:w="932"/>
              <w:gridCol w:w="836"/>
              <w:gridCol w:w="868"/>
              <w:gridCol w:w="937"/>
              <w:gridCol w:w="6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7" w:type="dxa"/>
                  <w:vMerge w:val="restart"/>
                  <w:tcBorders>
                    <w:tl2br w:val="nil"/>
                    <w:tr2bl w:val="nil"/>
                  </w:tcBorders>
                  <w:vAlign w:val="center"/>
                </w:tcPr>
                <w:p>
                  <w:pPr>
                    <w:pStyle w:val="38"/>
                    <w:bidi w:val="0"/>
                    <w:rPr>
                      <w:rFonts w:hint="default"/>
                      <w:color w:val="auto"/>
                      <w:highlight w:val="none"/>
                    </w:rPr>
                  </w:pPr>
                  <w:r>
                    <w:rPr>
                      <w:rFonts w:hint="eastAsia"/>
                      <w:color w:val="auto"/>
                      <w:highlight w:val="none"/>
                    </w:rPr>
                    <w:t>预测点</w:t>
                  </w:r>
                </w:p>
              </w:tc>
              <w:tc>
                <w:tcPr>
                  <w:tcW w:w="1511" w:type="dxa"/>
                  <w:gridSpan w:val="2"/>
                  <w:tcBorders>
                    <w:tl2br w:val="nil"/>
                    <w:tr2bl w:val="nil"/>
                  </w:tcBorders>
                  <w:vAlign w:val="center"/>
                </w:tcPr>
                <w:p>
                  <w:pPr>
                    <w:pStyle w:val="38"/>
                    <w:bidi w:val="0"/>
                    <w:rPr>
                      <w:rFonts w:hint="eastAsia"/>
                      <w:color w:val="auto"/>
                      <w:highlight w:val="none"/>
                    </w:rPr>
                  </w:pPr>
                  <w:r>
                    <w:rPr>
                      <w:rFonts w:hint="eastAsia"/>
                      <w:color w:val="auto"/>
                      <w:highlight w:val="none"/>
                    </w:rPr>
                    <w:t>空间相对位置/m</w:t>
                  </w:r>
                </w:p>
              </w:tc>
              <w:tc>
                <w:tcPr>
                  <w:tcW w:w="848" w:type="dxa"/>
                  <w:vMerge w:val="restart"/>
                  <w:tcBorders>
                    <w:tl2br w:val="nil"/>
                    <w:tr2bl w:val="nil"/>
                  </w:tcBorders>
                  <w:vAlign w:val="center"/>
                </w:tcPr>
                <w:p>
                  <w:pPr>
                    <w:pStyle w:val="38"/>
                    <w:bidi w:val="0"/>
                    <w:rPr>
                      <w:rFonts w:hint="eastAsia"/>
                      <w:color w:val="auto"/>
                      <w:highlight w:val="none"/>
                      <w:lang w:val="en-US" w:eastAsia="zh-CN"/>
                    </w:rPr>
                  </w:pPr>
                  <w:r>
                    <w:rPr>
                      <w:rFonts w:hint="eastAsia"/>
                      <w:color w:val="auto"/>
                      <w:highlight w:val="none"/>
                      <w:lang w:val="en-US" w:eastAsia="zh-CN"/>
                    </w:rPr>
                    <w:t>噪声</w:t>
                  </w:r>
                </w:p>
                <w:p>
                  <w:pPr>
                    <w:pStyle w:val="38"/>
                    <w:bidi w:val="0"/>
                    <w:rPr>
                      <w:rFonts w:hint="default"/>
                      <w:color w:val="auto"/>
                      <w:highlight w:val="none"/>
                    </w:rPr>
                  </w:pPr>
                  <w:r>
                    <w:rPr>
                      <w:rFonts w:hint="eastAsia"/>
                      <w:color w:val="auto"/>
                      <w:highlight w:val="none"/>
                    </w:rPr>
                    <w:t>时段</w:t>
                  </w:r>
                </w:p>
              </w:tc>
              <w:tc>
                <w:tcPr>
                  <w:tcW w:w="932" w:type="dxa"/>
                  <w:vMerge w:val="restart"/>
                  <w:tcBorders>
                    <w:tl2br w:val="nil"/>
                    <w:tr2bl w:val="nil"/>
                  </w:tcBorders>
                  <w:vAlign w:val="center"/>
                </w:tcPr>
                <w:p>
                  <w:pPr>
                    <w:pStyle w:val="38"/>
                    <w:bidi w:val="0"/>
                    <w:rPr>
                      <w:rFonts w:hint="eastAsia"/>
                      <w:color w:val="auto"/>
                      <w:highlight w:val="none"/>
                    </w:rPr>
                  </w:pPr>
                  <w:r>
                    <w:rPr>
                      <w:rFonts w:hint="eastAsia"/>
                      <w:color w:val="auto"/>
                      <w:highlight w:val="none"/>
                    </w:rPr>
                    <w:t>贡献值/</w:t>
                  </w:r>
                </w:p>
                <w:p>
                  <w:pPr>
                    <w:pStyle w:val="38"/>
                    <w:bidi w:val="0"/>
                    <w:rPr>
                      <w:rFonts w:hint="default"/>
                      <w:color w:val="auto"/>
                      <w:highlight w:val="none"/>
                    </w:rPr>
                  </w:pPr>
                  <w:r>
                    <w:rPr>
                      <w:rFonts w:hint="eastAsia"/>
                      <w:color w:val="auto"/>
                      <w:highlight w:val="none"/>
                    </w:rPr>
                    <w:t>dB（A）</w:t>
                  </w:r>
                </w:p>
              </w:tc>
              <w:tc>
                <w:tcPr>
                  <w:tcW w:w="836" w:type="dxa"/>
                  <w:vMerge w:val="restart"/>
                  <w:tcBorders>
                    <w:tl2br w:val="nil"/>
                    <w:tr2bl w:val="nil"/>
                  </w:tcBorders>
                  <w:vAlign w:val="center"/>
                </w:tcPr>
                <w:p>
                  <w:pPr>
                    <w:pStyle w:val="38"/>
                    <w:bidi w:val="0"/>
                    <w:rPr>
                      <w:rFonts w:hint="eastAsia"/>
                      <w:color w:val="auto"/>
                      <w:highlight w:val="none"/>
                    </w:rPr>
                  </w:pPr>
                  <w:r>
                    <w:rPr>
                      <w:rFonts w:hint="eastAsia"/>
                      <w:color w:val="auto"/>
                      <w:highlight w:val="none"/>
                      <w:lang w:val="en-US" w:eastAsia="zh-CN"/>
                    </w:rPr>
                    <w:t>背景值</w:t>
                  </w:r>
                  <w:r>
                    <w:rPr>
                      <w:rFonts w:hint="eastAsia"/>
                      <w:color w:val="auto"/>
                      <w:highlight w:val="none"/>
                    </w:rPr>
                    <w:t>/</w:t>
                  </w:r>
                </w:p>
                <w:p>
                  <w:pPr>
                    <w:pStyle w:val="38"/>
                    <w:bidi w:val="0"/>
                    <w:rPr>
                      <w:rFonts w:hint="eastAsia" w:eastAsia="宋体"/>
                      <w:color w:val="auto"/>
                      <w:highlight w:val="none"/>
                      <w:lang w:val="en-US" w:eastAsia="zh-CN"/>
                    </w:rPr>
                  </w:pPr>
                  <w:r>
                    <w:rPr>
                      <w:rFonts w:hint="eastAsia"/>
                      <w:color w:val="auto"/>
                      <w:highlight w:val="none"/>
                    </w:rPr>
                    <w:t>dB（A）</w:t>
                  </w:r>
                </w:p>
              </w:tc>
              <w:tc>
                <w:tcPr>
                  <w:tcW w:w="868" w:type="dxa"/>
                  <w:vMerge w:val="restart"/>
                  <w:tcBorders>
                    <w:tl2br w:val="nil"/>
                    <w:tr2bl w:val="nil"/>
                  </w:tcBorders>
                  <w:vAlign w:val="center"/>
                </w:tcPr>
                <w:p>
                  <w:pPr>
                    <w:pStyle w:val="38"/>
                    <w:bidi w:val="0"/>
                    <w:rPr>
                      <w:rFonts w:hint="eastAsia"/>
                      <w:color w:val="auto"/>
                      <w:highlight w:val="none"/>
                    </w:rPr>
                  </w:pPr>
                  <w:r>
                    <w:rPr>
                      <w:rFonts w:hint="eastAsia"/>
                      <w:color w:val="auto"/>
                      <w:highlight w:val="none"/>
                      <w:lang w:val="en-US" w:eastAsia="zh-CN"/>
                    </w:rPr>
                    <w:t>预测值</w:t>
                  </w:r>
                  <w:r>
                    <w:rPr>
                      <w:rFonts w:hint="eastAsia"/>
                      <w:color w:val="auto"/>
                      <w:highlight w:val="none"/>
                    </w:rPr>
                    <w:t>/</w:t>
                  </w:r>
                </w:p>
                <w:p>
                  <w:pPr>
                    <w:pStyle w:val="38"/>
                    <w:bidi w:val="0"/>
                    <w:rPr>
                      <w:rFonts w:hint="eastAsia" w:eastAsia="宋体"/>
                      <w:color w:val="auto"/>
                      <w:highlight w:val="none"/>
                      <w:lang w:val="en-US" w:eastAsia="zh-CN"/>
                    </w:rPr>
                  </w:pPr>
                  <w:r>
                    <w:rPr>
                      <w:rFonts w:hint="eastAsia"/>
                      <w:color w:val="auto"/>
                      <w:highlight w:val="none"/>
                    </w:rPr>
                    <w:t>dB（A）</w:t>
                  </w:r>
                </w:p>
              </w:tc>
              <w:tc>
                <w:tcPr>
                  <w:tcW w:w="937" w:type="dxa"/>
                  <w:vMerge w:val="restart"/>
                  <w:tcBorders>
                    <w:tl2br w:val="nil"/>
                    <w:tr2bl w:val="nil"/>
                  </w:tcBorders>
                  <w:vAlign w:val="center"/>
                </w:tcPr>
                <w:p>
                  <w:pPr>
                    <w:pStyle w:val="38"/>
                    <w:bidi w:val="0"/>
                    <w:rPr>
                      <w:rFonts w:hint="eastAsia"/>
                      <w:color w:val="auto"/>
                      <w:highlight w:val="none"/>
                    </w:rPr>
                  </w:pPr>
                  <w:r>
                    <w:rPr>
                      <w:rFonts w:hint="eastAsia"/>
                      <w:color w:val="auto"/>
                      <w:highlight w:val="none"/>
                    </w:rPr>
                    <w:t>标准值</w:t>
                  </w:r>
                </w:p>
                <w:p>
                  <w:pPr>
                    <w:pStyle w:val="38"/>
                    <w:bidi w:val="0"/>
                    <w:rPr>
                      <w:rFonts w:hint="default"/>
                      <w:color w:val="auto"/>
                      <w:highlight w:val="none"/>
                    </w:rPr>
                  </w:pPr>
                  <w:r>
                    <w:rPr>
                      <w:rFonts w:hint="eastAsia"/>
                      <w:color w:val="auto"/>
                      <w:highlight w:val="none"/>
                    </w:rPr>
                    <w:t>/dB（A）</w:t>
                  </w:r>
                </w:p>
              </w:tc>
              <w:tc>
                <w:tcPr>
                  <w:tcW w:w="614" w:type="dxa"/>
                  <w:vMerge w:val="restart"/>
                  <w:tcBorders>
                    <w:tl2br w:val="nil"/>
                    <w:tr2bl w:val="nil"/>
                  </w:tcBorders>
                  <w:vAlign w:val="center"/>
                </w:tcPr>
                <w:p>
                  <w:pPr>
                    <w:pStyle w:val="38"/>
                    <w:bidi w:val="0"/>
                    <w:rPr>
                      <w:rFonts w:hint="default"/>
                      <w:color w:val="auto"/>
                      <w:highlight w:val="none"/>
                    </w:rPr>
                  </w:pPr>
                  <w:r>
                    <w:rPr>
                      <w:rFonts w:hint="eastAsia"/>
                      <w:color w:val="auto"/>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7" w:type="dxa"/>
                  <w:vMerge w:val="continue"/>
                  <w:tcBorders>
                    <w:tl2br w:val="nil"/>
                    <w:tr2bl w:val="nil"/>
                  </w:tcBorders>
                  <w:vAlign w:val="center"/>
                </w:tcPr>
                <w:p>
                  <w:pPr>
                    <w:pStyle w:val="38"/>
                    <w:bidi w:val="0"/>
                    <w:rPr>
                      <w:rFonts w:hint="default"/>
                      <w:color w:val="auto"/>
                      <w:highlight w:val="none"/>
                    </w:rPr>
                  </w:pPr>
                </w:p>
              </w:tc>
              <w:tc>
                <w:tcPr>
                  <w:tcW w:w="729" w:type="dxa"/>
                  <w:tcBorders>
                    <w:tl2br w:val="nil"/>
                    <w:tr2bl w:val="nil"/>
                  </w:tcBorders>
                  <w:vAlign w:val="center"/>
                </w:tcPr>
                <w:p>
                  <w:pPr>
                    <w:pStyle w:val="38"/>
                    <w:bidi w:val="0"/>
                    <w:rPr>
                      <w:rFonts w:hint="default"/>
                      <w:color w:val="auto"/>
                      <w:highlight w:val="none"/>
                    </w:rPr>
                  </w:pPr>
                  <w:r>
                    <w:rPr>
                      <w:rFonts w:hint="eastAsia"/>
                      <w:color w:val="auto"/>
                      <w:highlight w:val="none"/>
                    </w:rPr>
                    <w:t>X</w:t>
                  </w:r>
                </w:p>
              </w:tc>
              <w:tc>
                <w:tcPr>
                  <w:tcW w:w="782" w:type="dxa"/>
                  <w:tcBorders>
                    <w:tl2br w:val="nil"/>
                    <w:tr2bl w:val="nil"/>
                  </w:tcBorders>
                  <w:vAlign w:val="center"/>
                </w:tcPr>
                <w:p>
                  <w:pPr>
                    <w:pStyle w:val="38"/>
                    <w:bidi w:val="0"/>
                    <w:rPr>
                      <w:rFonts w:hint="default"/>
                      <w:color w:val="auto"/>
                      <w:highlight w:val="none"/>
                    </w:rPr>
                  </w:pPr>
                  <w:r>
                    <w:rPr>
                      <w:rFonts w:hint="eastAsia"/>
                      <w:color w:val="auto"/>
                      <w:highlight w:val="none"/>
                    </w:rPr>
                    <w:t>Y</w:t>
                  </w:r>
                </w:p>
              </w:tc>
              <w:tc>
                <w:tcPr>
                  <w:tcW w:w="848" w:type="dxa"/>
                  <w:vMerge w:val="continue"/>
                  <w:tcBorders>
                    <w:tl2br w:val="nil"/>
                    <w:tr2bl w:val="nil"/>
                  </w:tcBorders>
                  <w:vAlign w:val="center"/>
                </w:tcPr>
                <w:p>
                  <w:pPr>
                    <w:pStyle w:val="38"/>
                    <w:bidi w:val="0"/>
                    <w:rPr>
                      <w:rFonts w:hint="default"/>
                      <w:color w:val="auto"/>
                      <w:highlight w:val="none"/>
                    </w:rPr>
                  </w:pPr>
                </w:p>
              </w:tc>
              <w:tc>
                <w:tcPr>
                  <w:tcW w:w="932" w:type="dxa"/>
                  <w:vMerge w:val="continue"/>
                  <w:tcBorders>
                    <w:tl2br w:val="nil"/>
                    <w:tr2bl w:val="nil"/>
                  </w:tcBorders>
                  <w:vAlign w:val="center"/>
                </w:tcPr>
                <w:p>
                  <w:pPr>
                    <w:pStyle w:val="38"/>
                    <w:bidi w:val="0"/>
                    <w:rPr>
                      <w:rFonts w:hint="default"/>
                      <w:color w:val="auto"/>
                      <w:highlight w:val="none"/>
                    </w:rPr>
                  </w:pPr>
                </w:p>
              </w:tc>
              <w:tc>
                <w:tcPr>
                  <w:tcW w:w="836" w:type="dxa"/>
                  <w:vMerge w:val="continue"/>
                  <w:tcBorders>
                    <w:tl2br w:val="nil"/>
                    <w:tr2bl w:val="nil"/>
                  </w:tcBorders>
                  <w:vAlign w:val="center"/>
                </w:tcPr>
                <w:p>
                  <w:pPr>
                    <w:pStyle w:val="38"/>
                    <w:bidi w:val="0"/>
                    <w:rPr>
                      <w:rFonts w:hint="default"/>
                      <w:color w:val="auto"/>
                      <w:highlight w:val="none"/>
                    </w:rPr>
                  </w:pPr>
                </w:p>
              </w:tc>
              <w:tc>
                <w:tcPr>
                  <w:tcW w:w="868" w:type="dxa"/>
                  <w:vMerge w:val="continue"/>
                  <w:tcBorders>
                    <w:tl2br w:val="nil"/>
                    <w:tr2bl w:val="nil"/>
                  </w:tcBorders>
                  <w:vAlign w:val="center"/>
                </w:tcPr>
                <w:p>
                  <w:pPr>
                    <w:pStyle w:val="38"/>
                    <w:bidi w:val="0"/>
                    <w:rPr>
                      <w:rFonts w:hint="default"/>
                      <w:color w:val="auto"/>
                      <w:highlight w:val="none"/>
                    </w:rPr>
                  </w:pPr>
                </w:p>
              </w:tc>
              <w:tc>
                <w:tcPr>
                  <w:tcW w:w="937" w:type="dxa"/>
                  <w:vMerge w:val="continue"/>
                  <w:tcBorders>
                    <w:tl2br w:val="nil"/>
                    <w:tr2bl w:val="nil"/>
                  </w:tcBorders>
                  <w:vAlign w:val="center"/>
                </w:tcPr>
                <w:p>
                  <w:pPr>
                    <w:pStyle w:val="38"/>
                    <w:bidi w:val="0"/>
                    <w:rPr>
                      <w:rFonts w:hint="default"/>
                      <w:color w:val="auto"/>
                      <w:highlight w:val="none"/>
                    </w:rPr>
                  </w:pPr>
                </w:p>
              </w:tc>
              <w:tc>
                <w:tcPr>
                  <w:tcW w:w="614" w:type="dxa"/>
                  <w:vMerge w:val="continue"/>
                  <w:tcBorders>
                    <w:tl2br w:val="nil"/>
                    <w:tr2bl w:val="nil"/>
                  </w:tcBorders>
                  <w:vAlign w:val="center"/>
                </w:tcPr>
                <w:p>
                  <w:pPr>
                    <w:pStyle w:val="38"/>
                    <w:bidi w:val="0"/>
                    <w:rPr>
                      <w:rFonts w:hint="default"/>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157" w:type="dxa"/>
                  <w:vMerge w:val="restart"/>
                  <w:tcBorders>
                    <w:tl2br w:val="nil"/>
                    <w:tr2bl w:val="nil"/>
                  </w:tcBorders>
                  <w:vAlign w:val="center"/>
                </w:tcPr>
                <w:p>
                  <w:pPr>
                    <w:pStyle w:val="38"/>
                    <w:bidi w:val="0"/>
                    <w:rPr>
                      <w:rFonts w:hint="eastAsia"/>
                      <w:color w:val="auto"/>
                      <w:highlight w:val="none"/>
                      <w:lang w:val="en-US" w:eastAsia="zh-CN"/>
                    </w:rPr>
                  </w:pPr>
                  <w:r>
                    <w:rPr>
                      <w:rFonts w:hint="eastAsia"/>
                      <w:color w:val="auto"/>
                      <w:highlight w:val="none"/>
                      <w:lang w:val="en-US" w:eastAsia="zh-CN"/>
                    </w:rPr>
                    <w:t>1#（东厂界）</w:t>
                  </w:r>
                </w:p>
              </w:tc>
              <w:tc>
                <w:tcPr>
                  <w:tcW w:w="729" w:type="dxa"/>
                  <w:vMerge w:val="restart"/>
                  <w:tcBorders>
                    <w:tl2br w:val="nil"/>
                    <w:tr2bl w:val="nil"/>
                  </w:tcBorders>
                  <w:vAlign w:val="center"/>
                </w:tcPr>
                <w:p>
                  <w:pPr>
                    <w:pStyle w:val="38"/>
                    <w:bidi w:val="0"/>
                    <w:rPr>
                      <w:rFonts w:hint="default"/>
                      <w:color w:val="auto"/>
                      <w:highlight w:val="none"/>
                      <w:lang w:val="en-US" w:eastAsia="zh-CN"/>
                    </w:rPr>
                  </w:pPr>
                  <w:r>
                    <w:rPr>
                      <w:rFonts w:hint="eastAsia"/>
                      <w:color w:val="auto"/>
                      <w:highlight w:val="none"/>
                      <w:lang w:val="en-US" w:eastAsia="zh-CN"/>
                    </w:rPr>
                    <w:t>485</w:t>
                  </w:r>
                </w:p>
              </w:tc>
              <w:tc>
                <w:tcPr>
                  <w:tcW w:w="782" w:type="dxa"/>
                  <w:vMerge w:val="restart"/>
                  <w:tcBorders>
                    <w:tl2br w:val="nil"/>
                    <w:tr2bl w:val="nil"/>
                  </w:tcBorders>
                  <w:vAlign w:val="center"/>
                </w:tcPr>
                <w:p>
                  <w:pPr>
                    <w:pStyle w:val="38"/>
                    <w:bidi w:val="0"/>
                    <w:rPr>
                      <w:rFonts w:hint="default"/>
                      <w:color w:val="auto"/>
                      <w:highlight w:val="none"/>
                      <w:lang w:val="en-US" w:eastAsia="zh-CN"/>
                    </w:rPr>
                  </w:pPr>
                  <w:r>
                    <w:rPr>
                      <w:rFonts w:hint="eastAsia"/>
                      <w:color w:val="auto"/>
                      <w:highlight w:val="none"/>
                      <w:lang w:val="en-US" w:eastAsia="zh-CN"/>
                    </w:rPr>
                    <w:t>11</w:t>
                  </w:r>
                </w:p>
              </w:tc>
              <w:tc>
                <w:tcPr>
                  <w:tcW w:w="848" w:type="dxa"/>
                  <w:tcBorders>
                    <w:tl2br w:val="nil"/>
                    <w:tr2bl w:val="nil"/>
                  </w:tcBorders>
                  <w:vAlign w:val="center"/>
                </w:tcPr>
                <w:p>
                  <w:pPr>
                    <w:pStyle w:val="38"/>
                    <w:bidi w:val="0"/>
                    <w:rPr>
                      <w:rFonts w:hint="default"/>
                      <w:color w:val="auto"/>
                      <w:highlight w:val="none"/>
                      <w:lang w:val="en-US" w:eastAsia="zh-CN"/>
                    </w:rPr>
                  </w:pPr>
                  <w:r>
                    <w:rPr>
                      <w:rFonts w:hint="eastAsia"/>
                      <w:color w:val="auto"/>
                      <w:highlight w:val="none"/>
                      <w:lang w:val="en-US" w:eastAsia="zh-CN"/>
                    </w:rPr>
                    <w:t>昼间</w:t>
                  </w:r>
                </w:p>
              </w:tc>
              <w:tc>
                <w:tcPr>
                  <w:tcW w:w="932" w:type="dxa"/>
                  <w:tcBorders>
                    <w:tl2br w:val="nil"/>
                    <w:tr2bl w:val="nil"/>
                  </w:tcBorders>
                  <w:shd w:val="clear" w:color="auto" w:fill="auto"/>
                  <w:vAlign w:val="center"/>
                </w:tcPr>
                <w:p>
                  <w:pPr>
                    <w:pStyle w:val="37"/>
                    <w:bidi w:val="0"/>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37.00</w:t>
                  </w:r>
                </w:p>
              </w:tc>
              <w:tc>
                <w:tcPr>
                  <w:tcW w:w="836" w:type="dxa"/>
                  <w:tcBorders>
                    <w:tl2br w:val="nil"/>
                    <w:tr2bl w:val="nil"/>
                  </w:tcBorders>
                  <w:vAlign w:val="center"/>
                </w:tcPr>
                <w:p>
                  <w:pPr>
                    <w:pStyle w:val="37"/>
                    <w:bidi w:val="0"/>
                    <w:ind w:firstLine="0" w:firstLineChars="0"/>
                    <w:jc w:val="center"/>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57</w:t>
                  </w:r>
                </w:p>
              </w:tc>
              <w:tc>
                <w:tcPr>
                  <w:tcW w:w="868" w:type="dxa"/>
                  <w:tcBorders>
                    <w:tl2br w:val="nil"/>
                    <w:tr2bl w:val="nil"/>
                  </w:tcBorders>
                  <w:vAlign w:val="center"/>
                </w:tcPr>
                <w:p>
                  <w:pPr>
                    <w:pStyle w:val="37"/>
                    <w:bidi w:val="0"/>
                    <w:ind w:firstLine="0" w:firstLineChars="0"/>
                    <w:jc w:val="center"/>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57.04</w:t>
                  </w:r>
                </w:p>
              </w:tc>
              <w:tc>
                <w:tcPr>
                  <w:tcW w:w="937" w:type="dxa"/>
                  <w:tcBorders>
                    <w:tl2br w:val="nil"/>
                    <w:tr2bl w:val="nil"/>
                  </w:tcBorders>
                  <w:vAlign w:val="center"/>
                </w:tcPr>
                <w:p>
                  <w:pPr>
                    <w:pStyle w:val="38"/>
                    <w:bidi w:val="0"/>
                    <w:rPr>
                      <w:rFonts w:hint="default"/>
                      <w:color w:val="auto"/>
                      <w:highlight w:val="none"/>
                      <w:lang w:val="en-US" w:eastAsia="zh-CN"/>
                    </w:rPr>
                  </w:pPr>
                  <w:r>
                    <w:rPr>
                      <w:rFonts w:hint="eastAsia"/>
                      <w:color w:val="auto"/>
                      <w:highlight w:val="none"/>
                      <w:lang w:val="en-US" w:eastAsia="zh-CN"/>
                    </w:rPr>
                    <w:t>65</w:t>
                  </w:r>
                </w:p>
              </w:tc>
              <w:tc>
                <w:tcPr>
                  <w:tcW w:w="614" w:type="dxa"/>
                  <w:tcBorders>
                    <w:tl2br w:val="nil"/>
                    <w:tr2bl w:val="nil"/>
                  </w:tcBorders>
                  <w:vAlign w:val="center"/>
                </w:tcPr>
                <w:p>
                  <w:pPr>
                    <w:pStyle w:val="38"/>
                    <w:bidi w:val="0"/>
                    <w:rPr>
                      <w:rFonts w:hint="eastAsia"/>
                      <w:color w:val="auto"/>
                      <w:highlight w:val="none"/>
                      <w:lang w:val="en-US" w:eastAsia="zh-CN"/>
                    </w:rPr>
                  </w:pPr>
                  <w:r>
                    <w:rPr>
                      <w:rFonts w:hint="eastAsia"/>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157" w:type="dxa"/>
                  <w:vMerge w:val="continue"/>
                  <w:tcBorders>
                    <w:tl2br w:val="nil"/>
                    <w:tr2bl w:val="nil"/>
                  </w:tcBorders>
                  <w:vAlign w:val="center"/>
                </w:tcPr>
                <w:p>
                  <w:pPr>
                    <w:pStyle w:val="38"/>
                    <w:bidi w:val="0"/>
                    <w:rPr>
                      <w:rFonts w:hint="eastAsia"/>
                      <w:color w:val="auto"/>
                      <w:highlight w:val="none"/>
                      <w:lang w:val="en-US" w:eastAsia="zh-CN"/>
                    </w:rPr>
                  </w:pPr>
                </w:p>
              </w:tc>
              <w:tc>
                <w:tcPr>
                  <w:tcW w:w="729" w:type="dxa"/>
                  <w:vMerge w:val="continue"/>
                  <w:tcBorders>
                    <w:tl2br w:val="nil"/>
                    <w:tr2bl w:val="nil"/>
                  </w:tcBorders>
                  <w:vAlign w:val="center"/>
                </w:tcPr>
                <w:p>
                  <w:pPr>
                    <w:pStyle w:val="38"/>
                    <w:bidi w:val="0"/>
                    <w:rPr>
                      <w:rFonts w:hint="eastAsia"/>
                      <w:color w:val="auto"/>
                      <w:highlight w:val="none"/>
                      <w:lang w:val="en-US" w:eastAsia="zh-CN"/>
                    </w:rPr>
                  </w:pPr>
                </w:p>
              </w:tc>
              <w:tc>
                <w:tcPr>
                  <w:tcW w:w="782" w:type="dxa"/>
                  <w:vMerge w:val="continue"/>
                  <w:tcBorders>
                    <w:tl2br w:val="nil"/>
                    <w:tr2bl w:val="nil"/>
                  </w:tcBorders>
                  <w:vAlign w:val="center"/>
                </w:tcPr>
                <w:p>
                  <w:pPr>
                    <w:pStyle w:val="38"/>
                    <w:bidi w:val="0"/>
                    <w:rPr>
                      <w:rFonts w:hint="eastAsia"/>
                      <w:color w:val="auto"/>
                      <w:highlight w:val="none"/>
                      <w:lang w:val="en-US" w:eastAsia="zh-CN"/>
                    </w:rPr>
                  </w:pPr>
                </w:p>
              </w:tc>
              <w:tc>
                <w:tcPr>
                  <w:tcW w:w="848" w:type="dxa"/>
                  <w:tcBorders>
                    <w:tl2br w:val="nil"/>
                    <w:tr2bl w:val="nil"/>
                  </w:tcBorders>
                  <w:vAlign w:val="center"/>
                </w:tcPr>
                <w:p>
                  <w:pPr>
                    <w:pStyle w:val="38"/>
                    <w:bidi w:val="0"/>
                    <w:rPr>
                      <w:rFonts w:hint="default"/>
                      <w:color w:val="auto"/>
                      <w:highlight w:val="none"/>
                      <w:lang w:val="en-US" w:eastAsia="zh-CN"/>
                    </w:rPr>
                  </w:pPr>
                  <w:r>
                    <w:rPr>
                      <w:rFonts w:hint="eastAsia"/>
                      <w:color w:val="auto"/>
                      <w:highlight w:val="none"/>
                      <w:lang w:val="en-US" w:eastAsia="zh-CN"/>
                    </w:rPr>
                    <w:t>夜间</w:t>
                  </w:r>
                </w:p>
              </w:tc>
              <w:tc>
                <w:tcPr>
                  <w:tcW w:w="932" w:type="dxa"/>
                  <w:tcBorders>
                    <w:tl2br w:val="nil"/>
                    <w:tr2bl w:val="nil"/>
                  </w:tcBorders>
                  <w:shd w:val="clear" w:color="auto" w:fill="auto"/>
                  <w:vAlign w:val="center"/>
                </w:tcPr>
                <w:p>
                  <w:pPr>
                    <w:pStyle w:val="38"/>
                    <w:bidi w:val="0"/>
                    <w:rPr>
                      <w:rFonts w:hint="eastAsia"/>
                      <w:color w:val="auto"/>
                      <w:highlight w:val="none"/>
                      <w:lang w:val="en-US" w:eastAsia="zh-CN"/>
                    </w:rPr>
                  </w:pPr>
                  <w:r>
                    <w:rPr>
                      <w:rFonts w:hint="default" w:ascii="Times New Roman" w:hAnsi="Times New Roman" w:eastAsia="宋体" w:cs="Times New Roman"/>
                      <w:color w:val="auto"/>
                      <w:kern w:val="2"/>
                      <w:sz w:val="18"/>
                      <w:szCs w:val="18"/>
                      <w:highlight w:val="none"/>
                      <w:lang w:val="en-US" w:eastAsia="zh-CN" w:bidi="ar-SA"/>
                    </w:rPr>
                    <w:t>37.00</w:t>
                  </w:r>
                </w:p>
              </w:tc>
              <w:tc>
                <w:tcPr>
                  <w:tcW w:w="836" w:type="dxa"/>
                  <w:tcBorders>
                    <w:tl2br w:val="nil"/>
                    <w:tr2bl w:val="nil"/>
                  </w:tcBorders>
                  <w:vAlign w:val="center"/>
                </w:tcPr>
                <w:p>
                  <w:pPr>
                    <w:pStyle w:val="38"/>
                    <w:bidi w:val="0"/>
                    <w:rPr>
                      <w:rFonts w:hint="default"/>
                      <w:color w:val="auto"/>
                      <w:highlight w:val="none"/>
                      <w:lang w:val="en-US" w:eastAsia="zh-CN"/>
                    </w:rPr>
                  </w:pPr>
                  <w:r>
                    <w:rPr>
                      <w:rFonts w:hint="eastAsia"/>
                      <w:color w:val="auto"/>
                      <w:highlight w:val="none"/>
                      <w:lang w:val="en-US" w:eastAsia="zh-CN"/>
                    </w:rPr>
                    <w:t>49</w:t>
                  </w:r>
                </w:p>
              </w:tc>
              <w:tc>
                <w:tcPr>
                  <w:tcW w:w="868" w:type="dxa"/>
                  <w:tcBorders>
                    <w:tl2br w:val="nil"/>
                    <w:tr2bl w:val="nil"/>
                  </w:tcBorders>
                  <w:vAlign w:val="center"/>
                </w:tcPr>
                <w:p>
                  <w:pPr>
                    <w:pStyle w:val="38"/>
                    <w:bidi w:val="0"/>
                    <w:jc w:val="center"/>
                    <w:rPr>
                      <w:rFonts w:hint="default"/>
                      <w:color w:val="auto"/>
                      <w:highlight w:val="none"/>
                      <w:lang w:val="en-US" w:eastAsia="zh-CN"/>
                    </w:rPr>
                  </w:pPr>
                  <w:r>
                    <w:rPr>
                      <w:rFonts w:hint="eastAsia"/>
                      <w:color w:val="auto"/>
                      <w:highlight w:val="none"/>
                      <w:lang w:val="en-US" w:eastAsia="zh-CN"/>
                    </w:rPr>
                    <w:t>49.27</w:t>
                  </w:r>
                </w:p>
              </w:tc>
              <w:tc>
                <w:tcPr>
                  <w:tcW w:w="937" w:type="dxa"/>
                  <w:tcBorders>
                    <w:tl2br w:val="nil"/>
                    <w:tr2bl w:val="nil"/>
                  </w:tcBorders>
                  <w:vAlign w:val="center"/>
                </w:tcPr>
                <w:p>
                  <w:pPr>
                    <w:pStyle w:val="38"/>
                    <w:bidi w:val="0"/>
                    <w:rPr>
                      <w:rFonts w:hint="eastAsia"/>
                      <w:color w:val="auto"/>
                      <w:highlight w:val="none"/>
                      <w:lang w:val="en-US" w:eastAsia="zh-CN"/>
                    </w:rPr>
                  </w:pPr>
                  <w:r>
                    <w:rPr>
                      <w:rFonts w:hint="eastAsia"/>
                      <w:color w:val="auto"/>
                      <w:highlight w:val="none"/>
                      <w:lang w:val="en-US" w:eastAsia="zh-CN"/>
                    </w:rPr>
                    <w:t>55</w:t>
                  </w:r>
                </w:p>
              </w:tc>
              <w:tc>
                <w:tcPr>
                  <w:tcW w:w="614" w:type="dxa"/>
                  <w:tcBorders>
                    <w:tl2br w:val="nil"/>
                    <w:tr2bl w:val="nil"/>
                  </w:tcBorders>
                  <w:vAlign w:val="center"/>
                </w:tcPr>
                <w:p>
                  <w:pPr>
                    <w:pStyle w:val="38"/>
                    <w:bidi w:val="0"/>
                    <w:ind w:firstLine="0" w:firstLineChars="0"/>
                    <w:rPr>
                      <w:rFonts w:hint="eastAsia"/>
                      <w:color w:val="auto"/>
                      <w:highlight w:val="none"/>
                      <w:lang w:val="en-US" w:eastAsia="zh-CN"/>
                    </w:rPr>
                  </w:pPr>
                  <w:r>
                    <w:rPr>
                      <w:rFonts w:hint="eastAsia"/>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157" w:type="dxa"/>
                  <w:vMerge w:val="restart"/>
                  <w:tcBorders>
                    <w:tl2br w:val="nil"/>
                    <w:tr2bl w:val="nil"/>
                  </w:tcBorders>
                  <w:vAlign w:val="center"/>
                </w:tcPr>
                <w:p>
                  <w:pPr>
                    <w:pStyle w:val="38"/>
                    <w:bidi w:val="0"/>
                    <w:rPr>
                      <w:rFonts w:hint="default"/>
                      <w:color w:val="auto"/>
                      <w:highlight w:val="none"/>
                    </w:rPr>
                  </w:pPr>
                  <w:r>
                    <w:rPr>
                      <w:rFonts w:hint="eastAsia"/>
                      <w:color w:val="auto"/>
                      <w:highlight w:val="none"/>
                      <w:lang w:val="en-US" w:eastAsia="zh-CN"/>
                    </w:rPr>
                    <w:t>2#（南厂界）</w:t>
                  </w:r>
                </w:p>
              </w:tc>
              <w:tc>
                <w:tcPr>
                  <w:tcW w:w="729" w:type="dxa"/>
                  <w:vMerge w:val="restart"/>
                  <w:tcBorders>
                    <w:tl2br w:val="nil"/>
                    <w:tr2bl w:val="nil"/>
                  </w:tcBorders>
                  <w:vAlign w:val="center"/>
                </w:tcPr>
                <w:p>
                  <w:pPr>
                    <w:pStyle w:val="38"/>
                    <w:bidi w:val="0"/>
                    <w:rPr>
                      <w:rFonts w:hint="default"/>
                      <w:color w:val="auto"/>
                      <w:highlight w:val="none"/>
                      <w:lang w:val="en-US" w:eastAsia="zh-CN"/>
                    </w:rPr>
                  </w:pPr>
                  <w:r>
                    <w:rPr>
                      <w:rFonts w:hint="eastAsia"/>
                      <w:color w:val="auto"/>
                      <w:highlight w:val="none"/>
                      <w:lang w:val="en-US" w:eastAsia="zh-CN"/>
                    </w:rPr>
                    <w:t>281</w:t>
                  </w:r>
                </w:p>
              </w:tc>
              <w:tc>
                <w:tcPr>
                  <w:tcW w:w="782" w:type="dxa"/>
                  <w:vMerge w:val="restart"/>
                  <w:tcBorders>
                    <w:tl2br w:val="nil"/>
                    <w:tr2bl w:val="nil"/>
                  </w:tcBorders>
                  <w:vAlign w:val="center"/>
                </w:tcPr>
                <w:p>
                  <w:pPr>
                    <w:pStyle w:val="38"/>
                    <w:bidi w:val="0"/>
                    <w:rPr>
                      <w:rFonts w:hint="default"/>
                      <w:color w:val="auto"/>
                      <w:highlight w:val="none"/>
                      <w:lang w:val="en-US" w:eastAsia="zh-CN"/>
                    </w:rPr>
                  </w:pPr>
                  <w:r>
                    <w:rPr>
                      <w:rFonts w:hint="eastAsia"/>
                      <w:color w:val="auto"/>
                      <w:highlight w:val="none"/>
                      <w:lang w:val="en-US" w:eastAsia="zh-CN"/>
                    </w:rPr>
                    <w:t>-185</w:t>
                  </w:r>
                </w:p>
              </w:tc>
              <w:tc>
                <w:tcPr>
                  <w:tcW w:w="848" w:type="dxa"/>
                  <w:tcBorders>
                    <w:tl2br w:val="nil"/>
                    <w:tr2bl w:val="nil"/>
                  </w:tcBorders>
                  <w:vAlign w:val="center"/>
                </w:tcPr>
                <w:p>
                  <w:pPr>
                    <w:pStyle w:val="38"/>
                    <w:bidi w:val="0"/>
                    <w:ind w:firstLine="0" w:firstLineChars="0"/>
                    <w:rPr>
                      <w:rFonts w:hint="default"/>
                      <w:color w:val="auto"/>
                      <w:highlight w:val="none"/>
                    </w:rPr>
                  </w:pPr>
                  <w:r>
                    <w:rPr>
                      <w:rFonts w:hint="eastAsia"/>
                      <w:color w:val="auto"/>
                      <w:highlight w:val="none"/>
                      <w:lang w:val="en-US" w:eastAsia="zh-CN"/>
                    </w:rPr>
                    <w:t>昼间</w:t>
                  </w:r>
                </w:p>
              </w:tc>
              <w:tc>
                <w:tcPr>
                  <w:tcW w:w="932" w:type="dxa"/>
                  <w:tcBorders>
                    <w:tl2br w:val="nil"/>
                    <w:tr2bl w:val="nil"/>
                  </w:tcBorders>
                  <w:shd w:val="clear" w:color="auto" w:fill="auto"/>
                  <w:vAlign w:val="center"/>
                </w:tcPr>
                <w:p>
                  <w:pPr>
                    <w:pStyle w:val="37"/>
                    <w:bidi w:val="0"/>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39.84</w:t>
                  </w:r>
                </w:p>
              </w:tc>
              <w:tc>
                <w:tcPr>
                  <w:tcW w:w="836" w:type="dxa"/>
                  <w:tcBorders>
                    <w:tl2br w:val="nil"/>
                    <w:tr2bl w:val="nil"/>
                  </w:tcBorders>
                  <w:vAlign w:val="center"/>
                </w:tcPr>
                <w:p>
                  <w:pPr>
                    <w:pStyle w:val="37"/>
                    <w:bidi w:val="0"/>
                    <w:ind w:firstLine="0" w:firstLineChars="0"/>
                    <w:jc w:val="center"/>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56</w:t>
                  </w:r>
                </w:p>
              </w:tc>
              <w:tc>
                <w:tcPr>
                  <w:tcW w:w="868" w:type="dxa"/>
                  <w:tcBorders>
                    <w:tl2br w:val="nil"/>
                    <w:tr2bl w:val="nil"/>
                  </w:tcBorders>
                  <w:vAlign w:val="center"/>
                </w:tcPr>
                <w:p>
                  <w:pPr>
                    <w:pStyle w:val="37"/>
                    <w:bidi w:val="0"/>
                    <w:ind w:firstLine="0" w:firstLineChars="0"/>
                    <w:jc w:val="center"/>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56.10</w:t>
                  </w:r>
                </w:p>
              </w:tc>
              <w:tc>
                <w:tcPr>
                  <w:tcW w:w="937" w:type="dxa"/>
                  <w:tcBorders>
                    <w:tl2br w:val="nil"/>
                    <w:tr2bl w:val="nil"/>
                  </w:tcBorders>
                  <w:vAlign w:val="center"/>
                </w:tcPr>
                <w:p>
                  <w:pPr>
                    <w:pStyle w:val="38"/>
                    <w:bidi w:val="0"/>
                    <w:rPr>
                      <w:rFonts w:hint="default"/>
                      <w:color w:val="auto"/>
                      <w:highlight w:val="none"/>
                      <w:lang w:val="en-US" w:eastAsia="zh-CN"/>
                    </w:rPr>
                  </w:pPr>
                  <w:r>
                    <w:rPr>
                      <w:rFonts w:hint="eastAsia"/>
                      <w:color w:val="auto"/>
                      <w:highlight w:val="none"/>
                      <w:lang w:val="en-US" w:eastAsia="zh-CN"/>
                    </w:rPr>
                    <w:t>65</w:t>
                  </w:r>
                </w:p>
              </w:tc>
              <w:tc>
                <w:tcPr>
                  <w:tcW w:w="614" w:type="dxa"/>
                  <w:tcBorders>
                    <w:tl2br w:val="nil"/>
                    <w:tr2bl w:val="nil"/>
                  </w:tcBorders>
                  <w:vAlign w:val="center"/>
                </w:tcPr>
                <w:p>
                  <w:pPr>
                    <w:pStyle w:val="38"/>
                    <w:bidi w:val="0"/>
                    <w:rPr>
                      <w:rFonts w:hint="default"/>
                      <w:color w:val="auto"/>
                      <w:highlight w:val="none"/>
                    </w:rPr>
                  </w:pPr>
                  <w:r>
                    <w:rPr>
                      <w:rFonts w:hint="eastAsia"/>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157" w:type="dxa"/>
                  <w:vMerge w:val="continue"/>
                  <w:tcBorders>
                    <w:tl2br w:val="nil"/>
                    <w:tr2bl w:val="nil"/>
                  </w:tcBorders>
                  <w:vAlign w:val="center"/>
                </w:tcPr>
                <w:p>
                  <w:pPr>
                    <w:pStyle w:val="38"/>
                    <w:bidi w:val="0"/>
                    <w:rPr>
                      <w:rFonts w:hint="eastAsia"/>
                      <w:color w:val="auto"/>
                      <w:highlight w:val="none"/>
                      <w:lang w:val="en-US" w:eastAsia="zh-CN"/>
                    </w:rPr>
                  </w:pPr>
                </w:p>
              </w:tc>
              <w:tc>
                <w:tcPr>
                  <w:tcW w:w="729" w:type="dxa"/>
                  <w:vMerge w:val="continue"/>
                  <w:tcBorders>
                    <w:tl2br w:val="nil"/>
                    <w:tr2bl w:val="nil"/>
                  </w:tcBorders>
                  <w:vAlign w:val="center"/>
                </w:tcPr>
                <w:p>
                  <w:pPr>
                    <w:pStyle w:val="38"/>
                    <w:bidi w:val="0"/>
                    <w:rPr>
                      <w:rFonts w:hint="eastAsia"/>
                      <w:color w:val="auto"/>
                      <w:highlight w:val="none"/>
                      <w:lang w:val="en-US" w:eastAsia="zh-CN"/>
                    </w:rPr>
                  </w:pPr>
                </w:p>
              </w:tc>
              <w:tc>
                <w:tcPr>
                  <w:tcW w:w="782" w:type="dxa"/>
                  <w:vMerge w:val="continue"/>
                  <w:tcBorders>
                    <w:tl2br w:val="nil"/>
                    <w:tr2bl w:val="nil"/>
                  </w:tcBorders>
                  <w:vAlign w:val="center"/>
                </w:tcPr>
                <w:p>
                  <w:pPr>
                    <w:pStyle w:val="38"/>
                    <w:bidi w:val="0"/>
                    <w:rPr>
                      <w:rFonts w:hint="eastAsia"/>
                      <w:color w:val="auto"/>
                      <w:highlight w:val="none"/>
                      <w:lang w:val="en-US" w:eastAsia="zh-CN"/>
                    </w:rPr>
                  </w:pPr>
                </w:p>
              </w:tc>
              <w:tc>
                <w:tcPr>
                  <w:tcW w:w="848" w:type="dxa"/>
                  <w:tcBorders>
                    <w:tl2br w:val="nil"/>
                    <w:tr2bl w:val="nil"/>
                  </w:tcBorders>
                  <w:vAlign w:val="center"/>
                </w:tcPr>
                <w:p>
                  <w:pPr>
                    <w:pStyle w:val="38"/>
                    <w:bidi w:val="0"/>
                    <w:ind w:firstLine="0" w:firstLineChars="0"/>
                    <w:rPr>
                      <w:rFonts w:hint="eastAsia"/>
                      <w:color w:val="auto"/>
                      <w:highlight w:val="none"/>
                      <w:lang w:val="en-US" w:eastAsia="zh-CN"/>
                    </w:rPr>
                  </w:pPr>
                  <w:r>
                    <w:rPr>
                      <w:rFonts w:hint="eastAsia"/>
                      <w:color w:val="auto"/>
                      <w:highlight w:val="none"/>
                      <w:lang w:val="en-US" w:eastAsia="zh-CN"/>
                    </w:rPr>
                    <w:t>夜间</w:t>
                  </w:r>
                </w:p>
              </w:tc>
              <w:tc>
                <w:tcPr>
                  <w:tcW w:w="932" w:type="dxa"/>
                  <w:tcBorders>
                    <w:tl2br w:val="nil"/>
                    <w:tr2bl w:val="nil"/>
                  </w:tcBorders>
                  <w:shd w:val="clear" w:color="auto" w:fill="auto"/>
                  <w:vAlign w:val="center"/>
                </w:tcPr>
                <w:p>
                  <w:pPr>
                    <w:pStyle w:val="38"/>
                    <w:bidi w:val="0"/>
                    <w:rPr>
                      <w:rFonts w:hint="eastAsia"/>
                      <w:color w:val="auto"/>
                      <w:highlight w:val="none"/>
                      <w:lang w:val="en-US" w:eastAsia="zh-CN"/>
                    </w:rPr>
                  </w:pPr>
                  <w:r>
                    <w:rPr>
                      <w:rFonts w:hint="eastAsia"/>
                      <w:color w:val="auto"/>
                      <w:highlight w:val="none"/>
                      <w:lang w:val="en-US" w:eastAsia="zh-CN"/>
                    </w:rPr>
                    <w:t>39.84</w:t>
                  </w:r>
                </w:p>
              </w:tc>
              <w:tc>
                <w:tcPr>
                  <w:tcW w:w="836" w:type="dxa"/>
                  <w:tcBorders>
                    <w:tl2br w:val="nil"/>
                    <w:tr2bl w:val="nil"/>
                  </w:tcBorders>
                  <w:vAlign w:val="center"/>
                </w:tcPr>
                <w:p>
                  <w:pPr>
                    <w:pStyle w:val="38"/>
                    <w:bidi w:val="0"/>
                    <w:rPr>
                      <w:rFonts w:hint="default"/>
                      <w:color w:val="auto"/>
                      <w:highlight w:val="none"/>
                      <w:lang w:val="en-US" w:eastAsia="zh-CN"/>
                    </w:rPr>
                  </w:pPr>
                  <w:r>
                    <w:rPr>
                      <w:rFonts w:hint="eastAsia"/>
                      <w:color w:val="auto"/>
                      <w:highlight w:val="none"/>
                      <w:lang w:val="en-US" w:eastAsia="zh-CN"/>
                    </w:rPr>
                    <w:t>50</w:t>
                  </w:r>
                </w:p>
              </w:tc>
              <w:tc>
                <w:tcPr>
                  <w:tcW w:w="868" w:type="dxa"/>
                  <w:tcBorders>
                    <w:tl2br w:val="nil"/>
                    <w:tr2bl w:val="nil"/>
                  </w:tcBorders>
                  <w:vAlign w:val="center"/>
                </w:tcPr>
                <w:p>
                  <w:pPr>
                    <w:pStyle w:val="38"/>
                    <w:bidi w:val="0"/>
                    <w:jc w:val="center"/>
                    <w:rPr>
                      <w:rFonts w:hint="default"/>
                      <w:color w:val="auto"/>
                      <w:highlight w:val="none"/>
                      <w:lang w:val="en-US" w:eastAsia="zh-CN"/>
                    </w:rPr>
                  </w:pPr>
                  <w:r>
                    <w:rPr>
                      <w:rFonts w:hint="eastAsia"/>
                      <w:color w:val="auto"/>
                      <w:highlight w:val="none"/>
                      <w:lang w:val="en-US" w:eastAsia="zh-CN"/>
                    </w:rPr>
                    <w:t>50.40</w:t>
                  </w:r>
                </w:p>
              </w:tc>
              <w:tc>
                <w:tcPr>
                  <w:tcW w:w="937" w:type="dxa"/>
                  <w:tcBorders>
                    <w:tl2br w:val="nil"/>
                    <w:tr2bl w:val="nil"/>
                  </w:tcBorders>
                  <w:shd w:val="clear" w:color="auto" w:fill="auto"/>
                  <w:vAlign w:val="center"/>
                </w:tcPr>
                <w:p>
                  <w:pPr>
                    <w:pStyle w:val="38"/>
                    <w:bidi w:val="0"/>
                    <w:ind w:firstLine="0" w:firstLineChars="0"/>
                    <w:rPr>
                      <w:rFonts w:hint="eastAsia" w:ascii="Times New Roman" w:hAnsi="Times New Roman" w:eastAsia="宋体" w:cstheme="minorBidi"/>
                      <w:color w:val="auto"/>
                      <w:kern w:val="0"/>
                      <w:sz w:val="18"/>
                      <w:szCs w:val="18"/>
                      <w:highlight w:val="none"/>
                      <w:lang w:val="en-US" w:eastAsia="zh-CN" w:bidi="ar-SA"/>
                    </w:rPr>
                  </w:pPr>
                  <w:r>
                    <w:rPr>
                      <w:rFonts w:hint="eastAsia"/>
                      <w:color w:val="auto"/>
                      <w:highlight w:val="none"/>
                      <w:lang w:val="en-US" w:eastAsia="zh-CN"/>
                    </w:rPr>
                    <w:t>55</w:t>
                  </w:r>
                </w:p>
              </w:tc>
              <w:tc>
                <w:tcPr>
                  <w:tcW w:w="614" w:type="dxa"/>
                  <w:tcBorders>
                    <w:tl2br w:val="nil"/>
                    <w:tr2bl w:val="nil"/>
                  </w:tcBorders>
                  <w:vAlign w:val="center"/>
                </w:tcPr>
                <w:p>
                  <w:pPr>
                    <w:pStyle w:val="38"/>
                    <w:bidi w:val="0"/>
                    <w:ind w:firstLine="0" w:firstLineChars="0"/>
                    <w:rPr>
                      <w:rFonts w:hint="eastAsia"/>
                      <w:color w:val="auto"/>
                      <w:highlight w:val="none"/>
                      <w:lang w:val="en-US" w:eastAsia="zh-CN"/>
                    </w:rPr>
                  </w:pPr>
                  <w:r>
                    <w:rPr>
                      <w:rFonts w:hint="eastAsia"/>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157" w:type="dxa"/>
                  <w:vMerge w:val="restart"/>
                  <w:tcBorders>
                    <w:tl2br w:val="nil"/>
                    <w:tr2bl w:val="nil"/>
                  </w:tcBorders>
                  <w:vAlign w:val="center"/>
                </w:tcPr>
                <w:p>
                  <w:pPr>
                    <w:pStyle w:val="38"/>
                    <w:bidi w:val="0"/>
                    <w:rPr>
                      <w:rFonts w:hint="default"/>
                      <w:color w:val="auto"/>
                      <w:highlight w:val="none"/>
                    </w:rPr>
                  </w:pPr>
                  <w:r>
                    <w:rPr>
                      <w:rFonts w:hint="eastAsia"/>
                      <w:color w:val="auto"/>
                      <w:highlight w:val="none"/>
                      <w:lang w:val="en-US" w:eastAsia="zh-CN"/>
                    </w:rPr>
                    <w:t>3#（西厂界）</w:t>
                  </w:r>
                </w:p>
              </w:tc>
              <w:tc>
                <w:tcPr>
                  <w:tcW w:w="729" w:type="dxa"/>
                  <w:vMerge w:val="restart"/>
                  <w:tcBorders>
                    <w:tl2br w:val="nil"/>
                    <w:tr2bl w:val="nil"/>
                  </w:tcBorders>
                  <w:vAlign w:val="center"/>
                </w:tcPr>
                <w:p>
                  <w:pPr>
                    <w:pStyle w:val="38"/>
                    <w:bidi w:val="0"/>
                    <w:rPr>
                      <w:rFonts w:hint="default"/>
                      <w:color w:val="auto"/>
                      <w:highlight w:val="none"/>
                      <w:lang w:val="en-US" w:eastAsia="zh-CN"/>
                    </w:rPr>
                  </w:pPr>
                  <w:r>
                    <w:rPr>
                      <w:rFonts w:hint="eastAsia"/>
                      <w:color w:val="auto"/>
                      <w:highlight w:val="none"/>
                      <w:lang w:val="en-US" w:eastAsia="zh-CN"/>
                    </w:rPr>
                    <w:t>-92</w:t>
                  </w:r>
                </w:p>
              </w:tc>
              <w:tc>
                <w:tcPr>
                  <w:tcW w:w="782" w:type="dxa"/>
                  <w:vMerge w:val="restart"/>
                  <w:tcBorders>
                    <w:tl2br w:val="nil"/>
                    <w:tr2bl w:val="nil"/>
                  </w:tcBorders>
                  <w:vAlign w:val="center"/>
                </w:tcPr>
                <w:p>
                  <w:pPr>
                    <w:pStyle w:val="38"/>
                    <w:bidi w:val="0"/>
                    <w:rPr>
                      <w:rFonts w:hint="default"/>
                      <w:color w:val="auto"/>
                      <w:highlight w:val="none"/>
                      <w:lang w:val="en-US" w:eastAsia="zh-CN"/>
                    </w:rPr>
                  </w:pPr>
                  <w:r>
                    <w:rPr>
                      <w:rFonts w:hint="eastAsia"/>
                      <w:color w:val="auto"/>
                      <w:highlight w:val="none"/>
                      <w:lang w:val="en-US" w:eastAsia="zh-CN"/>
                    </w:rPr>
                    <w:t>62</w:t>
                  </w:r>
                </w:p>
              </w:tc>
              <w:tc>
                <w:tcPr>
                  <w:tcW w:w="848" w:type="dxa"/>
                  <w:tcBorders>
                    <w:tl2br w:val="nil"/>
                    <w:tr2bl w:val="nil"/>
                  </w:tcBorders>
                  <w:vAlign w:val="center"/>
                </w:tcPr>
                <w:p>
                  <w:pPr>
                    <w:pStyle w:val="38"/>
                    <w:bidi w:val="0"/>
                    <w:ind w:firstLine="0" w:firstLineChars="0"/>
                    <w:rPr>
                      <w:rFonts w:hint="default"/>
                      <w:color w:val="auto"/>
                      <w:highlight w:val="none"/>
                    </w:rPr>
                  </w:pPr>
                  <w:r>
                    <w:rPr>
                      <w:rFonts w:hint="eastAsia"/>
                      <w:color w:val="auto"/>
                      <w:highlight w:val="none"/>
                      <w:lang w:val="en-US" w:eastAsia="zh-CN"/>
                    </w:rPr>
                    <w:t>昼间</w:t>
                  </w:r>
                </w:p>
              </w:tc>
              <w:tc>
                <w:tcPr>
                  <w:tcW w:w="932" w:type="dxa"/>
                  <w:tcBorders>
                    <w:tl2br w:val="nil"/>
                    <w:tr2bl w:val="nil"/>
                  </w:tcBorders>
                  <w:shd w:val="clear" w:color="auto" w:fill="auto"/>
                  <w:vAlign w:val="center"/>
                </w:tcPr>
                <w:p>
                  <w:pPr>
                    <w:pStyle w:val="37"/>
                    <w:bidi w:val="0"/>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48.25</w:t>
                  </w:r>
                </w:p>
              </w:tc>
              <w:tc>
                <w:tcPr>
                  <w:tcW w:w="836" w:type="dxa"/>
                  <w:tcBorders>
                    <w:tl2br w:val="nil"/>
                    <w:tr2bl w:val="nil"/>
                  </w:tcBorders>
                  <w:shd w:val="clear" w:color="auto" w:fill="auto"/>
                  <w:vAlign w:val="center"/>
                </w:tcPr>
                <w:p>
                  <w:pPr>
                    <w:pStyle w:val="38"/>
                    <w:bidi w:val="0"/>
                    <w:ind w:firstLine="0" w:firstLineChars="0"/>
                    <w:rPr>
                      <w:rFonts w:hint="default" w:ascii="Times New Roman" w:hAnsi="Times New Roman" w:eastAsia="宋体" w:cstheme="minorBidi"/>
                      <w:color w:val="auto"/>
                      <w:kern w:val="0"/>
                      <w:sz w:val="18"/>
                      <w:szCs w:val="18"/>
                      <w:highlight w:val="none"/>
                      <w:lang w:val="en-US" w:eastAsia="zh-CN" w:bidi="ar-SA"/>
                    </w:rPr>
                  </w:pPr>
                  <w:r>
                    <w:rPr>
                      <w:rFonts w:hint="eastAsia"/>
                      <w:color w:val="auto"/>
                      <w:highlight w:val="none"/>
                      <w:lang w:val="en-US" w:eastAsia="zh-CN"/>
                    </w:rPr>
                    <w:t>58</w:t>
                  </w:r>
                </w:p>
              </w:tc>
              <w:tc>
                <w:tcPr>
                  <w:tcW w:w="868" w:type="dxa"/>
                  <w:tcBorders>
                    <w:tl2br w:val="nil"/>
                    <w:tr2bl w:val="nil"/>
                  </w:tcBorders>
                  <w:vAlign w:val="center"/>
                </w:tcPr>
                <w:p>
                  <w:pPr>
                    <w:pStyle w:val="37"/>
                    <w:bidi w:val="0"/>
                    <w:ind w:firstLine="0" w:firstLineChars="0"/>
                    <w:jc w:val="center"/>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58.44</w:t>
                  </w:r>
                </w:p>
              </w:tc>
              <w:tc>
                <w:tcPr>
                  <w:tcW w:w="937" w:type="dxa"/>
                  <w:tcBorders>
                    <w:tl2br w:val="nil"/>
                    <w:tr2bl w:val="nil"/>
                  </w:tcBorders>
                  <w:vAlign w:val="center"/>
                </w:tcPr>
                <w:p>
                  <w:pPr>
                    <w:pStyle w:val="38"/>
                    <w:bidi w:val="0"/>
                    <w:rPr>
                      <w:rFonts w:hint="default"/>
                      <w:color w:val="auto"/>
                      <w:highlight w:val="none"/>
                      <w:lang w:val="en-US" w:eastAsia="zh-CN"/>
                    </w:rPr>
                  </w:pPr>
                  <w:r>
                    <w:rPr>
                      <w:rFonts w:hint="eastAsia"/>
                      <w:color w:val="auto"/>
                      <w:highlight w:val="none"/>
                      <w:lang w:val="en-US" w:eastAsia="zh-CN"/>
                    </w:rPr>
                    <w:t>65</w:t>
                  </w:r>
                </w:p>
              </w:tc>
              <w:tc>
                <w:tcPr>
                  <w:tcW w:w="614" w:type="dxa"/>
                  <w:tcBorders>
                    <w:tl2br w:val="nil"/>
                    <w:tr2bl w:val="nil"/>
                  </w:tcBorders>
                  <w:vAlign w:val="center"/>
                </w:tcPr>
                <w:p>
                  <w:pPr>
                    <w:pStyle w:val="38"/>
                    <w:bidi w:val="0"/>
                    <w:rPr>
                      <w:rFonts w:hint="default"/>
                      <w:color w:val="auto"/>
                      <w:highlight w:val="none"/>
                    </w:rPr>
                  </w:pPr>
                  <w:r>
                    <w:rPr>
                      <w:rFonts w:hint="eastAsia"/>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157" w:type="dxa"/>
                  <w:vMerge w:val="continue"/>
                  <w:tcBorders>
                    <w:tl2br w:val="nil"/>
                    <w:tr2bl w:val="nil"/>
                  </w:tcBorders>
                  <w:vAlign w:val="center"/>
                </w:tcPr>
                <w:p>
                  <w:pPr>
                    <w:pStyle w:val="38"/>
                    <w:bidi w:val="0"/>
                    <w:rPr>
                      <w:rFonts w:hint="eastAsia"/>
                      <w:color w:val="auto"/>
                      <w:highlight w:val="none"/>
                      <w:lang w:val="en-US" w:eastAsia="zh-CN"/>
                    </w:rPr>
                  </w:pPr>
                </w:p>
              </w:tc>
              <w:tc>
                <w:tcPr>
                  <w:tcW w:w="729" w:type="dxa"/>
                  <w:vMerge w:val="continue"/>
                  <w:tcBorders>
                    <w:tl2br w:val="nil"/>
                    <w:tr2bl w:val="nil"/>
                  </w:tcBorders>
                  <w:vAlign w:val="center"/>
                </w:tcPr>
                <w:p>
                  <w:pPr>
                    <w:pStyle w:val="38"/>
                    <w:bidi w:val="0"/>
                    <w:rPr>
                      <w:rFonts w:hint="eastAsia"/>
                      <w:color w:val="auto"/>
                      <w:highlight w:val="none"/>
                      <w:lang w:val="en-US" w:eastAsia="zh-CN"/>
                    </w:rPr>
                  </w:pPr>
                </w:p>
              </w:tc>
              <w:tc>
                <w:tcPr>
                  <w:tcW w:w="782" w:type="dxa"/>
                  <w:vMerge w:val="continue"/>
                  <w:tcBorders>
                    <w:tl2br w:val="nil"/>
                    <w:tr2bl w:val="nil"/>
                  </w:tcBorders>
                  <w:vAlign w:val="center"/>
                </w:tcPr>
                <w:p>
                  <w:pPr>
                    <w:pStyle w:val="38"/>
                    <w:bidi w:val="0"/>
                    <w:rPr>
                      <w:rFonts w:hint="eastAsia"/>
                      <w:color w:val="auto"/>
                      <w:highlight w:val="none"/>
                      <w:lang w:val="en-US" w:eastAsia="zh-CN"/>
                    </w:rPr>
                  </w:pPr>
                </w:p>
              </w:tc>
              <w:tc>
                <w:tcPr>
                  <w:tcW w:w="848" w:type="dxa"/>
                  <w:tcBorders>
                    <w:tl2br w:val="nil"/>
                    <w:tr2bl w:val="nil"/>
                  </w:tcBorders>
                  <w:vAlign w:val="center"/>
                </w:tcPr>
                <w:p>
                  <w:pPr>
                    <w:pStyle w:val="38"/>
                    <w:bidi w:val="0"/>
                    <w:ind w:firstLine="0" w:firstLineChars="0"/>
                    <w:rPr>
                      <w:rFonts w:hint="eastAsia"/>
                      <w:color w:val="auto"/>
                      <w:highlight w:val="none"/>
                      <w:lang w:val="en-US" w:eastAsia="zh-CN"/>
                    </w:rPr>
                  </w:pPr>
                  <w:r>
                    <w:rPr>
                      <w:rFonts w:hint="eastAsia"/>
                      <w:color w:val="auto"/>
                      <w:highlight w:val="none"/>
                      <w:lang w:val="en-US" w:eastAsia="zh-CN"/>
                    </w:rPr>
                    <w:t>夜间</w:t>
                  </w:r>
                </w:p>
              </w:tc>
              <w:tc>
                <w:tcPr>
                  <w:tcW w:w="932" w:type="dxa"/>
                  <w:tcBorders>
                    <w:tl2br w:val="nil"/>
                    <w:tr2bl w:val="nil"/>
                  </w:tcBorders>
                  <w:shd w:val="clear" w:color="auto" w:fill="auto"/>
                  <w:vAlign w:val="center"/>
                </w:tcPr>
                <w:p>
                  <w:pPr>
                    <w:pStyle w:val="38"/>
                    <w:bidi w:val="0"/>
                    <w:rPr>
                      <w:rFonts w:hint="eastAsia"/>
                      <w:color w:val="auto"/>
                      <w:highlight w:val="none"/>
                      <w:lang w:val="en-US" w:eastAsia="zh-CN"/>
                    </w:rPr>
                  </w:pPr>
                  <w:r>
                    <w:rPr>
                      <w:rFonts w:hint="eastAsia"/>
                      <w:color w:val="auto"/>
                      <w:highlight w:val="none"/>
                      <w:lang w:val="en-US" w:eastAsia="zh-CN"/>
                    </w:rPr>
                    <w:t>48.25</w:t>
                  </w:r>
                </w:p>
              </w:tc>
              <w:tc>
                <w:tcPr>
                  <w:tcW w:w="836" w:type="dxa"/>
                  <w:tcBorders>
                    <w:tl2br w:val="nil"/>
                    <w:tr2bl w:val="nil"/>
                  </w:tcBorders>
                  <w:shd w:val="clear" w:color="auto" w:fill="auto"/>
                  <w:vAlign w:val="center"/>
                </w:tcPr>
                <w:p>
                  <w:pPr>
                    <w:pStyle w:val="37"/>
                    <w:bidi w:val="0"/>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49</w:t>
                  </w:r>
                </w:p>
              </w:tc>
              <w:tc>
                <w:tcPr>
                  <w:tcW w:w="868" w:type="dxa"/>
                  <w:tcBorders>
                    <w:tl2br w:val="nil"/>
                    <w:tr2bl w:val="nil"/>
                  </w:tcBorders>
                  <w:vAlign w:val="center"/>
                </w:tcPr>
                <w:p>
                  <w:pPr>
                    <w:pStyle w:val="38"/>
                    <w:bidi w:val="0"/>
                    <w:jc w:val="center"/>
                    <w:rPr>
                      <w:rFonts w:hint="default"/>
                      <w:color w:val="auto"/>
                      <w:highlight w:val="none"/>
                      <w:lang w:val="en-US" w:eastAsia="zh-CN"/>
                    </w:rPr>
                  </w:pPr>
                  <w:r>
                    <w:rPr>
                      <w:rFonts w:hint="eastAsia"/>
                      <w:color w:val="auto"/>
                      <w:highlight w:val="none"/>
                      <w:lang w:val="en-US" w:eastAsia="zh-CN"/>
                    </w:rPr>
                    <w:t>51.65</w:t>
                  </w:r>
                </w:p>
              </w:tc>
              <w:tc>
                <w:tcPr>
                  <w:tcW w:w="937" w:type="dxa"/>
                  <w:tcBorders>
                    <w:tl2br w:val="nil"/>
                    <w:tr2bl w:val="nil"/>
                  </w:tcBorders>
                  <w:shd w:val="clear" w:color="auto" w:fill="auto"/>
                  <w:vAlign w:val="center"/>
                </w:tcPr>
                <w:p>
                  <w:pPr>
                    <w:pStyle w:val="38"/>
                    <w:bidi w:val="0"/>
                    <w:ind w:firstLine="0" w:firstLineChars="0"/>
                    <w:rPr>
                      <w:rFonts w:hint="eastAsia" w:ascii="Times New Roman" w:hAnsi="Times New Roman" w:eastAsia="宋体" w:cstheme="minorBidi"/>
                      <w:color w:val="auto"/>
                      <w:kern w:val="0"/>
                      <w:sz w:val="18"/>
                      <w:szCs w:val="18"/>
                      <w:highlight w:val="none"/>
                      <w:lang w:val="en-US" w:eastAsia="zh-CN" w:bidi="ar-SA"/>
                    </w:rPr>
                  </w:pPr>
                  <w:r>
                    <w:rPr>
                      <w:rFonts w:hint="eastAsia"/>
                      <w:color w:val="auto"/>
                      <w:highlight w:val="none"/>
                      <w:lang w:val="en-US" w:eastAsia="zh-CN"/>
                    </w:rPr>
                    <w:t>55</w:t>
                  </w:r>
                </w:p>
              </w:tc>
              <w:tc>
                <w:tcPr>
                  <w:tcW w:w="614" w:type="dxa"/>
                  <w:tcBorders>
                    <w:tl2br w:val="nil"/>
                    <w:tr2bl w:val="nil"/>
                  </w:tcBorders>
                  <w:vAlign w:val="center"/>
                </w:tcPr>
                <w:p>
                  <w:pPr>
                    <w:pStyle w:val="38"/>
                    <w:bidi w:val="0"/>
                    <w:ind w:firstLine="0" w:firstLineChars="0"/>
                    <w:rPr>
                      <w:rFonts w:hint="eastAsia"/>
                      <w:color w:val="auto"/>
                      <w:highlight w:val="none"/>
                      <w:lang w:val="en-US" w:eastAsia="zh-CN"/>
                    </w:rPr>
                  </w:pPr>
                  <w:r>
                    <w:rPr>
                      <w:rFonts w:hint="eastAsia"/>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157" w:type="dxa"/>
                  <w:vMerge w:val="restart"/>
                  <w:tcBorders>
                    <w:tl2br w:val="nil"/>
                    <w:tr2bl w:val="nil"/>
                  </w:tcBorders>
                  <w:vAlign w:val="center"/>
                </w:tcPr>
                <w:p>
                  <w:pPr>
                    <w:pStyle w:val="38"/>
                    <w:bidi w:val="0"/>
                    <w:rPr>
                      <w:rFonts w:hint="default"/>
                      <w:color w:val="auto"/>
                      <w:highlight w:val="none"/>
                    </w:rPr>
                  </w:pPr>
                  <w:r>
                    <w:rPr>
                      <w:rFonts w:hint="eastAsia"/>
                      <w:color w:val="auto"/>
                      <w:highlight w:val="none"/>
                      <w:lang w:val="en-US" w:eastAsia="zh-CN"/>
                    </w:rPr>
                    <w:t>4#（北厂界）</w:t>
                  </w:r>
                </w:p>
              </w:tc>
              <w:tc>
                <w:tcPr>
                  <w:tcW w:w="729" w:type="dxa"/>
                  <w:vMerge w:val="restart"/>
                  <w:tcBorders>
                    <w:tl2br w:val="nil"/>
                    <w:tr2bl w:val="nil"/>
                  </w:tcBorders>
                  <w:vAlign w:val="center"/>
                </w:tcPr>
                <w:p>
                  <w:pPr>
                    <w:pStyle w:val="38"/>
                    <w:bidi w:val="0"/>
                    <w:rPr>
                      <w:rFonts w:hint="default"/>
                      <w:color w:val="auto"/>
                      <w:highlight w:val="none"/>
                      <w:lang w:val="en-US" w:eastAsia="zh-CN"/>
                    </w:rPr>
                  </w:pPr>
                  <w:r>
                    <w:rPr>
                      <w:rFonts w:hint="eastAsia"/>
                      <w:color w:val="auto"/>
                      <w:highlight w:val="none"/>
                      <w:lang w:val="en-US" w:eastAsia="zh-CN"/>
                    </w:rPr>
                    <w:t>292</w:t>
                  </w:r>
                </w:p>
              </w:tc>
              <w:tc>
                <w:tcPr>
                  <w:tcW w:w="782" w:type="dxa"/>
                  <w:vMerge w:val="restart"/>
                  <w:tcBorders>
                    <w:tl2br w:val="nil"/>
                    <w:tr2bl w:val="nil"/>
                  </w:tcBorders>
                  <w:vAlign w:val="center"/>
                </w:tcPr>
                <w:p>
                  <w:pPr>
                    <w:pStyle w:val="38"/>
                    <w:bidi w:val="0"/>
                    <w:rPr>
                      <w:rFonts w:hint="default"/>
                      <w:color w:val="auto"/>
                      <w:highlight w:val="none"/>
                      <w:lang w:val="en-US" w:eastAsia="zh-CN"/>
                    </w:rPr>
                  </w:pPr>
                  <w:r>
                    <w:rPr>
                      <w:rFonts w:hint="eastAsia"/>
                      <w:color w:val="auto"/>
                      <w:highlight w:val="none"/>
                      <w:lang w:val="en-US" w:eastAsia="zh-CN"/>
                    </w:rPr>
                    <w:t>361</w:t>
                  </w:r>
                </w:p>
              </w:tc>
              <w:tc>
                <w:tcPr>
                  <w:tcW w:w="848" w:type="dxa"/>
                  <w:tcBorders>
                    <w:tl2br w:val="nil"/>
                    <w:tr2bl w:val="nil"/>
                  </w:tcBorders>
                  <w:vAlign w:val="center"/>
                </w:tcPr>
                <w:p>
                  <w:pPr>
                    <w:pStyle w:val="38"/>
                    <w:bidi w:val="0"/>
                    <w:ind w:firstLine="0" w:firstLineChars="0"/>
                    <w:rPr>
                      <w:rFonts w:hint="default"/>
                      <w:color w:val="auto"/>
                      <w:highlight w:val="none"/>
                    </w:rPr>
                  </w:pPr>
                  <w:r>
                    <w:rPr>
                      <w:rFonts w:hint="eastAsia"/>
                      <w:color w:val="auto"/>
                      <w:highlight w:val="none"/>
                      <w:lang w:val="en-US" w:eastAsia="zh-CN"/>
                    </w:rPr>
                    <w:t>昼间</w:t>
                  </w:r>
                </w:p>
              </w:tc>
              <w:tc>
                <w:tcPr>
                  <w:tcW w:w="932" w:type="dxa"/>
                  <w:tcBorders>
                    <w:tl2br w:val="nil"/>
                    <w:tr2bl w:val="nil"/>
                  </w:tcBorders>
                  <w:shd w:val="clear" w:color="auto" w:fill="auto"/>
                  <w:vAlign w:val="center"/>
                </w:tcPr>
                <w:p>
                  <w:pPr>
                    <w:pStyle w:val="37"/>
                    <w:bidi w:val="0"/>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37.64</w:t>
                  </w:r>
                </w:p>
              </w:tc>
              <w:tc>
                <w:tcPr>
                  <w:tcW w:w="836" w:type="dxa"/>
                  <w:tcBorders>
                    <w:tl2br w:val="nil"/>
                    <w:tr2bl w:val="nil"/>
                  </w:tcBorders>
                  <w:vAlign w:val="center"/>
                </w:tcPr>
                <w:p>
                  <w:pPr>
                    <w:pStyle w:val="37"/>
                    <w:bidi w:val="0"/>
                    <w:ind w:firstLine="0" w:firstLineChars="0"/>
                    <w:jc w:val="center"/>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55</w:t>
                  </w:r>
                </w:p>
              </w:tc>
              <w:tc>
                <w:tcPr>
                  <w:tcW w:w="868" w:type="dxa"/>
                  <w:tcBorders>
                    <w:tl2br w:val="nil"/>
                    <w:tr2bl w:val="nil"/>
                  </w:tcBorders>
                  <w:vAlign w:val="center"/>
                </w:tcPr>
                <w:p>
                  <w:pPr>
                    <w:pStyle w:val="37"/>
                    <w:bidi w:val="0"/>
                    <w:ind w:firstLine="0" w:firstLineChars="0"/>
                    <w:jc w:val="center"/>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55.08</w:t>
                  </w:r>
                </w:p>
              </w:tc>
              <w:tc>
                <w:tcPr>
                  <w:tcW w:w="937" w:type="dxa"/>
                  <w:tcBorders>
                    <w:tl2br w:val="nil"/>
                    <w:tr2bl w:val="nil"/>
                  </w:tcBorders>
                  <w:vAlign w:val="center"/>
                </w:tcPr>
                <w:p>
                  <w:pPr>
                    <w:pStyle w:val="38"/>
                    <w:bidi w:val="0"/>
                    <w:rPr>
                      <w:rFonts w:hint="default"/>
                      <w:color w:val="auto"/>
                      <w:highlight w:val="none"/>
                      <w:lang w:val="en-US" w:eastAsia="zh-CN"/>
                    </w:rPr>
                  </w:pPr>
                  <w:r>
                    <w:rPr>
                      <w:rFonts w:hint="eastAsia"/>
                      <w:color w:val="auto"/>
                      <w:highlight w:val="none"/>
                      <w:lang w:val="en-US" w:eastAsia="zh-CN"/>
                    </w:rPr>
                    <w:t>65</w:t>
                  </w:r>
                </w:p>
              </w:tc>
              <w:tc>
                <w:tcPr>
                  <w:tcW w:w="614" w:type="dxa"/>
                  <w:tcBorders>
                    <w:tl2br w:val="nil"/>
                    <w:tr2bl w:val="nil"/>
                  </w:tcBorders>
                  <w:vAlign w:val="center"/>
                </w:tcPr>
                <w:p>
                  <w:pPr>
                    <w:pStyle w:val="38"/>
                    <w:bidi w:val="0"/>
                    <w:rPr>
                      <w:rFonts w:hint="default"/>
                      <w:color w:val="auto"/>
                      <w:highlight w:val="none"/>
                    </w:rPr>
                  </w:pPr>
                  <w:r>
                    <w:rPr>
                      <w:rFonts w:hint="eastAsia"/>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157" w:type="dxa"/>
                  <w:vMerge w:val="continue"/>
                  <w:tcBorders>
                    <w:tl2br w:val="nil"/>
                    <w:tr2bl w:val="nil"/>
                  </w:tcBorders>
                  <w:vAlign w:val="center"/>
                </w:tcPr>
                <w:p>
                  <w:pPr>
                    <w:pStyle w:val="38"/>
                    <w:bidi w:val="0"/>
                    <w:rPr>
                      <w:rFonts w:hint="eastAsia"/>
                      <w:color w:val="auto"/>
                      <w:highlight w:val="none"/>
                      <w:lang w:val="en-US" w:eastAsia="zh-CN"/>
                    </w:rPr>
                  </w:pPr>
                </w:p>
              </w:tc>
              <w:tc>
                <w:tcPr>
                  <w:tcW w:w="729" w:type="dxa"/>
                  <w:vMerge w:val="continue"/>
                  <w:tcBorders>
                    <w:tl2br w:val="nil"/>
                    <w:tr2bl w:val="nil"/>
                  </w:tcBorders>
                  <w:vAlign w:val="center"/>
                </w:tcPr>
                <w:p>
                  <w:pPr>
                    <w:pStyle w:val="38"/>
                    <w:bidi w:val="0"/>
                    <w:rPr>
                      <w:rFonts w:hint="eastAsia"/>
                      <w:color w:val="auto"/>
                      <w:highlight w:val="none"/>
                      <w:lang w:val="en-US" w:eastAsia="zh-CN"/>
                    </w:rPr>
                  </w:pPr>
                </w:p>
              </w:tc>
              <w:tc>
                <w:tcPr>
                  <w:tcW w:w="782" w:type="dxa"/>
                  <w:vMerge w:val="continue"/>
                  <w:tcBorders>
                    <w:tl2br w:val="nil"/>
                    <w:tr2bl w:val="nil"/>
                  </w:tcBorders>
                  <w:vAlign w:val="center"/>
                </w:tcPr>
                <w:p>
                  <w:pPr>
                    <w:pStyle w:val="38"/>
                    <w:bidi w:val="0"/>
                    <w:rPr>
                      <w:rFonts w:hint="eastAsia"/>
                      <w:color w:val="auto"/>
                      <w:highlight w:val="none"/>
                      <w:lang w:val="en-US" w:eastAsia="zh-CN"/>
                    </w:rPr>
                  </w:pPr>
                </w:p>
              </w:tc>
              <w:tc>
                <w:tcPr>
                  <w:tcW w:w="848" w:type="dxa"/>
                  <w:tcBorders>
                    <w:tl2br w:val="nil"/>
                    <w:tr2bl w:val="nil"/>
                  </w:tcBorders>
                  <w:vAlign w:val="center"/>
                </w:tcPr>
                <w:p>
                  <w:pPr>
                    <w:pStyle w:val="38"/>
                    <w:bidi w:val="0"/>
                    <w:ind w:firstLine="0" w:firstLineChars="0"/>
                    <w:rPr>
                      <w:rFonts w:hint="eastAsia"/>
                      <w:color w:val="auto"/>
                      <w:highlight w:val="none"/>
                      <w:lang w:val="en-US" w:eastAsia="zh-CN"/>
                    </w:rPr>
                  </w:pPr>
                  <w:r>
                    <w:rPr>
                      <w:rFonts w:hint="eastAsia"/>
                      <w:color w:val="auto"/>
                      <w:highlight w:val="none"/>
                      <w:lang w:val="en-US" w:eastAsia="zh-CN"/>
                    </w:rPr>
                    <w:t>夜间</w:t>
                  </w:r>
                </w:p>
              </w:tc>
              <w:tc>
                <w:tcPr>
                  <w:tcW w:w="932" w:type="dxa"/>
                  <w:tcBorders>
                    <w:tl2br w:val="nil"/>
                    <w:tr2bl w:val="nil"/>
                  </w:tcBorders>
                  <w:shd w:val="clear" w:color="auto" w:fill="auto"/>
                  <w:vAlign w:val="center"/>
                </w:tcPr>
                <w:p>
                  <w:pPr>
                    <w:pStyle w:val="38"/>
                    <w:bidi w:val="0"/>
                    <w:rPr>
                      <w:rFonts w:hint="eastAsia"/>
                      <w:color w:val="auto"/>
                      <w:highlight w:val="none"/>
                      <w:lang w:val="en-US" w:eastAsia="zh-CN"/>
                    </w:rPr>
                  </w:pPr>
                  <w:r>
                    <w:rPr>
                      <w:rFonts w:hint="eastAsia"/>
                      <w:color w:val="auto"/>
                      <w:highlight w:val="none"/>
                      <w:lang w:val="en-US" w:eastAsia="zh-CN"/>
                    </w:rPr>
                    <w:t>37.64</w:t>
                  </w:r>
                </w:p>
              </w:tc>
              <w:tc>
                <w:tcPr>
                  <w:tcW w:w="836" w:type="dxa"/>
                  <w:tcBorders>
                    <w:tl2br w:val="nil"/>
                    <w:tr2bl w:val="nil"/>
                  </w:tcBorders>
                  <w:vAlign w:val="center"/>
                </w:tcPr>
                <w:p>
                  <w:pPr>
                    <w:pStyle w:val="38"/>
                    <w:bidi w:val="0"/>
                    <w:rPr>
                      <w:rFonts w:hint="default"/>
                      <w:color w:val="auto"/>
                      <w:highlight w:val="none"/>
                      <w:lang w:val="en-US" w:eastAsia="zh-CN"/>
                    </w:rPr>
                  </w:pPr>
                  <w:r>
                    <w:rPr>
                      <w:rFonts w:hint="eastAsia"/>
                      <w:color w:val="auto"/>
                      <w:highlight w:val="none"/>
                      <w:lang w:val="en-US" w:eastAsia="zh-CN"/>
                    </w:rPr>
                    <w:t>49</w:t>
                  </w:r>
                </w:p>
              </w:tc>
              <w:tc>
                <w:tcPr>
                  <w:tcW w:w="868" w:type="dxa"/>
                  <w:tcBorders>
                    <w:tl2br w:val="nil"/>
                    <w:tr2bl w:val="nil"/>
                  </w:tcBorders>
                  <w:vAlign w:val="center"/>
                </w:tcPr>
                <w:p>
                  <w:pPr>
                    <w:pStyle w:val="38"/>
                    <w:bidi w:val="0"/>
                    <w:rPr>
                      <w:rFonts w:hint="default"/>
                      <w:color w:val="auto"/>
                      <w:highlight w:val="none"/>
                      <w:lang w:val="en-US" w:eastAsia="zh-CN"/>
                    </w:rPr>
                  </w:pPr>
                  <w:r>
                    <w:rPr>
                      <w:rFonts w:hint="eastAsia"/>
                      <w:color w:val="auto"/>
                      <w:highlight w:val="none"/>
                      <w:lang w:val="en-US" w:eastAsia="zh-CN"/>
                    </w:rPr>
                    <w:t>49.31</w:t>
                  </w:r>
                </w:p>
              </w:tc>
              <w:tc>
                <w:tcPr>
                  <w:tcW w:w="937" w:type="dxa"/>
                  <w:tcBorders>
                    <w:tl2br w:val="nil"/>
                    <w:tr2bl w:val="nil"/>
                  </w:tcBorders>
                  <w:shd w:val="clear" w:color="auto" w:fill="auto"/>
                  <w:vAlign w:val="center"/>
                </w:tcPr>
                <w:p>
                  <w:pPr>
                    <w:pStyle w:val="38"/>
                    <w:bidi w:val="0"/>
                    <w:ind w:firstLine="0" w:firstLineChars="0"/>
                    <w:rPr>
                      <w:rFonts w:hint="eastAsia" w:ascii="Times New Roman" w:hAnsi="Times New Roman" w:eastAsia="宋体" w:cstheme="minorBidi"/>
                      <w:color w:val="auto"/>
                      <w:kern w:val="0"/>
                      <w:sz w:val="18"/>
                      <w:szCs w:val="18"/>
                      <w:highlight w:val="none"/>
                      <w:lang w:val="en-US" w:eastAsia="zh-CN" w:bidi="ar-SA"/>
                    </w:rPr>
                  </w:pPr>
                  <w:r>
                    <w:rPr>
                      <w:rFonts w:hint="eastAsia"/>
                      <w:color w:val="auto"/>
                      <w:highlight w:val="none"/>
                      <w:lang w:val="en-US" w:eastAsia="zh-CN"/>
                    </w:rPr>
                    <w:t>55</w:t>
                  </w:r>
                </w:p>
              </w:tc>
              <w:tc>
                <w:tcPr>
                  <w:tcW w:w="614" w:type="dxa"/>
                  <w:tcBorders>
                    <w:tl2br w:val="nil"/>
                    <w:tr2bl w:val="nil"/>
                  </w:tcBorders>
                  <w:vAlign w:val="center"/>
                </w:tcPr>
                <w:p>
                  <w:pPr>
                    <w:pStyle w:val="38"/>
                    <w:bidi w:val="0"/>
                    <w:ind w:firstLine="0" w:firstLineChars="0"/>
                    <w:rPr>
                      <w:rFonts w:hint="eastAsia"/>
                      <w:color w:val="auto"/>
                      <w:highlight w:val="none"/>
                      <w:lang w:val="en-US" w:eastAsia="zh-CN"/>
                    </w:rPr>
                  </w:pPr>
                  <w:r>
                    <w:rPr>
                      <w:rFonts w:hint="eastAsia"/>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03" w:type="dxa"/>
                  <w:gridSpan w:val="9"/>
                  <w:tcBorders>
                    <w:tl2br w:val="nil"/>
                    <w:tr2bl w:val="nil"/>
                  </w:tcBorders>
                  <w:vAlign w:val="center"/>
                </w:tcPr>
                <w:p>
                  <w:pPr>
                    <w:pStyle w:val="34"/>
                    <w:bidi w:val="0"/>
                    <w:jc w:val="left"/>
                    <w:rPr>
                      <w:rFonts w:hint="eastAsia"/>
                      <w:color w:val="auto"/>
                      <w:highlight w:val="none"/>
                      <w:lang w:val="en-US" w:eastAsia="zh-CN"/>
                    </w:rPr>
                  </w:pPr>
                  <w:r>
                    <w:rPr>
                      <w:rFonts w:hint="eastAsia"/>
                      <w:color w:val="auto"/>
                      <w:highlight w:val="none"/>
                      <w:lang w:val="en-US" w:eastAsia="zh-CN"/>
                    </w:rPr>
                    <w:t>注：（1）以上厂界为易门铜业有限公司总厂界。</w:t>
                  </w:r>
                </w:p>
                <w:p>
                  <w:pPr>
                    <w:pStyle w:val="34"/>
                    <w:bidi w:val="0"/>
                    <w:ind w:firstLine="360" w:firstLineChars="200"/>
                    <w:jc w:val="left"/>
                    <w:rPr>
                      <w:rFonts w:hint="default"/>
                      <w:color w:val="auto"/>
                      <w:highlight w:val="none"/>
                      <w:lang w:val="en-US" w:eastAsia="zh-CN"/>
                    </w:rPr>
                  </w:pPr>
                  <w:r>
                    <w:rPr>
                      <w:rFonts w:hint="eastAsia"/>
                      <w:color w:val="auto"/>
                      <w:highlight w:val="none"/>
                      <w:lang w:val="en-US" w:eastAsia="zh-CN"/>
                    </w:rPr>
                    <w:t>（2）噪声背景值数据选取易门铜业有限公司2025年第四季度及2026年第一季度自行监测报告中的最大值。</w:t>
                  </w:r>
                </w:p>
              </w:tc>
            </w:tr>
          </w:tbl>
          <w:p>
            <w:pPr>
              <w:bidi w:val="0"/>
              <w:rPr>
                <w:rFonts w:hint="default"/>
                <w:color w:val="auto"/>
                <w:highlight w:val="none"/>
                <w:lang w:val="en-US" w:eastAsia="zh-CN"/>
              </w:rPr>
            </w:pPr>
            <w:r>
              <w:rPr>
                <w:rFonts w:hint="eastAsia"/>
                <w:color w:val="auto"/>
                <w:highlight w:val="none"/>
                <w:lang w:val="en-US" w:eastAsia="zh-CN"/>
              </w:rPr>
              <w:t>项目等声值线图如下：</w:t>
            </w:r>
          </w:p>
          <w:p>
            <w:pPr>
              <w:bidi w:val="0"/>
              <w:ind w:left="0" w:leftChars="0" w:firstLine="0" w:firstLineChars="0"/>
              <w:jc w:val="center"/>
              <w:rPr>
                <w:rFonts w:hint="eastAsia"/>
                <w:color w:val="auto"/>
                <w:highlight w:val="none"/>
                <w:lang w:val="en-US" w:eastAsia="zh-CN"/>
              </w:rPr>
            </w:pPr>
            <w:r>
              <w:rPr>
                <w:rFonts w:hint="eastAsia"/>
                <w:color w:val="auto"/>
                <w:highlight w:val="none"/>
                <w:lang w:val="en-US" w:eastAsia="zh-CN"/>
              </w:rPr>
              <w:drawing>
                <wp:inline distT="0" distB="0" distL="114300" distR="114300">
                  <wp:extent cx="4923790" cy="3575050"/>
                  <wp:effectExtent l="0" t="0" r="10160" b="6350"/>
                  <wp:docPr id="1" name="图片 1" descr="等声值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等声值线图"/>
                          <pic:cNvPicPr>
                            <a:picLocks noChangeAspect="1"/>
                          </pic:cNvPicPr>
                        </pic:nvPicPr>
                        <pic:blipFill>
                          <a:blip r:embed="rId22"/>
                          <a:stretch>
                            <a:fillRect/>
                          </a:stretch>
                        </pic:blipFill>
                        <pic:spPr>
                          <a:xfrm>
                            <a:off x="0" y="0"/>
                            <a:ext cx="4923790" cy="3575050"/>
                          </a:xfrm>
                          <a:prstGeom prst="rect">
                            <a:avLst/>
                          </a:prstGeom>
                        </pic:spPr>
                      </pic:pic>
                    </a:graphicData>
                  </a:graphic>
                </wp:inline>
              </w:drawing>
            </w:r>
          </w:p>
          <w:p>
            <w:pPr>
              <w:pStyle w:val="35"/>
              <w:bidi w:val="0"/>
              <w:rPr>
                <w:rFonts w:hint="default"/>
                <w:color w:val="auto"/>
                <w:highlight w:val="none"/>
                <w:lang w:val="en-US" w:eastAsia="zh-CN"/>
              </w:rPr>
            </w:pPr>
            <w:r>
              <w:rPr>
                <w:rFonts w:hint="eastAsia"/>
                <w:color w:val="auto"/>
                <w:highlight w:val="none"/>
                <w:lang w:val="en-US" w:eastAsia="zh-CN"/>
              </w:rPr>
              <w:t>图4-1  项目噪声预测等声值线图</w:t>
            </w:r>
          </w:p>
          <w:p>
            <w:pPr>
              <w:keepNext w:val="0"/>
              <w:keepLines w:val="0"/>
              <w:pageBreakBefore w:val="0"/>
              <w:widowControl w:val="0"/>
              <w:kinsoku/>
              <w:wordWrap/>
              <w:overflowPunct/>
              <w:topLinePunct w:val="0"/>
              <w:autoSpaceDE/>
              <w:autoSpaceDN/>
              <w:bidi w:val="0"/>
              <w:adjustRightInd/>
              <w:snapToGrid/>
              <w:spacing w:before="79" w:beforeLines="25"/>
              <w:textAlignment w:val="auto"/>
              <w:rPr>
                <w:rFonts w:hint="eastAsia" w:ascii="黑体" w:hAnsi="黑体" w:eastAsia="黑体" w:cs="黑体"/>
                <w:color w:val="auto"/>
                <w:highlight w:val="none"/>
              </w:rPr>
            </w:pPr>
            <w:r>
              <w:rPr>
                <w:rFonts w:hint="eastAsia" w:ascii="黑体" w:hAnsi="黑体" w:eastAsia="黑体" w:cs="黑体"/>
                <w:color w:val="auto"/>
                <w:highlight w:val="none"/>
                <w:lang w:val="en-US" w:eastAsia="zh-CN"/>
              </w:rPr>
              <w:t>3、</w:t>
            </w:r>
            <w:r>
              <w:rPr>
                <w:rFonts w:hint="eastAsia" w:ascii="黑体" w:hAnsi="黑体" w:eastAsia="黑体" w:cs="黑体"/>
                <w:color w:val="auto"/>
                <w:highlight w:val="none"/>
              </w:rPr>
              <w:t>预测评价</w:t>
            </w:r>
          </w:p>
          <w:p>
            <w:pPr>
              <w:bidi w:val="0"/>
              <w:rPr>
                <w:rFonts w:hint="default"/>
                <w:color w:val="auto"/>
                <w:highlight w:val="none"/>
                <w:lang w:val="en-US"/>
              </w:rPr>
            </w:pPr>
            <w:r>
              <w:rPr>
                <w:rFonts w:hint="default"/>
                <w:color w:val="auto"/>
                <w:highlight w:val="none"/>
                <w:lang w:val="en-US" w:eastAsia="zh-CN"/>
              </w:rPr>
              <w:t>根据上表预测结果，</w:t>
            </w:r>
            <w:r>
              <w:rPr>
                <w:rFonts w:hint="eastAsia"/>
                <w:color w:val="auto"/>
                <w:highlight w:val="none"/>
                <w:lang w:val="en-US" w:eastAsia="zh-CN"/>
              </w:rPr>
              <w:t>本项目改建完成后</w:t>
            </w:r>
            <w:r>
              <w:rPr>
                <w:rFonts w:hint="default"/>
                <w:color w:val="auto"/>
                <w:highlight w:val="none"/>
                <w:lang w:val="en-US" w:eastAsia="zh-CN"/>
              </w:rPr>
              <w:t>，</w:t>
            </w:r>
            <w:r>
              <w:rPr>
                <w:rFonts w:hint="eastAsia"/>
                <w:color w:val="auto"/>
                <w:highlight w:val="none"/>
                <w:lang w:val="en-US" w:eastAsia="zh-CN"/>
              </w:rPr>
              <w:t>易门铜业有限公司总厂界</w:t>
            </w:r>
            <w:r>
              <w:rPr>
                <w:rFonts w:hint="default"/>
                <w:color w:val="auto"/>
                <w:highlight w:val="none"/>
                <w:lang w:val="en-US" w:eastAsia="zh-CN"/>
              </w:rPr>
              <w:t>东、南、西、北</w:t>
            </w:r>
            <w:r>
              <w:rPr>
                <w:rFonts w:hint="eastAsia"/>
                <w:color w:val="auto"/>
                <w:highlight w:val="none"/>
                <w:lang w:val="en-US" w:eastAsia="zh-CN"/>
              </w:rPr>
              <w:t>侧预测点昼间、夜间</w:t>
            </w:r>
            <w:r>
              <w:rPr>
                <w:rFonts w:hint="default"/>
                <w:color w:val="auto"/>
                <w:highlight w:val="none"/>
                <w:lang w:val="en-US" w:eastAsia="zh-CN"/>
              </w:rPr>
              <w:t>噪声</w:t>
            </w:r>
            <w:r>
              <w:rPr>
                <w:rFonts w:hint="eastAsia"/>
                <w:color w:val="auto"/>
                <w:highlight w:val="none"/>
                <w:lang w:val="en-US" w:eastAsia="zh-CN"/>
              </w:rPr>
              <w:t>贡献值及叠加背景值后的噪声预测值</w:t>
            </w:r>
            <w:r>
              <w:rPr>
                <w:rFonts w:hint="default"/>
                <w:color w:val="auto"/>
                <w:highlight w:val="none"/>
                <w:lang w:val="en-US" w:eastAsia="zh-CN"/>
              </w:rPr>
              <w:t>均能满足《工业企业厂界环境噪声排放标准》（GB12348-2008）</w:t>
            </w:r>
            <w:r>
              <w:rPr>
                <w:rFonts w:hint="eastAsia"/>
                <w:color w:val="auto"/>
                <w:highlight w:val="none"/>
                <w:lang w:val="en-US" w:eastAsia="zh-CN"/>
              </w:rPr>
              <w:t>3</w:t>
            </w:r>
            <w:r>
              <w:rPr>
                <w:rFonts w:hint="default"/>
                <w:color w:val="auto"/>
                <w:highlight w:val="none"/>
                <w:lang w:val="en-US" w:eastAsia="zh-CN"/>
              </w:rPr>
              <w:t>类区标准限值</w:t>
            </w:r>
            <w:r>
              <w:rPr>
                <w:rFonts w:hint="eastAsia"/>
                <w:color w:val="auto"/>
                <w:highlight w:val="none"/>
                <w:lang w:val="en-US" w:eastAsia="zh-CN"/>
              </w:rPr>
              <w:t>要求，运营期厂界噪声可做到达标排放，对周围声环境影响较小。</w:t>
            </w:r>
          </w:p>
          <w:p>
            <w:pPr>
              <w:bidi w:val="0"/>
              <w:rPr>
                <w:rFonts w:hint="default"/>
                <w:b/>
                <w:bCs/>
                <w:color w:val="auto"/>
                <w:highlight w:val="none"/>
                <w:lang w:val="en-US" w:eastAsia="zh-CN"/>
              </w:rPr>
            </w:pPr>
            <w:r>
              <w:rPr>
                <w:rFonts w:hint="eastAsia" w:ascii="黑体" w:hAnsi="黑体" w:eastAsia="黑体" w:cs="黑体"/>
                <w:color w:val="auto"/>
                <w:highlight w:val="none"/>
                <w:lang w:val="en-US" w:eastAsia="zh-CN"/>
              </w:rPr>
              <w:t>4、对策措施</w:t>
            </w:r>
          </w:p>
          <w:p>
            <w:pPr>
              <w:bidi w:val="0"/>
              <w:rPr>
                <w:rFonts w:hint="default"/>
                <w:b/>
                <w:bCs/>
                <w:color w:val="auto"/>
                <w:highlight w:val="none"/>
                <w:lang w:val="en-US" w:eastAsia="zh-CN"/>
              </w:rPr>
            </w:pPr>
            <w:r>
              <w:rPr>
                <w:rFonts w:hint="eastAsia"/>
                <w:b/>
                <w:bCs/>
                <w:color w:val="auto"/>
                <w:highlight w:val="none"/>
                <w:lang w:val="en-US" w:eastAsia="zh-CN"/>
              </w:rPr>
              <w:t>（1）</w:t>
            </w:r>
            <w:r>
              <w:rPr>
                <w:rFonts w:hint="default"/>
                <w:b/>
                <w:bCs/>
                <w:color w:val="auto"/>
                <w:highlight w:val="none"/>
                <w:lang w:val="en-US" w:eastAsia="zh-CN"/>
              </w:rPr>
              <w:t>现有</w:t>
            </w:r>
            <w:r>
              <w:rPr>
                <w:rFonts w:hint="eastAsia"/>
                <w:b/>
                <w:bCs/>
                <w:color w:val="auto"/>
                <w:highlight w:val="none"/>
                <w:lang w:val="en-US" w:eastAsia="zh-CN"/>
              </w:rPr>
              <w:t>项目已采取的</w:t>
            </w:r>
            <w:r>
              <w:rPr>
                <w:rFonts w:hint="default"/>
                <w:b/>
                <w:bCs/>
                <w:color w:val="auto"/>
                <w:highlight w:val="none"/>
                <w:lang w:val="en-US" w:eastAsia="zh-CN"/>
              </w:rPr>
              <w:t>降噪措施</w:t>
            </w:r>
            <w:r>
              <w:rPr>
                <w:rFonts w:hint="eastAsia"/>
                <w:b/>
                <w:bCs/>
                <w:color w:val="auto"/>
                <w:highlight w:val="none"/>
                <w:lang w:val="en-US" w:eastAsia="zh-CN"/>
              </w:rPr>
              <w:t>如下</w:t>
            </w:r>
            <w:r>
              <w:rPr>
                <w:rFonts w:hint="default"/>
                <w:b/>
                <w:bCs/>
                <w:color w:val="auto"/>
                <w:highlight w:val="none"/>
                <w:lang w:val="en-US" w:eastAsia="zh-CN"/>
              </w:rPr>
              <w:t>：</w:t>
            </w:r>
          </w:p>
          <w:p>
            <w:pPr>
              <w:bidi w:val="0"/>
              <w:rPr>
                <w:rFonts w:hint="default"/>
                <w:color w:val="auto"/>
                <w:highlight w:val="none"/>
                <w:lang w:val="en-US" w:eastAsia="zh-CN"/>
              </w:rPr>
            </w:pPr>
            <w:r>
              <w:rPr>
                <w:rFonts w:hint="eastAsia"/>
                <w:color w:val="auto"/>
                <w:highlight w:val="none"/>
                <w:lang w:val="en-US" w:eastAsia="zh-CN"/>
              </w:rPr>
              <w:t>1）</w:t>
            </w:r>
            <w:r>
              <w:rPr>
                <w:rFonts w:hint="default"/>
                <w:color w:val="auto"/>
                <w:highlight w:val="none"/>
                <w:lang w:val="en-US" w:eastAsia="zh-CN"/>
              </w:rPr>
              <w:t>选用低噪声设备、基础</w:t>
            </w:r>
            <w:r>
              <w:rPr>
                <w:rFonts w:hint="eastAsia"/>
                <w:color w:val="auto"/>
                <w:highlight w:val="none"/>
                <w:lang w:val="en-US" w:eastAsia="zh-CN"/>
              </w:rPr>
              <w:t>减振</w:t>
            </w:r>
            <w:r>
              <w:rPr>
                <w:rFonts w:hint="default"/>
                <w:color w:val="auto"/>
                <w:highlight w:val="none"/>
                <w:lang w:val="en-US" w:eastAsia="zh-CN"/>
              </w:rPr>
              <w:t>；</w:t>
            </w:r>
          </w:p>
          <w:p>
            <w:pPr>
              <w:bidi w:val="0"/>
              <w:rPr>
                <w:rFonts w:hint="default"/>
                <w:color w:val="auto"/>
                <w:highlight w:val="none"/>
                <w:lang w:val="en-US" w:eastAsia="zh-CN"/>
              </w:rPr>
            </w:pPr>
            <w:r>
              <w:rPr>
                <w:rFonts w:hint="default"/>
                <w:color w:val="auto"/>
                <w:highlight w:val="none"/>
                <w:lang w:val="en-US" w:eastAsia="zh-CN"/>
              </w:rPr>
              <w:t>2）设置隔声门，加装隔声窗；</w:t>
            </w:r>
          </w:p>
          <w:p>
            <w:pPr>
              <w:bidi w:val="0"/>
              <w:rPr>
                <w:rFonts w:hint="default"/>
                <w:color w:val="auto"/>
                <w:highlight w:val="none"/>
                <w:lang w:val="en-US" w:eastAsia="zh-CN"/>
              </w:rPr>
            </w:pPr>
            <w:r>
              <w:rPr>
                <w:rFonts w:hint="default"/>
                <w:color w:val="auto"/>
                <w:highlight w:val="none"/>
                <w:lang w:val="en-US" w:eastAsia="zh-CN"/>
              </w:rPr>
              <w:t>3）安装进风消声器及排风消声器；</w:t>
            </w:r>
          </w:p>
          <w:p>
            <w:pPr>
              <w:bidi w:val="0"/>
              <w:rPr>
                <w:rFonts w:hint="default"/>
                <w:color w:val="auto"/>
                <w:highlight w:val="none"/>
                <w:lang w:val="en-US" w:eastAsia="zh-CN"/>
              </w:rPr>
            </w:pPr>
            <w:r>
              <w:rPr>
                <w:rFonts w:hint="default"/>
                <w:color w:val="auto"/>
                <w:highlight w:val="none"/>
                <w:lang w:val="en-US" w:eastAsia="zh-CN"/>
              </w:rPr>
              <w:t>4）设置隔声墙；</w:t>
            </w:r>
          </w:p>
          <w:p>
            <w:pPr>
              <w:bidi w:val="0"/>
              <w:rPr>
                <w:rFonts w:hint="default"/>
                <w:color w:val="auto"/>
                <w:highlight w:val="none"/>
                <w:lang w:val="en-US" w:eastAsia="zh-CN"/>
              </w:rPr>
            </w:pPr>
            <w:r>
              <w:rPr>
                <w:rFonts w:hint="default"/>
                <w:color w:val="auto"/>
                <w:highlight w:val="none"/>
                <w:lang w:val="en-US" w:eastAsia="zh-CN"/>
              </w:rPr>
              <w:t>5）设备排放口安装排气放空消声器；</w:t>
            </w:r>
          </w:p>
          <w:p>
            <w:pPr>
              <w:bidi w:val="0"/>
              <w:rPr>
                <w:rFonts w:hint="eastAsia"/>
                <w:color w:val="auto"/>
                <w:highlight w:val="none"/>
                <w:lang w:val="en-US" w:eastAsia="zh-CN"/>
              </w:rPr>
            </w:pPr>
            <w:r>
              <w:rPr>
                <w:rFonts w:hint="eastAsia"/>
                <w:b/>
                <w:bCs/>
                <w:color w:val="auto"/>
                <w:highlight w:val="none"/>
                <w:lang w:val="en-US" w:eastAsia="zh-CN"/>
              </w:rPr>
              <w:t>（2）</w:t>
            </w:r>
            <w:r>
              <w:rPr>
                <w:rFonts w:hint="default"/>
                <w:b/>
                <w:bCs/>
                <w:color w:val="auto"/>
                <w:highlight w:val="none"/>
                <w:lang w:val="en-US" w:eastAsia="zh-CN"/>
              </w:rPr>
              <w:t>本次改建</w:t>
            </w:r>
            <w:r>
              <w:rPr>
                <w:rFonts w:hint="eastAsia"/>
                <w:b/>
                <w:bCs/>
                <w:color w:val="auto"/>
                <w:highlight w:val="none"/>
                <w:lang w:val="en-US" w:eastAsia="zh-CN"/>
              </w:rPr>
              <w:t>项目</w:t>
            </w:r>
            <w:r>
              <w:rPr>
                <w:rFonts w:hint="default"/>
                <w:b/>
                <w:bCs/>
                <w:color w:val="auto"/>
                <w:highlight w:val="none"/>
                <w:lang w:val="en-US" w:eastAsia="zh-CN"/>
              </w:rPr>
              <w:t>拟新增</w:t>
            </w:r>
            <w:r>
              <w:rPr>
                <w:rFonts w:hint="eastAsia"/>
                <w:b/>
                <w:bCs/>
                <w:color w:val="auto"/>
                <w:highlight w:val="none"/>
                <w:lang w:val="en-US" w:eastAsia="zh-CN"/>
              </w:rPr>
              <w:t>的</w:t>
            </w:r>
            <w:r>
              <w:rPr>
                <w:rFonts w:hint="default"/>
                <w:b/>
                <w:bCs/>
                <w:color w:val="auto"/>
                <w:highlight w:val="none"/>
                <w:lang w:val="en-US" w:eastAsia="zh-CN"/>
              </w:rPr>
              <w:t>降噪措施</w:t>
            </w:r>
            <w:r>
              <w:rPr>
                <w:rFonts w:hint="eastAsia"/>
                <w:b/>
                <w:bCs/>
                <w:color w:val="auto"/>
                <w:highlight w:val="none"/>
                <w:lang w:val="en-US" w:eastAsia="zh-CN"/>
              </w:rPr>
              <w:t>如下：</w:t>
            </w:r>
          </w:p>
          <w:p>
            <w:pPr>
              <w:bidi w:val="0"/>
              <w:rPr>
                <w:rFonts w:hint="default"/>
                <w:color w:val="auto"/>
                <w:highlight w:val="none"/>
                <w:lang w:val="en-US" w:eastAsia="zh-CN"/>
              </w:rPr>
            </w:pPr>
            <w:r>
              <w:rPr>
                <w:rFonts w:hint="default"/>
                <w:color w:val="auto"/>
                <w:highlight w:val="none"/>
                <w:lang w:val="en-US" w:eastAsia="zh-CN"/>
              </w:rPr>
              <w:t>1）在声源处抑制噪声</w:t>
            </w:r>
          </w:p>
          <w:p>
            <w:pPr>
              <w:bidi w:val="0"/>
              <w:rPr>
                <w:rFonts w:hint="default"/>
                <w:color w:val="auto"/>
                <w:highlight w:val="none"/>
                <w:lang w:val="en-US" w:eastAsia="zh-CN"/>
              </w:rPr>
            </w:pPr>
            <w:r>
              <w:rPr>
                <w:rFonts w:hint="default"/>
                <w:color w:val="auto"/>
                <w:highlight w:val="none"/>
                <w:lang w:val="en-US" w:eastAsia="zh-CN"/>
              </w:rPr>
              <w:t>尽量选用高效低噪设备；对于超过单机噪声允许标准的设备安装减震基础，布置在房间之内，利用墙壁隔声，同时采用阻尼材料，对机壳、风管、机罩等金属结构涂敷一层阻尼材料，抑制振动；对于小型噪声设备在进气口或排气口上设置消声器进行治理。选用较高级数的消声塔，主管道设置隔声层。</w:t>
            </w:r>
          </w:p>
          <w:p>
            <w:pPr>
              <w:bidi w:val="0"/>
              <w:rPr>
                <w:rFonts w:hint="default"/>
                <w:color w:val="auto"/>
                <w:highlight w:val="none"/>
                <w:lang w:val="en-US" w:eastAsia="zh-CN"/>
              </w:rPr>
            </w:pPr>
            <w:r>
              <w:rPr>
                <w:rFonts w:hint="default"/>
                <w:color w:val="auto"/>
                <w:highlight w:val="none"/>
                <w:lang w:val="en-US" w:eastAsia="zh-CN"/>
              </w:rPr>
              <w:t>2）对声传播途径进行控制</w:t>
            </w:r>
          </w:p>
          <w:p>
            <w:pPr>
              <w:bidi w:val="0"/>
              <w:rPr>
                <w:rFonts w:hint="default"/>
                <w:color w:val="auto"/>
                <w:highlight w:val="none"/>
                <w:lang w:val="en-US" w:eastAsia="zh-CN"/>
              </w:rPr>
            </w:pPr>
            <w:r>
              <w:rPr>
                <w:rFonts w:hint="default"/>
                <w:color w:val="auto"/>
                <w:highlight w:val="none"/>
                <w:lang w:val="en-US" w:eastAsia="zh-CN"/>
              </w:rPr>
              <w:t>高噪声设备建在室内，加厚砖墙，安装隔声效果好的门窗，减少门窗的开启面积。对于强烈振动的设备、管道与基础、支架、建筑物及其他设备之间采用柔性连接或支撑等措施；新增消声器2台。</w:t>
            </w:r>
          </w:p>
          <w:p>
            <w:pPr>
              <w:bidi w:val="0"/>
              <w:rPr>
                <w:rFonts w:hint="default"/>
                <w:color w:val="auto"/>
                <w:highlight w:val="none"/>
                <w:lang w:val="en-US" w:eastAsia="zh-CN"/>
              </w:rPr>
            </w:pPr>
            <w:r>
              <w:rPr>
                <w:rFonts w:hint="default"/>
                <w:color w:val="auto"/>
                <w:highlight w:val="none"/>
                <w:lang w:val="en-US" w:eastAsia="zh-CN"/>
              </w:rPr>
              <w:t>为了进一步减少项目</w:t>
            </w:r>
            <w:r>
              <w:rPr>
                <w:rFonts w:hint="eastAsia"/>
                <w:color w:val="auto"/>
                <w:highlight w:val="none"/>
                <w:lang w:val="en-US" w:eastAsia="zh-CN"/>
              </w:rPr>
              <w:t>噪声</w:t>
            </w:r>
            <w:r>
              <w:rPr>
                <w:rFonts w:hint="default"/>
                <w:color w:val="auto"/>
                <w:highlight w:val="none"/>
                <w:lang w:val="en-US" w:eastAsia="zh-CN"/>
              </w:rPr>
              <w:t>对周边环境的影响，建议</w:t>
            </w:r>
            <w:r>
              <w:rPr>
                <w:rFonts w:hint="eastAsia"/>
                <w:color w:val="auto"/>
                <w:highlight w:val="none"/>
                <w:lang w:val="en-US" w:eastAsia="zh-CN"/>
              </w:rPr>
              <w:t>在运营期</w:t>
            </w:r>
            <w:r>
              <w:rPr>
                <w:rFonts w:hint="default"/>
                <w:color w:val="auto"/>
                <w:highlight w:val="none"/>
                <w:lang w:val="en-US" w:eastAsia="zh-CN"/>
              </w:rPr>
              <w:t xml:space="preserve">采取如下管理措施： </w:t>
            </w:r>
          </w:p>
          <w:p>
            <w:pPr>
              <w:bidi w:val="0"/>
              <w:rPr>
                <w:rFonts w:hint="default"/>
                <w:color w:val="auto"/>
                <w:highlight w:val="none"/>
                <w:lang w:val="en-US" w:eastAsia="zh-CN"/>
              </w:rPr>
            </w:pPr>
            <w:r>
              <w:rPr>
                <w:rFonts w:hint="eastAsia"/>
                <w:color w:val="auto"/>
                <w:highlight w:val="none"/>
                <w:lang w:val="en-US" w:eastAsia="zh-CN"/>
              </w:rPr>
              <w:t>（1）</w:t>
            </w:r>
            <w:r>
              <w:rPr>
                <w:rFonts w:hint="default"/>
                <w:color w:val="auto"/>
                <w:highlight w:val="none"/>
                <w:lang w:val="en-US" w:eastAsia="zh-CN"/>
              </w:rPr>
              <w:t xml:space="preserve">定期维护保养设备，使设备稳定、低噪声状态运行； </w:t>
            </w:r>
          </w:p>
          <w:p>
            <w:pPr>
              <w:bidi w:val="0"/>
              <w:rPr>
                <w:rFonts w:hint="default"/>
                <w:color w:val="auto"/>
                <w:highlight w:val="none"/>
                <w:lang w:val="en-US" w:eastAsia="zh-CN"/>
              </w:rPr>
            </w:pPr>
            <w:r>
              <w:rPr>
                <w:rFonts w:hint="eastAsia"/>
                <w:color w:val="auto"/>
                <w:highlight w:val="none"/>
                <w:lang w:val="en-US" w:eastAsia="zh-CN"/>
              </w:rPr>
              <w:t>（2）</w:t>
            </w:r>
            <w:r>
              <w:rPr>
                <w:rFonts w:hint="default"/>
                <w:color w:val="auto"/>
                <w:highlight w:val="none"/>
                <w:lang w:val="en-US" w:eastAsia="zh-CN"/>
              </w:rPr>
              <w:t>对于项目区域内的流动声源（进出车辆），应加强管理，设置限载限速、禁止鸣笛的标志标识。</w:t>
            </w:r>
          </w:p>
          <w:p>
            <w:pPr>
              <w:bidi w:val="0"/>
              <w:rPr>
                <w:rFonts w:hint="eastAsia"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5、噪声监测计划</w:t>
            </w:r>
          </w:p>
          <w:p>
            <w:pPr>
              <w:bidi w:val="0"/>
              <w:rPr>
                <w:rFonts w:hint="eastAsia"/>
                <w:color w:val="auto"/>
                <w:highlight w:val="none"/>
                <w:lang w:val="en-US" w:eastAsia="zh-CN"/>
              </w:rPr>
            </w:pPr>
            <w:r>
              <w:rPr>
                <w:rFonts w:hint="default"/>
                <w:color w:val="auto"/>
                <w:highlight w:val="none"/>
              </w:rPr>
              <w:t>本项目</w:t>
            </w:r>
            <w:r>
              <w:rPr>
                <w:rFonts w:hint="eastAsia"/>
                <w:color w:val="auto"/>
                <w:highlight w:val="none"/>
                <w:lang w:val="en-US" w:eastAsia="zh-CN"/>
              </w:rPr>
              <w:t>为改建项目，</w:t>
            </w:r>
            <w:r>
              <w:rPr>
                <w:rFonts w:hint="default"/>
                <w:color w:val="auto"/>
                <w:highlight w:val="none"/>
              </w:rPr>
              <w:t>位于</w:t>
            </w:r>
            <w:r>
              <w:rPr>
                <w:rFonts w:hint="eastAsia"/>
                <w:color w:val="auto"/>
                <w:highlight w:val="none"/>
                <w:lang w:val="en-US" w:eastAsia="zh-CN"/>
              </w:rPr>
              <w:t>易门铜业有限公司既有厂区内</w:t>
            </w:r>
            <w:r>
              <w:rPr>
                <w:rFonts w:hint="default"/>
                <w:color w:val="auto"/>
                <w:highlight w:val="none"/>
              </w:rPr>
              <w:t>，</w:t>
            </w:r>
            <w:r>
              <w:rPr>
                <w:rFonts w:hint="eastAsia"/>
                <w:color w:val="auto"/>
                <w:highlight w:val="none"/>
                <w:lang w:val="en-US" w:eastAsia="zh-CN"/>
              </w:rPr>
              <w:t>易门铜业有限公司已按照《</w:t>
            </w:r>
            <w:r>
              <w:rPr>
                <w:rFonts w:hint="eastAsia"/>
                <w:color w:val="auto"/>
                <w:highlight w:val="none"/>
                <w:lang w:val="en-US" w:eastAsia="zh-CN"/>
              </w:rPr>
              <w:fldChar w:fldCharType="begin"/>
            </w:r>
            <w:r>
              <w:rPr>
                <w:rFonts w:hint="eastAsia"/>
                <w:color w:val="auto"/>
                <w:highlight w:val="none"/>
                <w:lang w:val="en-US" w:eastAsia="zh-CN"/>
              </w:rPr>
              <w:instrText xml:space="preserve"> HYPERLINK "https://www.eiacloud.com/hpyzs/lawsRegulations/searchDetail?modelName=%E6%8E%92%E6%B1%A1%E5%90%8D%E5%BD%95&amp;id=e761714886c545a1a62dc02423b8273f" \t "https://www.eiacloud.com/hpyzs/category/_blank" </w:instrText>
            </w:r>
            <w:r>
              <w:rPr>
                <w:rFonts w:hint="eastAsia"/>
                <w:color w:val="auto"/>
                <w:highlight w:val="none"/>
                <w:lang w:val="en-US" w:eastAsia="zh-CN"/>
              </w:rPr>
              <w:fldChar w:fldCharType="separate"/>
            </w:r>
            <w:r>
              <w:rPr>
                <w:rFonts w:hint="eastAsia"/>
                <w:color w:val="auto"/>
                <w:highlight w:val="none"/>
                <w:lang w:val="en-US" w:eastAsia="zh-CN"/>
              </w:rPr>
              <w:t>排污单位自行监测技术指南 有色金属工业</w:t>
            </w:r>
            <w:r>
              <w:rPr>
                <w:rFonts w:hint="eastAsia"/>
                <w:color w:val="auto"/>
                <w:highlight w:val="none"/>
                <w:lang w:val="en-US" w:eastAsia="zh-CN"/>
              </w:rPr>
              <w:fldChar w:fldCharType="end"/>
            </w:r>
            <w:r>
              <w:rPr>
                <w:rFonts w:hint="eastAsia"/>
                <w:color w:val="auto"/>
                <w:highlight w:val="none"/>
                <w:lang w:val="en-US" w:eastAsia="zh-CN"/>
              </w:rPr>
              <w:t>》（HJ989-2018）要求进行了厂界噪声监测，本项目不再单独制定噪声监测计划，按照全厂现有噪声监测计划进行监测。易门铜业有限公司噪声监测计划及要求见下表：</w:t>
            </w:r>
          </w:p>
          <w:p>
            <w:pPr>
              <w:pStyle w:val="35"/>
              <w:bidi w:val="0"/>
              <w:rPr>
                <w:rFonts w:hint="default" w:ascii="Times New Roman" w:hAnsi="Times New Roman" w:eastAsia="黑体" w:cs="Times New Roman"/>
                <w:b w:val="0"/>
                <w:bCs w:val="0"/>
                <w:color w:val="auto"/>
                <w:spacing w:val="0"/>
                <w:szCs w:val="21"/>
                <w:highlight w:val="none"/>
                <w:lang w:val="en-US" w:eastAsia="zh-CN"/>
              </w:rPr>
            </w:pPr>
            <w:r>
              <w:rPr>
                <w:rFonts w:hint="default"/>
                <w:color w:val="auto"/>
                <w:highlight w:val="none"/>
                <w:lang w:val="en-US" w:eastAsia="zh-CN"/>
              </w:rPr>
              <w:t>表4-</w:t>
            </w:r>
            <w:r>
              <w:rPr>
                <w:rFonts w:hint="eastAsia"/>
                <w:color w:val="auto"/>
                <w:highlight w:val="none"/>
                <w:lang w:val="en-US" w:eastAsia="zh-CN"/>
              </w:rPr>
              <w:t>5</w:t>
            </w:r>
            <w:r>
              <w:rPr>
                <w:rFonts w:hint="default"/>
                <w:color w:val="auto"/>
                <w:highlight w:val="none"/>
                <w:lang w:val="en-US" w:eastAsia="zh-CN"/>
              </w:rPr>
              <w:t xml:space="preserve">  </w:t>
            </w:r>
            <w:r>
              <w:rPr>
                <w:rFonts w:hint="eastAsia"/>
                <w:color w:val="auto"/>
                <w:highlight w:val="none"/>
                <w:lang w:val="en-US" w:eastAsia="zh-CN"/>
              </w:rPr>
              <w:t>易门铜业有限公司</w:t>
            </w:r>
            <w:r>
              <w:rPr>
                <w:rFonts w:hint="default"/>
                <w:color w:val="auto"/>
                <w:highlight w:val="none"/>
                <w:lang w:val="en-US" w:eastAsia="zh-CN"/>
              </w:rPr>
              <w:t>噪声监测计划一览表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78"/>
              <w:gridCol w:w="1264"/>
              <w:gridCol w:w="1806"/>
              <w:gridCol w:w="32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9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kern w:val="2"/>
                      <w:sz w:val="18"/>
                      <w:szCs w:val="18"/>
                      <w:highlight w:val="none"/>
                      <w:vertAlign w:val="baseline"/>
                      <w:lang w:val="en-US" w:eastAsia="zh-CN" w:bidi="ar-SA"/>
                    </w:rPr>
                  </w:pPr>
                  <w:r>
                    <w:rPr>
                      <w:rFonts w:hint="default" w:ascii="Times New Roman" w:hAnsi="Times New Roman" w:cs="Times New Roman" w:eastAsiaTheme="minorEastAsia"/>
                      <w:color w:val="auto"/>
                      <w:spacing w:val="0"/>
                      <w:sz w:val="18"/>
                      <w:szCs w:val="18"/>
                      <w:highlight w:val="none"/>
                      <w:vertAlign w:val="baseline"/>
                      <w:lang w:val="en-US" w:eastAsia="zh-CN"/>
                    </w:rPr>
                    <w:t>监测点位</w:t>
                  </w:r>
                </w:p>
              </w:tc>
              <w:tc>
                <w:tcPr>
                  <w:tcW w:w="8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kern w:val="2"/>
                      <w:sz w:val="18"/>
                      <w:szCs w:val="18"/>
                      <w:highlight w:val="none"/>
                      <w:vertAlign w:val="baseline"/>
                      <w:lang w:val="en-US" w:eastAsia="zh-CN" w:bidi="ar-SA"/>
                    </w:rPr>
                  </w:pPr>
                  <w:r>
                    <w:rPr>
                      <w:rFonts w:hint="default" w:ascii="Times New Roman" w:hAnsi="Times New Roman" w:cs="Times New Roman" w:eastAsiaTheme="minorEastAsia"/>
                      <w:color w:val="auto"/>
                      <w:spacing w:val="0"/>
                      <w:sz w:val="18"/>
                      <w:szCs w:val="18"/>
                      <w:highlight w:val="none"/>
                      <w:vertAlign w:val="baseline"/>
                      <w:lang w:val="en-US" w:eastAsia="zh-CN"/>
                    </w:rPr>
                    <w:t>监测指标</w:t>
                  </w:r>
                </w:p>
              </w:tc>
              <w:tc>
                <w:tcPr>
                  <w:tcW w:w="11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kern w:val="2"/>
                      <w:sz w:val="18"/>
                      <w:szCs w:val="18"/>
                      <w:highlight w:val="none"/>
                      <w:vertAlign w:val="baseline"/>
                      <w:lang w:val="en-US" w:eastAsia="zh-CN" w:bidi="ar-SA"/>
                    </w:rPr>
                  </w:pPr>
                  <w:r>
                    <w:rPr>
                      <w:rFonts w:hint="default" w:ascii="Times New Roman" w:hAnsi="Times New Roman" w:cs="Times New Roman" w:eastAsiaTheme="minorEastAsia"/>
                      <w:color w:val="auto"/>
                      <w:spacing w:val="0"/>
                      <w:sz w:val="18"/>
                      <w:szCs w:val="18"/>
                      <w:highlight w:val="none"/>
                      <w:vertAlign w:val="baseline"/>
                      <w:lang w:val="en-US" w:eastAsia="zh-CN"/>
                    </w:rPr>
                    <w:t>监测</w:t>
                  </w:r>
                  <w:r>
                    <w:rPr>
                      <w:rFonts w:hint="eastAsia" w:cs="Times New Roman" w:eastAsiaTheme="minorEastAsia"/>
                      <w:color w:val="auto"/>
                      <w:spacing w:val="0"/>
                      <w:sz w:val="18"/>
                      <w:szCs w:val="18"/>
                      <w:highlight w:val="none"/>
                      <w:vertAlign w:val="baseline"/>
                      <w:lang w:val="en-US" w:eastAsia="zh-CN"/>
                    </w:rPr>
                    <w:t>方法及</w:t>
                  </w:r>
                  <w:r>
                    <w:rPr>
                      <w:rFonts w:hint="default" w:ascii="Times New Roman" w:hAnsi="Times New Roman" w:cs="Times New Roman" w:eastAsiaTheme="minorEastAsia"/>
                      <w:color w:val="auto"/>
                      <w:spacing w:val="0"/>
                      <w:sz w:val="18"/>
                      <w:szCs w:val="18"/>
                      <w:highlight w:val="none"/>
                      <w:vertAlign w:val="baseline"/>
                      <w:lang w:val="en-US" w:eastAsia="zh-CN"/>
                    </w:rPr>
                    <w:t>频次</w:t>
                  </w:r>
                </w:p>
              </w:tc>
              <w:tc>
                <w:tcPr>
                  <w:tcW w:w="20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kern w:val="2"/>
                      <w:sz w:val="18"/>
                      <w:szCs w:val="18"/>
                      <w:highlight w:val="none"/>
                      <w:vertAlign w:val="baseline"/>
                      <w:lang w:val="en-US" w:eastAsia="zh-CN" w:bidi="ar-SA"/>
                    </w:rPr>
                  </w:pPr>
                  <w:r>
                    <w:rPr>
                      <w:rFonts w:hint="default" w:ascii="Times New Roman" w:hAnsi="Times New Roman" w:cs="Times New Roman" w:eastAsiaTheme="minorEastAsia"/>
                      <w:color w:val="auto"/>
                      <w:spacing w:val="0"/>
                      <w:sz w:val="18"/>
                      <w:szCs w:val="18"/>
                      <w:highlight w:val="none"/>
                      <w:vertAlign w:val="baseline"/>
                      <w:lang w:val="en-US" w:eastAsia="zh-CN"/>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sz w:val="18"/>
                      <w:szCs w:val="18"/>
                      <w:highlight w:val="none"/>
                      <w:vertAlign w:val="baseline"/>
                      <w:lang w:val="en-US" w:eastAsia="zh-CN"/>
                    </w:rPr>
                  </w:pPr>
                  <w:r>
                    <w:rPr>
                      <w:rFonts w:hint="default" w:ascii="Times New Roman" w:hAnsi="Times New Roman" w:cs="Times New Roman" w:eastAsiaTheme="minorEastAsia"/>
                      <w:color w:val="auto"/>
                      <w:spacing w:val="0"/>
                      <w:sz w:val="18"/>
                      <w:szCs w:val="18"/>
                      <w:highlight w:val="none"/>
                      <w:vertAlign w:val="baseline"/>
                      <w:lang w:val="en-US" w:eastAsia="zh-CN"/>
                    </w:rPr>
                    <w:t>易门铜业有限公司厂界四周</w:t>
                  </w:r>
                  <w:r>
                    <w:rPr>
                      <w:rFonts w:hint="eastAsia" w:cs="Times New Roman" w:eastAsiaTheme="minorEastAsia"/>
                      <w:color w:val="auto"/>
                      <w:spacing w:val="0"/>
                      <w:sz w:val="18"/>
                      <w:szCs w:val="18"/>
                      <w:highlight w:val="none"/>
                      <w:vertAlign w:val="baseline"/>
                      <w:lang w:val="en-US" w:eastAsia="zh-CN"/>
                    </w:rPr>
                    <w:t>（东、南、西、北侧）</w:t>
                  </w:r>
                  <w:r>
                    <w:rPr>
                      <w:rFonts w:hint="default" w:ascii="Times New Roman" w:hAnsi="Times New Roman" w:cs="Times New Roman" w:eastAsiaTheme="minorEastAsia"/>
                      <w:color w:val="auto"/>
                      <w:spacing w:val="0"/>
                      <w:sz w:val="18"/>
                      <w:szCs w:val="18"/>
                      <w:highlight w:val="none"/>
                      <w:vertAlign w:val="baseline"/>
                      <w:lang w:val="en-US" w:eastAsia="zh-CN"/>
                    </w:rPr>
                    <w:t>外1m，高度1m</w:t>
                  </w:r>
                </w:p>
              </w:tc>
              <w:tc>
                <w:tcPr>
                  <w:tcW w:w="8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sz w:val="18"/>
                      <w:szCs w:val="18"/>
                      <w:highlight w:val="none"/>
                      <w:vertAlign w:val="baseline"/>
                      <w:lang w:val="en-US" w:eastAsia="zh-CN"/>
                    </w:rPr>
                  </w:pPr>
                  <w:r>
                    <w:rPr>
                      <w:rFonts w:hint="default" w:ascii="Times New Roman" w:hAnsi="Times New Roman" w:cs="Times New Roman" w:eastAsiaTheme="minorEastAsia"/>
                      <w:color w:val="auto"/>
                      <w:spacing w:val="0"/>
                      <w:sz w:val="18"/>
                      <w:szCs w:val="18"/>
                      <w:highlight w:val="none"/>
                      <w:vertAlign w:val="baseline"/>
                      <w:lang w:val="en-US" w:eastAsia="zh-CN"/>
                    </w:rPr>
                    <w:t>等效连续A声级</w:t>
                  </w:r>
                </w:p>
              </w:tc>
              <w:tc>
                <w:tcPr>
                  <w:tcW w:w="11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sz w:val="18"/>
                      <w:szCs w:val="18"/>
                      <w:highlight w:val="none"/>
                      <w:vertAlign w:val="baseline"/>
                      <w:lang w:val="en-US" w:eastAsia="zh-CN"/>
                    </w:rPr>
                  </w:pPr>
                  <w:r>
                    <w:rPr>
                      <w:rFonts w:hint="default" w:ascii="Times New Roman" w:hAnsi="Times New Roman" w:cs="Times New Roman" w:eastAsiaTheme="minorEastAsia"/>
                      <w:color w:val="auto"/>
                      <w:spacing w:val="0"/>
                      <w:sz w:val="18"/>
                      <w:szCs w:val="18"/>
                      <w:highlight w:val="none"/>
                      <w:vertAlign w:val="baseline"/>
                      <w:lang w:val="en-US" w:eastAsia="zh-CN"/>
                    </w:rPr>
                    <w:t>1次/季度</w:t>
                  </w:r>
                  <w:r>
                    <w:rPr>
                      <w:rFonts w:hint="eastAsia" w:cs="Times New Roman" w:eastAsiaTheme="minorEastAsia"/>
                      <w:color w:val="auto"/>
                      <w:spacing w:val="0"/>
                      <w:sz w:val="18"/>
                      <w:szCs w:val="18"/>
                      <w:highlight w:val="none"/>
                      <w:vertAlign w:val="baseline"/>
                      <w:lang w:val="en-US" w:eastAsia="zh-CN"/>
                    </w:rPr>
                    <w:t>，按照国家相关噪声监测技术方法进行监测</w:t>
                  </w:r>
                </w:p>
              </w:tc>
              <w:tc>
                <w:tcPr>
                  <w:tcW w:w="20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sz w:val="18"/>
                      <w:szCs w:val="18"/>
                      <w:highlight w:val="none"/>
                      <w:vertAlign w:val="baseline"/>
                      <w:lang w:val="en-US" w:eastAsia="zh-CN"/>
                    </w:rPr>
                  </w:pPr>
                  <w:r>
                    <w:rPr>
                      <w:rFonts w:hint="default" w:ascii="Times New Roman" w:hAnsi="Times New Roman" w:cs="Times New Roman" w:eastAsiaTheme="minorEastAsia"/>
                      <w:color w:val="auto"/>
                      <w:spacing w:val="0"/>
                      <w:sz w:val="18"/>
                      <w:szCs w:val="18"/>
                      <w:highlight w:val="none"/>
                      <w:vertAlign w:val="baseline"/>
                      <w:lang w:val="en-US" w:eastAsia="zh-CN"/>
                    </w:rPr>
                    <w:t>《工业企业厂界环境噪声排放标准》（GB12348-2008）</w:t>
                  </w:r>
                  <w:r>
                    <w:rPr>
                      <w:rFonts w:hint="eastAsia" w:cs="Times New Roman" w:eastAsiaTheme="minorEastAsia"/>
                      <w:color w:val="auto"/>
                      <w:spacing w:val="0"/>
                      <w:sz w:val="18"/>
                      <w:szCs w:val="18"/>
                      <w:highlight w:val="none"/>
                      <w:vertAlign w:val="baseline"/>
                      <w:lang w:val="en-US" w:eastAsia="zh-CN"/>
                    </w:rPr>
                    <w:t>3</w:t>
                  </w:r>
                  <w:r>
                    <w:rPr>
                      <w:rFonts w:hint="default" w:ascii="Times New Roman" w:hAnsi="Times New Roman" w:cs="Times New Roman" w:eastAsiaTheme="minorEastAsia"/>
                      <w:color w:val="auto"/>
                      <w:spacing w:val="0"/>
                      <w:sz w:val="18"/>
                      <w:szCs w:val="18"/>
                      <w:highlight w:val="none"/>
                      <w:vertAlign w:val="baseline"/>
                      <w:lang w:val="en-US" w:eastAsia="zh-CN"/>
                    </w:rPr>
                    <w:t>类</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auto"/>
                <w:highlight w:val="none"/>
                <w:lang w:val="en-US" w:eastAsia="zh-CN"/>
              </w:rPr>
            </w:pPr>
            <w:r>
              <w:rPr>
                <w:rFonts w:hint="eastAsia" w:ascii="黑体" w:hAnsi="黑体" w:eastAsia="黑体" w:cs="黑体"/>
                <w:color w:val="auto"/>
                <w:highlight w:val="none"/>
                <w:lang w:val="en-US" w:eastAsia="zh-CN"/>
              </w:rPr>
              <w:t>（四）固体废物</w:t>
            </w:r>
          </w:p>
          <w:p>
            <w:pPr>
              <w:bidi w:val="0"/>
              <w:rPr>
                <w:rFonts w:hint="default"/>
                <w:b/>
                <w:bCs/>
                <w:color w:val="auto"/>
                <w:highlight w:val="none"/>
                <w:lang w:val="en-US" w:eastAsia="zh-CN"/>
              </w:rPr>
            </w:pPr>
            <w:r>
              <w:rPr>
                <w:rFonts w:hint="eastAsia" w:ascii="黑体" w:hAnsi="黑体" w:eastAsia="黑体" w:cs="黑体"/>
                <w:color w:val="auto"/>
                <w:highlight w:val="none"/>
                <w:lang w:val="en-US" w:eastAsia="zh-CN"/>
              </w:rPr>
              <w:t>1、固废产生情况</w:t>
            </w:r>
          </w:p>
          <w:p>
            <w:pPr>
              <w:bidi w:val="0"/>
              <w:rPr>
                <w:rFonts w:hint="default" w:cs="Times New Roman"/>
                <w:color w:val="auto"/>
                <w:highlight w:val="none"/>
                <w:lang w:val="en-US" w:eastAsia="zh-CN"/>
              </w:rPr>
            </w:pPr>
            <w:r>
              <w:rPr>
                <w:rFonts w:hint="default"/>
                <w:color w:val="auto"/>
                <w:highlight w:val="none"/>
                <w:lang w:val="en-US" w:eastAsia="zh-CN"/>
              </w:rPr>
              <w:t>项目</w:t>
            </w:r>
            <w:r>
              <w:rPr>
                <w:rFonts w:hint="eastAsia"/>
                <w:color w:val="auto"/>
                <w:highlight w:val="none"/>
                <w:lang w:val="en-US" w:eastAsia="zh-CN"/>
              </w:rPr>
              <w:t>运营期</w:t>
            </w:r>
            <w:r>
              <w:rPr>
                <w:rFonts w:hint="default"/>
                <w:color w:val="auto"/>
                <w:highlight w:val="none"/>
                <w:lang w:val="en-US" w:eastAsia="zh-CN"/>
              </w:rPr>
              <w:t>产生的固体废弃物包括</w:t>
            </w:r>
            <w:r>
              <w:rPr>
                <w:rFonts w:hint="eastAsia"/>
                <w:color w:val="auto"/>
                <w:highlight w:val="none"/>
                <w:lang w:val="en-US" w:eastAsia="zh-CN"/>
              </w:rPr>
              <w:t>一般固废和危险废物。其中一般固废包括：生活垃圾（SW61.900-002-S61、SW64.900-099-S64）、废分子筛（SW59.900-005-S59）、废氧化铝（SW59.900-008-S59）、废滤芯（SW59.900-009-S59）；危险废物包括：废润滑油（HW08.900-214-08）、废油桶（HW08.900-249-08）。</w:t>
            </w:r>
          </w:p>
          <w:p>
            <w:pPr>
              <w:bidi w:val="0"/>
              <w:rPr>
                <w:rFonts w:hint="default"/>
                <w:color w:val="auto"/>
                <w:highlight w:val="none"/>
                <w:lang w:val="en-US" w:eastAsia="zh-CN"/>
              </w:rPr>
            </w:pPr>
            <w:r>
              <w:rPr>
                <w:rFonts w:hint="eastAsia"/>
                <w:color w:val="auto"/>
                <w:highlight w:val="none"/>
                <w:lang w:val="en-US" w:eastAsia="zh-CN"/>
              </w:rPr>
              <w:t>（1）生活垃圾</w:t>
            </w:r>
          </w:p>
          <w:p>
            <w:pPr>
              <w:bidi w:val="0"/>
              <w:rPr>
                <w:rFonts w:hint="default"/>
                <w:color w:val="auto"/>
                <w:highlight w:val="none"/>
                <w:lang w:val="en-US" w:eastAsia="zh-CN"/>
              </w:rPr>
            </w:pPr>
            <w:r>
              <w:rPr>
                <w:rFonts w:hint="eastAsia"/>
                <w:color w:val="auto"/>
                <w:highlight w:val="none"/>
                <w:lang w:val="en-US" w:eastAsia="zh-CN"/>
              </w:rPr>
              <w:t>本项目现有劳动定员10人，本次改建后不新增人员，日常运行过程中生活垃圾产生量按照0.5kg·人/d计，则生活垃圾产生量为5kg/d、1.65t/a。产生的生活垃圾</w:t>
            </w:r>
            <w:r>
              <w:rPr>
                <w:rFonts w:hint="default"/>
                <w:color w:val="auto"/>
                <w:highlight w:val="none"/>
                <w:lang w:val="en-US" w:eastAsia="zh-CN"/>
              </w:rPr>
              <w:t>依托易门铜业有限公司设置的生活垃圾收集设施统一收集后定期外运至工业园区生活垃圾集中收集点，由环卫部门集中处理。</w:t>
            </w:r>
          </w:p>
          <w:p>
            <w:pPr>
              <w:bidi w:val="0"/>
              <w:rPr>
                <w:color w:val="auto"/>
                <w:highlight w:val="none"/>
              </w:rPr>
            </w:pPr>
            <w:r>
              <w:rPr>
                <w:rFonts w:hint="default"/>
                <w:color w:val="auto"/>
                <w:highlight w:val="none"/>
              </w:rPr>
              <w:t>（</w:t>
            </w:r>
            <w:r>
              <w:rPr>
                <w:rFonts w:hint="eastAsia"/>
                <w:color w:val="auto"/>
                <w:highlight w:val="none"/>
                <w:lang w:val="en-US" w:eastAsia="zh-CN"/>
              </w:rPr>
              <w:t>2</w:t>
            </w:r>
            <w:r>
              <w:rPr>
                <w:rFonts w:hint="default"/>
                <w:color w:val="auto"/>
                <w:highlight w:val="none"/>
              </w:rPr>
              <w:t>）废分子筛（一般工业固废）</w:t>
            </w:r>
          </w:p>
          <w:p>
            <w:pPr>
              <w:bidi w:val="0"/>
              <w:rPr>
                <w:rFonts w:hint="default"/>
                <w:color w:val="auto"/>
                <w:highlight w:val="none"/>
              </w:rPr>
            </w:pPr>
            <w:r>
              <w:rPr>
                <w:rFonts w:hint="default"/>
                <w:color w:val="auto"/>
                <w:highlight w:val="none"/>
              </w:rPr>
              <w:t>吸附塔内装填锂基分子筛用于吸附氮气</w:t>
            </w:r>
            <w:r>
              <w:rPr>
                <w:rFonts w:hint="eastAsia"/>
                <w:color w:val="auto"/>
                <w:highlight w:val="none"/>
                <w:lang w:eastAsia="zh-CN"/>
              </w:rPr>
              <w:t>，</w:t>
            </w:r>
            <w:r>
              <w:rPr>
                <w:rFonts w:hint="default"/>
                <w:color w:val="auto"/>
                <w:highlight w:val="none"/>
              </w:rPr>
              <w:t>分子筛设计寿命通常为10年</w:t>
            </w:r>
            <w:r>
              <w:rPr>
                <w:rFonts w:hint="eastAsia"/>
                <w:color w:val="auto"/>
                <w:highlight w:val="none"/>
                <w:lang w:eastAsia="zh-CN"/>
              </w:rPr>
              <w:t>。</w:t>
            </w:r>
            <w:r>
              <w:rPr>
                <w:rFonts w:hint="eastAsia"/>
                <w:color w:val="auto"/>
                <w:highlight w:val="none"/>
                <w:lang w:val="en-US" w:eastAsia="zh-CN"/>
              </w:rPr>
              <w:t>根据建设单位提供的资料，本次项目改建完成后</w:t>
            </w:r>
            <w:r>
              <w:rPr>
                <w:rFonts w:hint="default"/>
                <w:color w:val="auto"/>
                <w:highlight w:val="none"/>
              </w:rPr>
              <w:t>分子筛装填量约为</w:t>
            </w:r>
            <w:r>
              <w:rPr>
                <w:rFonts w:hint="eastAsia"/>
                <w:color w:val="auto"/>
                <w:highlight w:val="none"/>
                <w:lang w:val="en-US" w:eastAsia="zh-CN"/>
              </w:rPr>
              <w:t>120</w:t>
            </w:r>
            <w:r>
              <w:rPr>
                <w:rFonts w:hint="default"/>
                <w:color w:val="auto"/>
                <w:highlight w:val="none"/>
              </w:rPr>
              <w:t>t</w:t>
            </w:r>
            <w:r>
              <w:rPr>
                <w:rFonts w:hint="eastAsia"/>
                <w:color w:val="auto"/>
                <w:highlight w:val="none"/>
                <w:lang w:eastAsia="zh-CN"/>
              </w:rPr>
              <w:t>（</w:t>
            </w:r>
            <w:r>
              <w:rPr>
                <w:rFonts w:hint="eastAsia"/>
                <w:color w:val="auto"/>
                <w:highlight w:val="none"/>
                <w:lang w:val="en-US" w:eastAsia="zh-CN"/>
              </w:rPr>
              <w:t>平均为12t/a</w:t>
            </w:r>
            <w:r>
              <w:rPr>
                <w:rFonts w:hint="eastAsia"/>
                <w:color w:val="auto"/>
                <w:highlight w:val="none"/>
                <w:lang w:eastAsia="zh-CN"/>
              </w:rPr>
              <w:t>）</w:t>
            </w:r>
            <w:r>
              <w:rPr>
                <w:rFonts w:hint="default"/>
                <w:color w:val="auto"/>
                <w:highlight w:val="none"/>
              </w:rPr>
              <w:t>。达到使用寿命后需整体更换，更换下来的废分子筛由厂家</w:t>
            </w:r>
            <w:r>
              <w:rPr>
                <w:rFonts w:hint="eastAsia"/>
                <w:color w:val="auto"/>
                <w:highlight w:val="none"/>
                <w:lang w:val="en-US" w:eastAsia="zh-CN"/>
              </w:rPr>
              <w:t>自行带走</w:t>
            </w:r>
            <w:r>
              <w:rPr>
                <w:rFonts w:hint="default"/>
                <w:color w:val="auto"/>
                <w:highlight w:val="none"/>
              </w:rPr>
              <w:t>处置</w:t>
            </w:r>
            <w:r>
              <w:rPr>
                <w:rFonts w:hint="eastAsia"/>
                <w:color w:val="auto"/>
                <w:highlight w:val="none"/>
                <w:lang w:eastAsia="zh-CN"/>
              </w:rPr>
              <w:t>，</w:t>
            </w:r>
            <w:r>
              <w:rPr>
                <w:rFonts w:hint="eastAsia"/>
                <w:color w:val="auto"/>
                <w:highlight w:val="none"/>
                <w:lang w:val="en-US" w:eastAsia="zh-CN"/>
              </w:rPr>
              <w:t>不在厂区内贮存</w:t>
            </w:r>
            <w:r>
              <w:rPr>
                <w:rFonts w:hint="default"/>
                <w:color w:val="auto"/>
                <w:highlight w:val="none"/>
              </w:rPr>
              <w:t>。</w:t>
            </w:r>
          </w:p>
          <w:p>
            <w:pPr>
              <w:bidi w:val="0"/>
              <w:rPr>
                <w:rFonts w:hint="default"/>
                <w:color w:val="auto"/>
                <w:highlight w:val="none"/>
              </w:rPr>
            </w:pPr>
            <w:r>
              <w:rPr>
                <w:rFonts w:hint="default"/>
                <w:color w:val="auto"/>
                <w:highlight w:val="none"/>
              </w:rPr>
              <w:t>（</w:t>
            </w:r>
            <w:r>
              <w:rPr>
                <w:rFonts w:hint="eastAsia"/>
                <w:color w:val="auto"/>
                <w:highlight w:val="none"/>
                <w:lang w:val="en-US" w:eastAsia="zh-CN"/>
              </w:rPr>
              <w:t>3</w:t>
            </w:r>
            <w:r>
              <w:rPr>
                <w:rFonts w:hint="default"/>
                <w:color w:val="auto"/>
                <w:highlight w:val="none"/>
              </w:rPr>
              <w:t>）</w:t>
            </w:r>
            <w:r>
              <w:rPr>
                <w:rFonts w:hint="eastAsia"/>
                <w:color w:val="auto"/>
                <w:highlight w:val="none"/>
                <w:lang w:val="en-US" w:eastAsia="zh-CN"/>
              </w:rPr>
              <w:t>废氧化铝</w:t>
            </w:r>
            <w:r>
              <w:rPr>
                <w:rFonts w:hint="default"/>
                <w:color w:val="auto"/>
                <w:highlight w:val="none"/>
              </w:rPr>
              <w:t>（一般工业固废）</w:t>
            </w:r>
          </w:p>
          <w:p>
            <w:pPr>
              <w:bidi w:val="0"/>
              <w:rPr>
                <w:rFonts w:hint="default"/>
                <w:color w:val="auto"/>
                <w:highlight w:val="none"/>
              </w:rPr>
            </w:pPr>
            <w:r>
              <w:rPr>
                <w:rFonts w:hint="default"/>
                <w:color w:val="auto"/>
                <w:highlight w:val="none"/>
              </w:rPr>
              <w:t>吸附塔底层装填活性氧化铝用于吸附原料空气中的水分，以保护上层分子筛。更换周期与分子筛同步（约10年一次），</w:t>
            </w:r>
            <w:r>
              <w:rPr>
                <w:rFonts w:hint="eastAsia"/>
                <w:color w:val="auto"/>
                <w:highlight w:val="none"/>
                <w:lang w:val="en-US" w:eastAsia="zh-CN"/>
              </w:rPr>
              <w:t>根据建设单位提供的资料，本次项目改建完成后活性氧化铝</w:t>
            </w:r>
            <w:r>
              <w:rPr>
                <w:rFonts w:hint="default"/>
                <w:color w:val="auto"/>
                <w:highlight w:val="none"/>
              </w:rPr>
              <w:t>装填量约为</w:t>
            </w:r>
            <w:r>
              <w:rPr>
                <w:rFonts w:hint="eastAsia"/>
                <w:color w:val="auto"/>
                <w:highlight w:val="none"/>
                <w:lang w:val="en-US" w:eastAsia="zh-CN"/>
              </w:rPr>
              <w:t>35</w:t>
            </w:r>
            <w:r>
              <w:rPr>
                <w:rFonts w:hint="default"/>
                <w:color w:val="auto"/>
                <w:highlight w:val="none"/>
              </w:rPr>
              <w:t>t</w:t>
            </w:r>
            <w:r>
              <w:rPr>
                <w:rFonts w:hint="eastAsia"/>
                <w:color w:val="auto"/>
                <w:highlight w:val="none"/>
                <w:lang w:eastAsia="zh-CN"/>
              </w:rPr>
              <w:t>（</w:t>
            </w:r>
            <w:r>
              <w:rPr>
                <w:rFonts w:hint="eastAsia"/>
                <w:color w:val="auto"/>
                <w:highlight w:val="none"/>
                <w:lang w:val="en-US" w:eastAsia="zh-CN"/>
              </w:rPr>
              <w:t>平均为3.5t/a</w:t>
            </w:r>
            <w:r>
              <w:rPr>
                <w:rFonts w:hint="eastAsia"/>
                <w:color w:val="auto"/>
                <w:highlight w:val="none"/>
                <w:lang w:eastAsia="zh-CN"/>
              </w:rPr>
              <w:t>）</w:t>
            </w:r>
            <w:r>
              <w:rPr>
                <w:rFonts w:hint="default"/>
                <w:color w:val="auto"/>
                <w:highlight w:val="none"/>
              </w:rPr>
              <w:t>，更换下来的废活性氧化铝由厂家</w:t>
            </w:r>
            <w:r>
              <w:rPr>
                <w:rFonts w:hint="eastAsia"/>
                <w:color w:val="auto"/>
                <w:highlight w:val="none"/>
                <w:lang w:val="en-US" w:eastAsia="zh-CN"/>
              </w:rPr>
              <w:t>自行带走</w:t>
            </w:r>
            <w:r>
              <w:rPr>
                <w:rFonts w:hint="default"/>
                <w:color w:val="auto"/>
                <w:highlight w:val="none"/>
              </w:rPr>
              <w:t>处置</w:t>
            </w:r>
            <w:r>
              <w:rPr>
                <w:rFonts w:hint="eastAsia"/>
                <w:color w:val="auto"/>
                <w:highlight w:val="none"/>
                <w:lang w:eastAsia="zh-CN"/>
              </w:rPr>
              <w:t>，</w:t>
            </w:r>
            <w:r>
              <w:rPr>
                <w:rFonts w:hint="eastAsia"/>
                <w:color w:val="auto"/>
                <w:highlight w:val="none"/>
                <w:lang w:val="en-US" w:eastAsia="zh-CN"/>
              </w:rPr>
              <w:t>不在厂区内贮存</w:t>
            </w:r>
            <w:r>
              <w:rPr>
                <w:rFonts w:hint="default"/>
                <w:color w:val="auto"/>
                <w:highlight w:val="none"/>
              </w:rPr>
              <w:t>。</w:t>
            </w:r>
          </w:p>
          <w:p>
            <w:pPr>
              <w:bidi w:val="0"/>
              <w:rPr>
                <w:rFonts w:hint="default"/>
                <w:color w:val="auto"/>
                <w:highlight w:val="none"/>
              </w:rPr>
            </w:pPr>
            <w:r>
              <w:rPr>
                <w:rFonts w:hint="default"/>
                <w:color w:val="auto"/>
                <w:highlight w:val="none"/>
              </w:rPr>
              <w:t>（</w:t>
            </w:r>
            <w:r>
              <w:rPr>
                <w:rFonts w:hint="eastAsia"/>
                <w:color w:val="auto"/>
                <w:highlight w:val="none"/>
                <w:lang w:val="en-US" w:eastAsia="zh-CN"/>
              </w:rPr>
              <w:t>4</w:t>
            </w:r>
            <w:r>
              <w:rPr>
                <w:rFonts w:hint="default"/>
                <w:color w:val="auto"/>
                <w:highlight w:val="none"/>
              </w:rPr>
              <w:t>）废滤芯（一般工业固废）</w:t>
            </w:r>
          </w:p>
          <w:p>
            <w:pPr>
              <w:bidi w:val="0"/>
              <w:rPr>
                <w:rFonts w:hint="default"/>
                <w:color w:val="auto"/>
                <w:highlight w:val="none"/>
              </w:rPr>
            </w:pPr>
            <w:r>
              <w:rPr>
                <w:rFonts w:hint="default"/>
                <w:color w:val="auto"/>
                <w:highlight w:val="none"/>
              </w:rPr>
              <w:t>入口空气过滤器滤芯定期更换，更换周期约4000小时（约6个月）</w:t>
            </w:r>
            <w:r>
              <w:rPr>
                <w:rFonts w:hint="eastAsia"/>
                <w:color w:val="auto"/>
                <w:highlight w:val="none"/>
                <w:lang w:eastAsia="zh-CN"/>
              </w:rPr>
              <w:t>。</w:t>
            </w:r>
            <w:r>
              <w:rPr>
                <w:rFonts w:hint="eastAsia"/>
                <w:color w:val="auto"/>
                <w:highlight w:val="none"/>
                <w:lang w:val="en-US" w:eastAsia="zh-CN"/>
              </w:rPr>
              <w:t>根据建设单位提供的资料，本次项目改建完成后</w:t>
            </w:r>
            <w:r>
              <w:rPr>
                <w:rFonts w:hint="default"/>
                <w:color w:val="auto"/>
                <w:highlight w:val="none"/>
              </w:rPr>
              <w:t>空气过滤器滤芯</w:t>
            </w:r>
            <w:r>
              <w:rPr>
                <w:rFonts w:hint="eastAsia"/>
                <w:color w:val="auto"/>
                <w:highlight w:val="none"/>
                <w:lang w:val="en-US" w:eastAsia="zh-CN"/>
              </w:rPr>
              <w:t>使用</w:t>
            </w:r>
            <w:r>
              <w:rPr>
                <w:rFonts w:hint="default"/>
                <w:color w:val="auto"/>
                <w:highlight w:val="none"/>
              </w:rPr>
              <w:t>量约0.</w:t>
            </w:r>
            <w:r>
              <w:rPr>
                <w:rFonts w:hint="eastAsia"/>
                <w:color w:val="auto"/>
                <w:highlight w:val="none"/>
                <w:lang w:val="en-US" w:eastAsia="zh-CN"/>
              </w:rPr>
              <w:t>8</w:t>
            </w:r>
            <w:r>
              <w:rPr>
                <w:rFonts w:hint="default"/>
                <w:color w:val="auto"/>
                <w:highlight w:val="none"/>
              </w:rPr>
              <w:t>5t/a</w:t>
            </w:r>
            <w:r>
              <w:rPr>
                <w:rFonts w:hint="eastAsia"/>
                <w:color w:val="auto"/>
                <w:highlight w:val="none"/>
                <w:lang w:eastAsia="zh-CN"/>
              </w:rPr>
              <w:t>，</w:t>
            </w:r>
            <w:r>
              <w:rPr>
                <w:rFonts w:hint="eastAsia"/>
                <w:color w:val="auto"/>
                <w:highlight w:val="none"/>
                <w:lang w:val="en-US" w:eastAsia="zh-CN"/>
              </w:rPr>
              <w:t>更换的废滤芯</w:t>
            </w:r>
            <w:r>
              <w:rPr>
                <w:rFonts w:hint="default"/>
                <w:color w:val="auto"/>
                <w:highlight w:val="none"/>
              </w:rPr>
              <w:t>由厂家</w:t>
            </w:r>
            <w:r>
              <w:rPr>
                <w:rFonts w:hint="eastAsia"/>
                <w:color w:val="auto"/>
                <w:highlight w:val="none"/>
                <w:lang w:val="en-US" w:eastAsia="zh-CN"/>
              </w:rPr>
              <w:t>自行带走</w:t>
            </w:r>
            <w:r>
              <w:rPr>
                <w:rFonts w:hint="default"/>
                <w:color w:val="auto"/>
                <w:highlight w:val="none"/>
              </w:rPr>
              <w:t>处置</w:t>
            </w:r>
            <w:r>
              <w:rPr>
                <w:rFonts w:hint="eastAsia"/>
                <w:color w:val="auto"/>
                <w:highlight w:val="none"/>
                <w:lang w:eastAsia="zh-CN"/>
              </w:rPr>
              <w:t>，</w:t>
            </w:r>
            <w:r>
              <w:rPr>
                <w:rFonts w:hint="eastAsia"/>
                <w:color w:val="auto"/>
                <w:highlight w:val="none"/>
                <w:lang w:val="en-US" w:eastAsia="zh-CN"/>
              </w:rPr>
              <w:t>不在厂区内贮存</w:t>
            </w:r>
            <w:r>
              <w:rPr>
                <w:rFonts w:hint="default"/>
                <w:color w:val="auto"/>
                <w:highlight w:val="none"/>
              </w:rPr>
              <w:t>。</w:t>
            </w:r>
          </w:p>
          <w:p>
            <w:pPr>
              <w:bidi w:val="0"/>
              <w:rPr>
                <w:rFonts w:hint="default"/>
                <w:color w:val="auto"/>
                <w:highlight w:val="none"/>
              </w:rPr>
            </w:pPr>
            <w:r>
              <w:rPr>
                <w:rFonts w:hint="default"/>
                <w:color w:val="auto"/>
                <w:highlight w:val="none"/>
              </w:rPr>
              <w:t>（</w:t>
            </w:r>
            <w:r>
              <w:rPr>
                <w:rFonts w:hint="eastAsia"/>
                <w:color w:val="auto"/>
                <w:highlight w:val="none"/>
                <w:lang w:val="en-US" w:eastAsia="zh-CN"/>
              </w:rPr>
              <w:t>5</w:t>
            </w:r>
            <w:r>
              <w:rPr>
                <w:rFonts w:hint="default"/>
                <w:color w:val="auto"/>
                <w:highlight w:val="none"/>
              </w:rPr>
              <w:t>）废润滑油</w:t>
            </w:r>
            <w:r>
              <w:rPr>
                <w:rFonts w:hint="eastAsia"/>
                <w:color w:val="auto"/>
                <w:highlight w:val="none"/>
                <w:lang w:eastAsia="zh-CN"/>
              </w:rPr>
              <w:t>、</w:t>
            </w:r>
            <w:r>
              <w:rPr>
                <w:rFonts w:hint="eastAsia"/>
                <w:color w:val="auto"/>
                <w:highlight w:val="none"/>
                <w:lang w:val="en-US" w:eastAsia="zh-CN"/>
              </w:rPr>
              <w:t>废油桶</w:t>
            </w:r>
            <w:r>
              <w:rPr>
                <w:rFonts w:hint="default"/>
                <w:color w:val="auto"/>
                <w:highlight w:val="none"/>
              </w:rPr>
              <w:t>（危险废物）</w:t>
            </w:r>
          </w:p>
          <w:p>
            <w:pPr>
              <w:bidi w:val="0"/>
              <w:rPr>
                <w:rFonts w:hint="default"/>
                <w:color w:val="auto"/>
                <w:highlight w:val="none"/>
                <w:lang w:val="en-US" w:eastAsia="zh-CN"/>
              </w:rPr>
            </w:pPr>
            <w:r>
              <w:rPr>
                <w:rFonts w:hint="eastAsia"/>
                <w:color w:val="auto"/>
                <w:highlight w:val="none"/>
                <w:lang w:val="en-US" w:eastAsia="zh-CN"/>
              </w:rPr>
              <w:t>项目改建完成后</w:t>
            </w:r>
            <w:r>
              <w:rPr>
                <w:rFonts w:hint="default"/>
                <w:color w:val="auto"/>
                <w:highlight w:val="none"/>
              </w:rPr>
              <w:t>设备检修（鼓风机、真空泵等）</w:t>
            </w:r>
            <w:r>
              <w:rPr>
                <w:rFonts w:hint="eastAsia"/>
                <w:color w:val="auto"/>
                <w:highlight w:val="none"/>
                <w:lang w:val="en-US" w:eastAsia="zh-CN"/>
              </w:rPr>
              <w:t>过程会产生废润滑油（</w:t>
            </w:r>
            <w:r>
              <w:rPr>
                <w:rFonts w:hint="default"/>
                <w:color w:val="auto"/>
                <w:highlight w:val="none"/>
              </w:rPr>
              <w:t>废物类别HW08，废物代码900-214-08</w:t>
            </w:r>
            <w:r>
              <w:rPr>
                <w:rFonts w:hint="eastAsia"/>
                <w:color w:val="auto"/>
                <w:highlight w:val="none"/>
                <w:lang w:val="en-US" w:eastAsia="zh-CN"/>
              </w:rPr>
              <w:t>）及废油桶（</w:t>
            </w:r>
            <w:r>
              <w:rPr>
                <w:rFonts w:hint="default"/>
                <w:color w:val="auto"/>
                <w:highlight w:val="none"/>
              </w:rPr>
              <w:t>废物类别HW08，废物代码900-249-08</w:t>
            </w:r>
            <w:r>
              <w:rPr>
                <w:rFonts w:hint="eastAsia"/>
                <w:color w:val="auto"/>
                <w:highlight w:val="none"/>
                <w:lang w:val="en-US" w:eastAsia="zh-CN"/>
              </w:rPr>
              <w:t>）。根据设计资料，废润滑油</w:t>
            </w:r>
            <w:r>
              <w:rPr>
                <w:rFonts w:hint="default"/>
                <w:color w:val="auto"/>
                <w:highlight w:val="none"/>
              </w:rPr>
              <w:t>产生量约0.</w:t>
            </w:r>
            <w:r>
              <w:rPr>
                <w:rFonts w:hint="eastAsia"/>
                <w:color w:val="auto"/>
                <w:highlight w:val="none"/>
                <w:lang w:val="en-US" w:eastAsia="zh-CN"/>
              </w:rPr>
              <w:t>7</w:t>
            </w:r>
            <w:r>
              <w:rPr>
                <w:rFonts w:hint="default"/>
                <w:color w:val="auto"/>
                <w:highlight w:val="none"/>
              </w:rPr>
              <w:t>t/a</w:t>
            </w:r>
            <w:r>
              <w:rPr>
                <w:rFonts w:hint="eastAsia"/>
                <w:color w:val="auto"/>
                <w:highlight w:val="none"/>
                <w:lang w:eastAsia="zh-CN"/>
              </w:rPr>
              <w:t>；</w:t>
            </w:r>
            <w:r>
              <w:rPr>
                <w:rFonts w:hint="default"/>
                <w:color w:val="auto"/>
                <w:highlight w:val="none"/>
              </w:rPr>
              <w:t>废油桶产生量约</w:t>
            </w:r>
            <w:r>
              <w:rPr>
                <w:rFonts w:hint="eastAsia"/>
                <w:color w:val="auto"/>
                <w:highlight w:val="none"/>
                <w:lang w:val="en-US" w:eastAsia="zh-CN"/>
              </w:rPr>
              <w:t>0.6t</w:t>
            </w:r>
            <w:r>
              <w:rPr>
                <w:rFonts w:hint="default"/>
                <w:color w:val="auto"/>
                <w:highlight w:val="none"/>
              </w:rPr>
              <w:t>/a。</w:t>
            </w:r>
            <w:r>
              <w:rPr>
                <w:rFonts w:hint="eastAsia"/>
                <w:color w:val="auto"/>
                <w:highlight w:val="none"/>
                <w:lang w:val="en-US" w:eastAsia="zh-CN"/>
              </w:rPr>
              <w:t>产生的危险废物依托易门铜业有限公司已建5#危险废物贮存库进行暂存，然后委托云南广莱再生资源回收有限公司定期进行清运处置。</w:t>
            </w:r>
          </w:p>
          <w:p>
            <w:pPr>
              <w:bidi w:val="0"/>
              <w:rPr>
                <w:rFonts w:hint="default"/>
                <w:b/>
                <w:bCs/>
                <w:color w:val="auto"/>
                <w:highlight w:val="none"/>
                <w:lang w:val="en-US" w:eastAsia="zh-CN"/>
              </w:rPr>
            </w:pPr>
            <w:r>
              <w:rPr>
                <w:rFonts w:hint="eastAsia" w:ascii="黑体" w:hAnsi="黑体" w:eastAsia="黑体" w:cs="黑体"/>
                <w:color w:val="auto"/>
                <w:highlight w:val="none"/>
                <w:lang w:val="en-US" w:eastAsia="zh-CN"/>
              </w:rPr>
              <w:t>2、固体废物产排情况汇总</w:t>
            </w:r>
          </w:p>
          <w:p>
            <w:pPr>
              <w:bidi w:val="0"/>
              <w:rPr>
                <w:rFonts w:hint="default"/>
                <w:color w:val="auto"/>
                <w:highlight w:val="none"/>
                <w:lang w:val="en-US" w:eastAsia="zh-CN"/>
              </w:rPr>
            </w:pPr>
            <w:r>
              <w:rPr>
                <w:rFonts w:hint="default"/>
                <w:color w:val="auto"/>
                <w:highlight w:val="none"/>
                <w:lang w:val="en-US" w:eastAsia="zh-CN"/>
              </w:rPr>
              <w:t>项目固体废物产</w:t>
            </w:r>
            <w:r>
              <w:rPr>
                <w:rFonts w:hint="eastAsia"/>
                <w:color w:val="auto"/>
                <w:highlight w:val="none"/>
                <w:lang w:val="en-US" w:eastAsia="zh-CN"/>
              </w:rPr>
              <w:t>、排</w:t>
            </w:r>
            <w:r>
              <w:rPr>
                <w:rFonts w:hint="default"/>
                <w:color w:val="auto"/>
                <w:highlight w:val="none"/>
                <w:lang w:val="en-US" w:eastAsia="zh-CN"/>
              </w:rPr>
              <w:t>情况</w:t>
            </w:r>
            <w:r>
              <w:rPr>
                <w:rFonts w:hint="eastAsia"/>
                <w:color w:val="auto"/>
                <w:highlight w:val="none"/>
                <w:lang w:val="en-US" w:eastAsia="zh-CN"/>
              </w:rPr>
              <w:t>汇总如下：</w:t>
            </w:r>
          </w:p>
          <w:p>
            <w:pPr>
              <w:pStyle w:val="35"/>
              <w:bidi w:val="0"/>
              <w:rPr>
                <w:rFonts w:hint="default" w:ascii="Times New Roman" w:hAnsi="Times New Roman" w:cs="Times New Roman"/>
                <w:b/>
                <w:bCs/>
                <w:color w:val="auto"/>
                <w:kern w:val="0"/>
                <w:szCs w:val="21"/>
                <w:highlight w:val="none"/>
                <w:lang w:val="en-US" w:eastAsia="zh-CN" w:bidi="ar"/>
              </w:rPr>
            </w:pPr>
            <w:r>
              <w:rPr>
                <w:rFonts w:hint="default"/>
                <w:color w:val="auto"/>
                <w:highlight w:val="none"/>
                <w:lang w:val="en-US" w:eastAsia="zh-CN"/>
              </w:rPr>
              <w:t>表4-</w:t>
            </w:r>
            <w:r>
              <w:rPr>
                <w:rFonts w:hint="eastAsia"/>
                <w:color w:val="auto"/>
                <w:highlight w:val="none"/>
                <w:lang w:val="en-US" w:eastAsia="zh-CN"/>
              </w:rPr>
              <w:t>6</w:t>
            </w:r>
            <w:r>
              <w:rPr>
                <w:rFonts w:hint="default"/>
                <w:color w:val="auto"/>
                <w:highlight w:val="none"/>
                <w:lang w:val="en-US" w:eastAsia="zh-CN"/>
              </w:rPr>
              <w:t xml:space="preserve">  项目运营期固体废物产生及处置情况</w:t>
            </w:r>
            <w:r>
              <w:rPr>
                <w:rFonts w:hint="eastAsia"/>
                <w:color w:val="auto"/>
                <w:highlight w:val="none"/>
                <w:lang w:val="en-US" w:eastAsia="zh-CN"/>
              </w:rPr>
              <w:t>一览表</w:t>
            </w:r>
          </w:p>
          <w:tbl>
            <w:tblPr>
              <w:tblStyle w:val="23"/>
              <w:tblW w:w="7821"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fixed"/>
              <w:tblCellMar>
                <w:top w:w="0" w:type="dxa"/>
                <w:left w:w="108" w:type="dxa"/>
                <w:bottom w:w="0" w:type="dxa"/>
                <w:right w:w="108" w:type="dxa"/>
              </w:tblCellMar>
            </w:tblPr>
            <w:tblGrid>
              <w:gridCol w:w="627"/>
              <w:gridCol w:w="676"/>
              <w:gridCol w:w="418"/>
              <w:gridCol w:w="878"/>
              <w:gridCol w:w="418"/>
              <w:gridCol w:w="364"/>
              <w:gridCol w:w="643"/>
              <w:gridCol w:w="664"/>
              <w:gridCol w:w="1833"/>
              <w:gridCol w:w="675"/>
              <w:gridCol w:w="625"/>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PrEx>
              <w:trPr>
                <w:jc w:val="center"/>
              </w:trPr>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pacing w:val="0"/>
                      <w:sz w:val="18"/>
                      <w:szCs w:val="18"/>
                      <w:highlight w:val="none"/>
                      <w:vertAlign w:val="baseline"/>
                      <w:lang w:val="en-US" w:eastAsia="zh-CN"/>
                    </w:rPr>
                  </w:pPr>
                  <w:r>
                    <w:rPr>
                      <w:rFonts w:hint="eastAsia" w:ascii="Times New Roman" w:hAnsi="Times New Roman" w:cs="Times New Roman" w:eastAsiaTheme="minorEastAsia"/>
                      <w:color w:val="auto"/>
                      <w:spacing w:val="0"/>
                      <w:sz w:val="18"/>
                      <w:szCs w:val="18"/>
                      <w:highlight w:val="none"/>
                      <w:vertAlign w:val="baseline"/>
                      <w:lang w:val="en-US" w:eastAsia="zh-CN"/>
                    </w:rPr>
                    <w:t>产生环节</w:t>
                  </w:r>
                </w:p>
              </w:tc>
              <w:tc>
                <w:tcPr>
                  <w:tcW w:w="6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pacing w:val="0"/>
                      <w:sz w:val="18"/>
                      <w:szCs w:val="18"/>
                      <w:highlight w:val="none"/>
                      <w:vertAlign w:val="baseline"/>
                      <w:lang w:val="en-US" w:eastAsia="zh-CN"/>
                    </w:rPr>
                  </w:pPr>
                  <w:r>
                    <w:rPr>
                      <w:rFonts w:hint="eastAsia" w:ascii="Times New Roman" w:hAnsi="Times New Roman" w:cs="Times New Roman" w:eastAsiaTheme="minorEastAsia"/>
                      <w:color w:val="auto"/>
                      <w:spacing w:val="0"/>
                      <w:sz w:val="18"/>
                      <w:szCs w:val="18"/>
                      <w:highlight w:val="none"/>
                      <w:vertAlign w:val="baseline"/>
                      <w:lang w:val="en-US" w:eastAsia="zh-CN"/>
                    </w:rPr>
                    <w:t>名称</w:t>
                  </w:r>
                </w:p>
              </w:tc>
              <w:tc>
                <w:tcPr>
                  <w:tcW w:w="4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pacing w:val="0"/>
                      <w:sz w:val="18"/>
                      <w:szCs w:val="18"/>
                      <w:highlight w:val="none"/>
                      <w:vertAlign w:val="baseline"/>
                      <w:lang w:val="en-US" w:eastAsia="zh-CN"/>
                    </w:rPr>
                  </w:pPr>
                  <w:r>
                    <w:rPr>
                      <w:rFonts w:hint="eastAsia" w:ascii="Times New Roman" w:hAnsi="Times New Roman" w:cs="Times New Roman" w:eastAsiaTheme="minorEastAsia"/>
                      <w:color w:val="auto"/>
                      <w:spacing w:val="0"/>
                      <w:sz w:val="18"/>
                      <w:szCs w:val="18"/>
                      <w:highlight w:val="none"/>
                      <w:vertAlign w:val="baseline"/>
                      <w:lang w:val="en-US" w:eastAsia="zh-CN"/>
                    </w:rPr>
                    <w:t>固废属性</w:t>
                  </w:r>
                </w:p>
              </w:tc>
              <w:tc>
                <w:tcPr>
                  <w:tcW w:w="8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pacing w:val="0"/>
                      <w:sz w:val="18"/>
                      <w:szCs w:val="18"/>
                      <w:highlight w:val="none"/>
                      <w:vertAlign w:val="baseline"/>
                      <w:lang w:val="en-US" w:eastAsia="zh-CN"/>
                    </w:rPr>
                  </w:pPr>
                  <w:r>
                    <w:rPr>
                      <w:rFonts w:hint="eastAsia" w:ascii="Times New Roman" w:hAnsi="Times New Roman" w:cs="Times New Roman" w:eastAsiaTheme="minorEastAsia"/>
                      <w:color w:val="auto"/>
                      <w:spacing w:val="0"/>
                      <w:sz w:val="18"/>
                      <w:szCs w:val="18"/>
                      <w:highlight w:val="none"/>
                      <w:vertAlign w:val="baseline"/>
                      <w:lang w:val="en-US" w:eastAsia="zh-CN"/>
                    </w:rPr>
                    <w:t>属性及编码</w:t>
                  </w:r>
                </w:p>
              </w:tc>
              <w:tc>
                <w:tcPr>
                  <w:tcW w:w="4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pacing w:val="0"/>
                      <w:sz w:val="18"/>
                      <w:szCs w:val="18"/>
                      <w:highlight w:val="none"/>
                      <w:vertAlign w:val="baseline"/>
                      <w:lang w:val="en-US" w:eastAsia="zh-CN"/>
                    </w:rPr>
                  </w:pPr>
                  <w:r>
                    <w:rPr>
                      <w:rFonts w:hint="eastAsia" w:ascii="Times New Roman" w:hAnsi="Times New Roman" w:cs="Times New Roman" w:eastAsiaTheme="minorEastAsia"/>
                      <w:color w:val="auto"/>
                      <w:spacing w:val="0"/>
                      <w:sz w:val="18"/>
                      <w:szCs w:val="18"/>
                      <w:highlight w:val="none"/>
                      <w:vertAlign w:val="baseline"/>
                      <w:lang w:val="en-US" w:eastAsia="zh-CN"/>
                    </w:rPr>
                    <w:t>物理性状</w:t>
                  </w:r>
                </w:p>
              </w:tc>
              <w:tc>
                <w:tcPr>
                  <w:tcW w:w="3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pacing w:val="0"/>
                      <w:sz w:val="18"/>
                      <w:szCs w:val="18"/>
                      <w:highlight w:val="none"/>
                      <w:vertAlign w:val="baseline"/>
                      <w:lang w:val="en-US" w:eastAsia="zh-CN"/>
                    </w:rPr>
                  </w:pPr>
                  <w:r>
                    <w:rPr>
                      <w:rFonts w:hint="eastAsia" w:ascii="Times New Roman" w:hAnsi="Times New Roman" w:cs="Times New Roman" w:eastAsiaTheme="minorEastAsia"/>
                      <w:color w:val="auto"/>
                      <w:spacing w:val="0"/>
                      <w:sz w:val="18"/>
                      <w:szCs w:val="18"/>
                      <w:highlight w:val="none"/>
                      <w:vertAlign w:val="baseline"/>
                      <w:lang w:val="en-US" w:eastAsia="zh-CN"/>
                    </w:rPr>
                    <w:t>危险特性</w:t>
                  </w:r>
                </w:p>
              </w:tc>
              <w:tc>
                <w:tcPr>
                  <w:tcW w:w="6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sz w:val="18"/>
                      <w:szCs w:val="18"/>
                      <w:highlight w:val="none"/>
                      <w:vertAlign w:val="baseline"/>
                      <w:lang w:val="en-US" w:eastAsia="zh-CN"/>
                    </w:rPr>
                  </w:pPr>
                  <w:r>
                    <w:rPr>
                      <w:rFonts w:hint="eastAsia" w:ascii="Times New Roman" w:hAnsi="Times New Roman" w:cs="Times New Roman" w:eastAsiaTheme="minorEastAsia"/>
                      <w:color w:val="auto"/>
                      <w:spacing w:val="0"/>
                      <w:sz w:val="18"/>
                      <w:szCs w:val="18"/>
                      <w:highlight w:val="none"/>
                      <w:vertAlign w:val="baseline"/>
                      <w:lang w:val="en-US" w:eastAsia="zh-CN"/>
                    </w:rPr>
                    <w:t>产生量</w:t>
                  </w:r>
                  <w:r>
                    <w:rPr>
                      <w:rFonts w:hint="eastAsia" w:cs="Times New Roman" w:eastAsiaTheme="minorEastAsia"/>
                      <w:color w:val="auto"/>
                      <w:spacing w:val="0"/>
                      <w:sz w:val="18"/>
                      <w:szCs w:val="18"/>
                      <w:highlight w:val="none"/>
                      <w:vertAlign w:val="baseline"/>
                      <w:lang w:val="en-US" w:eastAsia="zh-CN"/>
                    </w:rPr>
                    <w:t>t/a</w:t>
                  </w:r>
                </w:p>
              </w:tc>
              <w:tc>
                <w:tcPr>
                  <w:tcW w:w="6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pacing w:val="0"/>
                      <w:sz w:val="18"/>
                      <w:szCs w:val="18"/>
                      <w:highlight w:val="none"/>
                      <w:vertAlign w:val="baseline"/>
                      <w:lang w:val="en-US" w:eastAsia="zh-CN"/>
                    </w:rPr>
                  </w:pPr>
                  <w:r>
                    <w:rPr>
                      <w:rFonts w:hint="eastAsia" w:ascii="Times New Roman" w:hAnsi="Times New Roman" w:cs="Times New Roman" w:eastAsiaTheme="minorEastAsia"/>
                      <w:color w:val="auto"/>
                      <w:spacing w:val="0"/>
                      <w:sz w:val="18"/>
                      <w:szCs w:val="18"/>
                      <w:highlight w:val="none"/>
                      <w:vertAlign w:val="baseline"/>
                      <w:lang w:val="en-US" w:eastAsia="zh-CN"/>
                    </w:rPr>
                    <w:t>贮存方式</w:t>
                  </w:r>
                </w:p>
              </w:tc>
              <w:tc>
                <w:tcPr>
                  <w:tcW w:w="18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pacing w:val="0"/>
                      <w:sz w:val="18"/>
                      <w:szCs w:val="18"/>
                      <w:highlight w:val="none"/>
                      <w:vertAlign w:val="baseline"/>
                      <w:lang w:val="en-US" w:eastAsia="zh-CN"/>
                    </w:rPr>
                  </w:pPr>
                  <w:r>
                    <w:rPr>
                      <w:rFonts w:hint="eastAsia" w:ascii="Times New Roman" w:hAnsi="Times New Roman" w:cs="Times New Roman" w:eastAsiaTheme="minorEastAsia"/>
                      <w:color w:val="auto"/>
                      <w:spacing w:val="0"/>
                      <w:sz w:val="18"/>
                      <w:szCs w:val="18"/>
                      <w:highlight w:val="none"/>
                      <w:vertAlign w:val="baseline"/>
                      <w:lang w:val="en-US" w:eastAsia="zh-CN"/>
                    </w:rPr>
                    <w:t>利用处置方式和去向</w:t>
                  </w:r>
                </w:p>
              </w:tc>
              <w:tc>
                <w:tcPr>
                  <w:tcW w:w="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pacing w:val="0"/>
                      <w:sz w:val="18"/>
                      <w:szCs w:val="18"/>
                      <w:highlight w:val="none"/>
                      <w:vertAlign w:val="baseline"/>
                      <w:lang w:val="en-US" w:eastAsia="zh-CN"/>
                    </w:rPr>
                  </w:pPr>
                  <w:r>
                    <w:rPr>
                      <w:rFonts w:hint="eastAsia" w:ascii="Times New Roman" w:hAnsi="Times New Roman" w:cs="Times New Roman" w:eastAsiaTheme="minorEastAsia"/>
                      <w:color w:val="auto"/>
                      <w:spacing w:val="0"/>
                      <w:sz w:val="18"/>
                      <w:szCs w:val="18"/>
                      <w:highlight w:val="none"/>
                      <w:vertAlign w:val="baseline"/>
                      <w:lang w:val="en-US" w:eastAsia="zh-CN"/>
                    </w:rPr>
                    <w:t>利用或处置量</w:t>
                  </w:r>
                  <w:r>
                    <w:rPr>
                      <w:rFonts w:hint="eastAsia" w:cs="Times New Roman" w:eastAsiaTheme="minorEastAsia"/>
                      <w:color w:val="auto"/>
                      <w:spacing w:val="0"/>
                      <w:sz w:val="18"/>
                      <w:szCs w:val="18"/>
                      <w:highlight w:val="none"/>
                      <w:vertAlign w:val="baseline"/>
                      <w:lang w:val="en-US" w:eastAsia="zh-CN"/>
                    </w:rPr>
                    <w:t>t/a</w:t>
                  </w:r>
                </w:p>
              </w:tc>
              <w:tc>
                <w:tcPr>
                  <w:tcW w:w="6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pacing w:val="0"/>
                      <w:sz w:val="18"/>
                      <w:szCs w:val="18"/>
                      <w:highlight w:val="none"/>
                      <w:vertAlign w:val="baseline"/>
                      <w:lang w:val="en-US" w:eastAsia="zh-CN"/>
                    </w:rPr>
                  </w:pPr>
                  <w:r>
                    <w:rPr>
                      <w:rFonts w:hint="eastAsia" w:ascii="Times New Roman" w:hAnsi="Times New Roman" w:cs="Times New Roman" w:eastAsiaTheme="minorEastAsia"/>
                      <w:color w:val="auto"/>
                      <w:spacing w:val="0"/>
                      <w:sz w:val="18"/>
                      <w:szCs w:val="18"/>
                      <w:highlight w:val="none"/>
                      <w:vertAlign w:val="baseline"/>
                      <w:lang w:val="en-US" w:eastAsia="zh-CN"/>
                    </w:rPr>
                    <w:t>环境管理要求</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jc w:val="center"/>
              </w:trPr>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pacing w:val="0"/>
                      <w:sz w:val="18"/>
                      <w:szCs w:val="18"/>
                      <w:highlight w:val="none"/>
                      <w:vertAlign w:val="baseline"/>
                      <w:lang w:val="en-US" w:eastAsia="zh-CN"/>
                    </w:rPr>
                  </w:pPr>
                  <w:r>
                    <w:rPr>
                      <w:rFonts w:hint="eastAsia" w:cs="Times New Roman" w:eastAsiaTheme="minorEastAsia"/>
                      <w:color w:val="auto"/>
                      <w:spacing w:val="0"/>
                      <w:sz w:val="18"/>
                      <w:szCs w:val="18"/>
                      <w:highlight w:val="none"/>
                      <w:vertAlign w:val="baseline"/>
                      <w:lang w:val="en-US" w:eastAsia="zh-CN"/>
                    </w:rPr>
                    <w:t>办公生活</w:t>
                  </w:r>
                </w:p>
              </w:tc>
              <w:tc>
                <w:tcPr>
                  <w:tcW w:w="6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pacing w:val="0"/>
                      <w:sz w:val="18"/>
                      <w:szCs w:val="18"/>
                      <w:highlight w:val="none"/>
                      <w:vertAlign w:val="baseline"/>
                      <w:lang w:val="en-US" w:eastAsia="zh-CN"/>
                    </w:rPr>
                  </w:pPr>
                  <w:r>
                    <w:rPr>
                      <w:rFonts w:hint="eastAsia" w:ascii="Times New Roman" w:hAnsi="Times New Roman" w:cs="Times New Roman" w:eastAsiaTheme="minorEastAsia"/>
                      <w:color w:val="auto"/>
                      <w:spacing w:val="0"/>
                      <w:sz w:val="18"/>
                      <w:szCs w:val="18"/>
                      <w:highlight w:val="none"/>
                      <w:vertAlign w:val="baseline"/>
                      <w:lang w:val="en-US" w:eastAsia="zh-CN"/>
                    </w:rPr>
                    <w:t>生活垃圾</w:t>
                  </w:r>
                </w:p>
              </w:tc>
              <w:tc>
                <w:tcPr>
                  <w:tcW w:w="4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pacing w:val="0"/>
                      <w:sz w:val="18"/>
                      <w:szCs w:val="18"/>
                      <w:highlight w:val="none"/>
                      <w:vertAlign w:val="baseline"/>
                      <w:lang w:val="en-US" w:eastAsia="zh-CN"/>
                    </w:rPr>
                  </w:pPr>
                  <w:r>
                    <w:rPr>
                      <w:rFonts w:hint="eastAsia" w:ascii="Times New Roman" w:hAnsi="Times New Roman" w:cs="Times New Roman" w:eastAsiaTheme="minorEastAsia"/>
                      <w:color w:val="auto"/>
                      <w:spacing w:val="0"/>
                      <w:sz w:val="18"/>
                      <w:szCs w:val="18"/>
                      <w:highlight w:val="none"/>
                      <w:vertAlign w:val="baseline"/>
                      <w:lang w:val="en-US" w:eastAsia="zh-CN"/>
                    </w:rPr>
                    <w:t>一般固废</w:t>
                  </w:r>
                </w:p>
              </w:tc>
              <w:tc>
                <w:tcPr>
                  <w:tcW w:w="8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pacing w:val="0"/>
                      <w:sz w:val="18"/>
                      <w:szCs w:val="18"/>
                      <w:highlight w:val="none"/>
                      <w:vertAlign w:val="baseline"/>
                      <w:lang w:val="en-US" w:eastAsia="zh-CN"/>
                    </w:rPr>
                  </w:pPr>
                  <w:r>
                    <w:rPr>
                      <w:rFonts w:hint="eastAsia" w:ascii="Times New Roman" w:hAnsi="Times New Roman" w:cs="Times New Roman" w:eastAsiaTheme="minorEastAsia"/>
                      <w:color w:val="auto"/>
                      <w:spacing w:val="0"/>
                      <w:sz w:val="18"/>
                      <w:szCs w:val="18"/>
                      <w:highlight w:val="none"/>
                      <w:vertAlign w:val="baseline"/>
                      <w:lang w:val="en-US" w:eastAsia="zh-CN"/>
                    </w:rPr>
                    <w:t>900-002-S61、900-099-S64</w:t>
                  </w:r>
                </w:p>
              </w:tc>
              <w:tc>
                <w:tcPr>
                  <w:tcW w:w="4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pacing w:val="0"/>
                      <w:sz w:val="18"/>
                      <w:szCs w:val="18"/>
                      <w:highlight w:val="none"/>
                      <w:vertAlign w:val="baseline"/>
                      <w:lang w:val="en-US" w:eastAsia="zh-CN"/>
                    </w:rPr>
                  </w:pPr>
                  <w:r>
                    <w:rPr>
                      <w:rFonts w:hint="eastAsia" w:ascii="Times New Roman" w:hAnsi="Times New Roman" w:cs="Times New Roman" w:eastAsiaTheme="minorEastAsia"/>
                      <w:color w:val="auto"/>
                      <w:spacing w:val="0"/>
                      <w:sz w:val="18"/>
                      <w:szCs w:val="18"/>
                      <w:highlight w:val="none"/>
                      <w:vertAlign w:val="baseline"/>
                      <w:lang w:val="en-US" w:eastAsia="zh-CN"/>
                    </w:rPr>
                    <w:t>固态</w:t>
                  </w:r>
                </w:p>
              </w:tc>
              <w:tc>
                <w:tcPr>
                  <w:tcW w:w="3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pacing w:val="0"/>
                      <w:sz w:val="18"/>
                      <w:szCs w:val="18"/>
                      <w:highlight w:val="none"/>
                      <w:vertAlign w:val="baseline"/>
                      <w:lang w:val="en-US" w:eastAsia="zh-CN"/>
                    </w:rPr>
                  </w:pPr>
                  <w:r>
                    <w:rPr>
                      <w:rFonts w:hint="eastAsia" w:ascii="Times New Roman" w:hAnsi="Times New Roman" w:cs="Times New Roman" w:eastAsiaTheme="minorEastAsia"/>
                      <w:color w:val="auto"/>
                      <w:spacing w:val="0"/>
                      <w:sz w:val="18"/>
                      <w:szCs w:val="18"/>
                      <w:highlight w:val="none"/>
                      <w:vertAlign w:val="baseline"/>
                      <w:lang w:val="en-US" w:eastAsia="zh-CN"/>
                    </w:rPr>
                    <w:t>/</w:t>
                  </w:r>
                </w:p>
              </w:tc>
              <w:tc>
                <w:tcPr>
                  <w:tcW w:w="6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sz w:val="18"/>
                      <w:szCs w:val="18"/>
                      <w:highlight w:val="none"/>
                      <w:vertAlign w:val="baseline"/>
                      <w:lang w:val="en-US" w:eastAsia="zh-CN"/>
                    </w:rPr>
                  </w:pPr>
                  <w:r>
                    <w:rPr>
                      <w:rFonts w:hint="eastAsia" w:cs="Times New Roman" w:eastAsiaTheme="minorEastAsia"/>
                      <w:color w:val="auto"/>
                      <w:spacing w:val="0"/>
                      <w:sz w:val="18"/>
                      <w:szCs w:val="18"/>
                      <w:highlight w:val="none"/>
                      <w:vertAlign w:val="baseline"/>
                      <w:lang w:val="en-US" w:eastAsia="zh-CN"/>
                    </w:rPr>
                    <w:t>1.65</w:t>
                  </w:r>
                </w:p>
              </w:tc>
              <w:tc>
                <w:tcPr>
                  <w:tcW w:w="6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pacing w:val="0"/>
                      <w:sz w:val="18"/>
                      <w:szCs w:val="18"/>
                      <w:highlight w:val="none"/>
                      <w:vertAlign w:val="baseline"/>
                      <w:lang w:val="en-US" w:eastAsia="zh-CN"/>
                    </w:rPr>
                  </w:pPr>
                  <w:r>
                    <w:rPr>
                      <w:rFonts w:hint="eastAsia" w:cs="Times New Roman" w:eastAsiaTheme="minorEastAsia"/>
                      <w:color w:val="auto"/>
                      <w:spacing w:val="0"/>
                      <w:sz w:val="18"/>
                      <w:szCs w:val="18"/>
                      <w:highlight w:val="none"/>
                      <w:vertAlign w:val="baseline"/>
                      <w:lang w:val="en-US" w:eastAsia="zh-CN"/>
                    </w:rPr>
                    <w:t>垃圾收集桶</w:t>
                  </w:r>
                </w:p>
              </w:tc>
              <w:tc>
                <w:tcPr>
                  <w:tcW w:w="18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pacing w:val="0"/>
                      <w:sz w:val="18"/>
                      <w:szCs w:val="18"/>
                      <w:highlight w:val="none"/>
                      <w:vertAlign w:val="baseline"/>
                      <w:lang w:val="en-US" w:eastAsia="zh-CN"/>
                    </w:rPr>
                  </w:pPr>
                  <w:r>
                    <w:rPr>
                      <w:rFonts w:hint="eastAsia" w:cs="Times New Roman" w:eastAsiaTheme="minorEastAsia"/>
                      <w:color w:val="auto"/>
                      <w:spacing w:val="0"/>
                      <w:sz w:val="18"/>
                      <w:szCs w:val="18"/>
                      <w:highlight w:val="none"/>
                      <w:vertAlign w:val="baseline"/>
                      <w:lang w:val="en-US" w:eastAsia="zh-CN"/>
                    </w:rPr>
                    <w:t>委托环卫部门清运处置</w:t>
                  </w:r>
                </w:p>
              </w:tc>
              <w:tc>
                <w:tcPr>
                  <w:tcW w:w="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pacing w:val="0"/>
                      <w:sz w:val="18"/>
                      <w:szCs w:val="18"/>
                      <w:highlight w:val="none"/>
                      <w:vertAlign w:val="baseline"/>
                      <w:lang w:val="en-US" w:eastAsia="zh-CN"/>
                    </w:rPr>
                  </w:pPr>
                  <w:r>
                    <w:rPr>
                      <w:rFonts w:hint="eastAsia" w:cs="Times New Roman" w:eastAsiaTheme="minorEastAsia"/>
                      <w:color w:val="auto"/>
                      <w:spacing w:val="0"/>
                      <w:sz w:val="18"/>
                      <w:szCs w:val="18"/>
                      <w:highlight w:val="none"/>
                      <w:vertAlign w:val="baseline"/>
                      <w:lang w:val="en-US" w:eastAsia="zh-CN"/>
                    </w:rPr>
                    <w:t>1.65</w:t>
                  </w:r>
                </w:p>
              </w:tc>
              <w:tc>
                <w:tcPr>
                  <w:tcW w:w="62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sz w:val="18"/>
                      <w:szCs w:val="18"/>
                      <w:highlight w:val="none"/>
                      <w:vertAlign w:val="baseline"/>
                      <w:lang w:val="en-US" w:eastAsia="zh-CN"/>
                    </w:rPr>
                  </w:pPr>
                  <w:r>
                    <w:rPr>
                      <w:rFonts w:hint="eastAsia" w:cs="Times New Roman" w:eastAsiaTheme="minorEastAsia"/>
                      <w:color w:val="auto"/>
                      <w:spacing w:val="0"/>
                      <w:sz w:val="18"/>
                      <w:szCs w:val="18"/>
                      <w:highlight w:val="none"/>
                      <w:vertAlign w:val="baseline"/>
                      <w:lang w:val="en-US" w:eastAsia="zh-CN"/>
                    </w:rPr>
                    <w:t>处置率100%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jc w:val="center"/>
              </w:trPr>
              <w:tc>
                <w:tcPr>
                  <w:tcW w:w="62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eastAsiaTheme="minorEastAsia"/>
                      <w:color w:val="auto"/>
                      <w:spacing w:val="0"/>
                      <w:sz w:val="18"/>
                      <w:szCs w:val="18"/>
                      <w:highlight w:val="none"/>
                      <w:vertAlign w:val="baseline"/>
                      <w:lang w:val="en-US" w:eastAsia="zh-CN"/>
                    </w:rPr>
                  </w:pPr>
                  <w:r>
                    <w:rPr>
                      <w:rFonts w:hint="eastAsia" w:cs="Times New Roman" w:eastAsiaTheme="minorEastAsia"/>
                      <w:color w:val="auto"/>
                      <w:spacing w:val="0"/>
                      <w:sz w:val="18"/>
                      <w:szCs w:val="18"/>
                      <w:highlight w:val="none"/>
                      <w:vertAlign w:val="baseline"/>
                      <w:lang w:val="en-US" w:eastAsia="zh-CN"/>
                    </w:rPr>
                    <w:t>生产过程</w:t>
                  </w:r>
                </w:p>
              </w:tc>
              <w:tc>
                <w:tcPr>
                  <w:tcW w:w="676" w:type="dxa"/>
                  <w:tcBorders>
                    <w:tl2br w:val="nil"/>
                    <w:tr2bl w:val="nil"/>
                  </w:tcBorders>
                  <w:shd w:val="clear" w:color="auto" w:fill="auto"/>
                  <w:noWrap w:val="0"/>
                  <w:vAlign w:val="center"/>
                </w:tcPr>
                <w:p>
                  <w:pPr>
                    <w:pStyle w:val="34"/>
                    <w:bidi w:val="0"/>
                    <w:ind w:left="0" w:leftChars="0" w:firstLine="0" w:firstLineChars="0"/>
                    <w:jc w:val="center"/>
                    <w:rPr>
                      <w:rFonts w:hint="default" w:ascii="Times New Roman" w:hAnsi="Times New Roman" w:eastAsia="宋体" w:cstheme="minorBidi"/>
                      <w:color w:val="auto"/>
                      <w:kern w:val="2"/>
                      <w:sz w:val="18"/>
                      <w:szCs w:val="18"/>
                      <w:highlight w:val="none"/>
                      <w:lang w:val="en-US" w:eastAsia="zh-CN" w:bidi="ar-SA"/>
                    </w:rPr>
                  </w:pPr>
                  <w:r>
                    <w:rPr>
                      <w:rFonts w:hint="default"/>
                      <w:color w:val="auto"/>
                      <w:highlight w:val="none"/>
                    </w:rPr>
                    <w:t>废分子筛</w:t>
                  </w:r>
                </w:p>
              </w:tc>
              <w:tc>
                <w:tcPr>
                  <w:tcW w:w="4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pacing w:val="0"/>
                      <w:sz w:val="18"/>
                      <w:szCs w:val="18"/>
                      <w:highlight w:val="none"/>
                      <w:vertAlign w:val="baseline"/>
                      <w:lang w:val="en-US" w:eastAsia="zh-CN"/>
                    </w:rPr>
                  </w:pPr>
                  <w:r>
                    <w:rPr>
                      <w:rFonts w:hint="eastAsia" w:ascii="Times New Roman" w:hAnsi="Times New Roman" w:cs="Times New Roman" w:eastAsiaTheme="minorEastAsia"/>
                      <w:color w:val="auto"/>
                      <w:spacing w:val="0"/>
                      <w:sz w:val="18"/>
                      <w:szCs w:val="18"/>
                      <w:highlight w:val="none"/>
                      <w:vertAlign w:val="baseline"/>
                      <w:lang w:val="en-US" w:eastAsia="zh-CN"/>
                    </w:rPr>
                    <w:t>一般固废</w:t>
                  </w:r>
                </w:p>
              </w:tc>
              <w:tc>
                <w:tcPr>
                  <w:tcW w:w="8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sz w:val="18"/>
                      <w:szCs w:val="18"/>
                      <w:highlight w:val="none"/>
                      <w:vertAlign w:val="baseline"/>
                      <w:lang w:val="en-US" w:eastAsia="zh-CN"/>
                    </w:rPr>
                  </w:pPr>
                  <w:r>
                    <w:rPr>
                      <w:rFonts w:hint="default" w:ascii="Times New Roman" w:hAnsi="Times New Roman" w:cs="Times New Roman" w:eastAsiaTheme="minorEastAsia"/>
                      <w:color w:val="auto"/>
                      <w:spacing w:val="0"/>
                      <w:sz w:val="18"/>
                      <w:szCs w:val="18"/>
                      <w:highlight w:val="none"/>
                      <w:vertAlign w:val="baseline"/>
                      <w:lang w:val="en-US" w:eastAsia="zh-CN"/>
                    </w:rPr>
                    <w:t>900-005-S59</w:t>
                  </w:r>
                </w:p>
              </w:tc>
              <w:tc>
                <w:tcPr>
                  <w:tcW w:w="4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pacing w:val="0"/>
                      <w:sz w:val="18"/>
                      <w:szCs w:val="18"/>
                      <w:highlight w:val="none"/>
                      <w:vertAlign w:val="baseline"/>
                      <w:lang w:val="en-US" w:eastAsia="zh-CN"/>
                    </w:rPr>
                  </w:pPr>
                  <w:r>
                    <w:rPr>
                      <w:rFonts w:hint="eastAsia" w:ascii="Times New Roman" w:hAnsi="Times New Roman" w:cs="Times New Roman" w:eastAsiaTheme="minorEastAsia"/>
                      <w:color w:val="auto"/>
                      <w:spacing w:val="0"/>
                      <w:sz w:val="18"/>
                      <w:szCs w:val="18"/>
                      <w:highlight w:val="none"/>
                      <w:vertAlign w:val="baseline"/>
                      <w:lang w:val="en-US" w:eastAsia="zh-CN"/>
                    </w:rPr>
                    <w:t>固态</w:t>
                  </w:r>
                </w:p>
              </w:tc>
              <w:tc>
                <w:tcPr>
                  <w:tcW w:w="3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sz w:val="18"/>
                      <w:szCs w:val="18"/>
                      <w:highlight w:val="none"/>
                      <w:vertAlign w:val="baseline"/>
                      <w:lang w:val="en-US" w:eastAsia="zh-CN"/>
                    </w:rPr>
                  </w:pPr>
                  <w:r>
                    <w:rPr>
                      <w:rFonts w:hint="eastAsia" w:cs="Times New Roman" w:eastAsiaTheme="minorEastAsia"/>
                      <w:color w:val="auto"/>
                      <w:spacing w:val="0"/>
                      <w:sz w:val="18"/>
                      <w:szCs w:val="18"/>
                      <w:highlight w:val="none"/>
                      <w:vertAlign w:val="baseline"/>
                      <w:lang w:val="en-US" w:eastAsia="zh-CN"/>
                    </w:rPr>
                    <w:t>/</w:t>
                  </w:r>
                </w:p>
              </w:tc>
              <w:tc>
                <w:tcPr>
                  <w:tcW w:w="643" w:type="dxa"/>
                  <w:tcBorders>
                    <w:tl2br w:val="nil"/>
                    <w:tr2bl w:val="nil"/>
                  </w:tcBorders>
                  <w:noWrap w:val="0"/>
                  <w:vAlign w:val="center"/>
                </w:tcPr>
                <w:p>
                  <w:pPr>
                    <w:pStyle w:val="34"/>
                    <w:bidi w:val="0"/>
                    <w:ind w:left="0" w:leftChars="0" w:firstLine="0" w:firstLineChars="0"/>
                    <w:jc w:val="center"/>
                    <w:rPr>
                      <w:rFonts w:hint="default" w:cs="Times New Roman" w:eastAsiaTheme="minorEastAsia"/>
                      <w:color w:val="auto"/>
                      <w:spacing w:val="0"/>
                      <w:sz w:val="18"/>
                      <w:szCs w:val="18"/>
                      <w:highlight w:val="none"/>
                      <w:vertAlign w:val="baseline"/>
                      <w:lang w:val="en-US" w:eastAsia="zh-CN"/>
                    </w:rPr>
                  </w:pPr>
                  <w:r>
                    <w:rPr>
                      <w:rFonts w:hint="eastAsia"/>
                      <w:color w:val="auto"/>
                      <w:highlight w:val="none"/>
                      <w:lang w:val="en-US" w:eastAsia="zh-CN"/>
                    </w:rPr>
                    <w:t>12</w:t>
                  </w:r>
                </w:p>
              </w:tc>
              <w:tc>
                <w:tcPr>
                  <w:tcW w:w="6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sz w:val="18"/>
                      <w:szCs w:val="18"/>
                      <w:highlight w:val="none"/>
                      <w:vertAlign w:val="baseline"/>
                      <w:lang w:val="en-US" w:eastAsia="zh-CN"/>
                    </w:rPr>
                  </w:pPr>
                  <w:r>
                    <w:rPr>
                      <w:rFonts w:hint="eastAsia" w:cs="Times New Roman" w:eastAsiaTheme="minorEastAsia"/>
                      <w:color w:val="auto"/>
                      <w:spacing w:val="0"/>
                      <w:sz w:val="18"/>
                      <w:szCs w:val="18"/>
                      <w:highlight w:val="none"/>
                      <w:vertAlign w:val="baseline"/>
                      <w:lang w:val="en-US" w:eastAsia="zh-CN"/>
                    </w:rPr>
                    <w:t>不在厂区暂存</w:t>
                  </w:r>
                </w:p>
              </w:tc>
              <w:tc>
                <w:tcPr>
                  <w:tcW w:w="18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pacing w:val="0"/>
                      <w:sz w:val="18"/>
                      <w:szCs w:val="18"/>
                      <w:highlight w:val="none"/>
                      <w:vertAlign w:val="baseline"/>
                      <w:lang w:val="en-US" w:eastAsia="zh-CN"/>
                    </w:rPr>
                  </w:pPr>
                  <w:r>
                    <w:rPr>
                      <w:rFonts w:hint="eastAsia" w:ascii="Times New Roman" w:hAnsi="Times New Roman" w:cs="Times New Roman" w:eastAsiaTheme="minorEastAsia"/>
                      <w:color w:val="auto"/>
                      <w:spacing w:val="0"/>
                      <w:sz w:val="18"/>
                      <w:szCs w:val="18"/>
                      <w:highlight w:val="none"/>
                      <w:vertAlign w:val="baseline"/>
                      <w:lang w:val="en-US" w:eastAsia="zh-CN"/>
                    </w:rPr>
                    <w:t>更换</w:t>
                  </w:r>
                  <w:r>
                    <w:rPr>
                      <w:rFonts w:hint="eastAsia" w:cs="Times New Roman" w:eastAsiaTheme="minorEastAsia"/>
                      <w:color w:val="auto"/>
                      <w:spacing w:val="0"/>
                      <w:sz w:val="18"/>
                      <w:szCs w:val="18"/>
                      <w:highlight w:val="none"/>
                      <w:vertAlign w:val="baseline"/>
                      <w:lang w:val="en-US" w:eastAsia="zh-CN"/>
                    </w:rPr>
                    <w:t>时</w:t>
                  </w:r>
                  <w:r>
                    <w:rPr>
                      <w:rFonts w:hint="eastAsia" w:ascii="Times New Roman" w:hAnsi="Times New Roman" w:cs="Times New Roman" w:eastAsiaTheme="minorEastAsia"/>
                      <w:color w:val="auto"/>
                      <w:spacing w:val="0"/>
                      <w:sz w:val="18"/>
                      <w:szCs w:val="18"/>
                      <w:highlight w:val="none"/>
                      <w:vertAlign w:val="baseline"/>
                      <w:lang w:val="en-US" w:eastAsia="zh-CN"/>
                    </w:rPr>
                    <w:t>由厂家自行带走处置，不在厂区内贮存</w:t>
                  </w:r>
                </w:p>
              </w:tc>
              <w:tc>
                <w:tcPr>
                  <w:tcW w:w="675" w:type="dxa"/>
                  <w:tcBorders>
                    <w:tl2br w:val="nil"/>
                    <w:tr2bl w:val="nil"/>
                  </w:tcBorders>
                  <w:shd w:val="clear" w:color="auto" w:fill="auto"/>
                  <w:noWrap w:val="0"/>
                  <w:vAlign w:val="center"/>
                </w:tcPr>
                <w:p>
                  <w:pPr>
                    <w:pStyle w:val="34"/>
                    <w:bidi w:val="0"/>
                    <w:ind w:left="0" w:leftChars="0" w:firstLine="0" w:firstLineChars="0"/>
                    <w:jc w:val="center"/>
                    <w:rPr>
                      <w:rFonts w:hint="default" w:ascii="Times New Roman" w:hAnsi="Times New Roman" w:cs="Times New Roman" w:eastAsiaTheme="minorEastAsia"/>
                      <w:color w:val="auto"/>
                      <w:spacing w:val="0"/>
                      <w:kern w:val="2"/>
                      <w:sz w:val="18"/>
                      <w:szCs w:val="18"/>
                      <w:highlight w:val="none"/>
                      <w:vertAlign w:val="baseline"/>
                      <w:lang w:val="en-US" w:eastAsia="zh-CN" w:bidi="ar-SA"/>
                    </w:rPr>
                  </w:pPr>
                  <w:r>
                    <w:rPr>
                      <w:rFonts w:hint="eastAsia"/>
                      <w:color w:val="auto"/>
                      <w:highlight w:val="none"/>
                      <w:lang w:val="en-US" w:eastAsia="zh-CN"/>
                    </w:rPr>
                    <w:t>12</w:t>
                  </w:r>
                </w:p>
              </w:tc>
              <w:tc>
                <w:tcPr>
                  <w:tcW w:w="62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pacing w:val="0"/>
                      <w:sz w:val="18"/>
                      <w:szCs w:val="18"/>
                      <w:highlight w:val="none"/>
                      <w:vertAlign w:val="baseli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jc w:val="center"/>
              </w:trPr>
              <w:tc>
                <w:tcPr>
                  <w:tcW w:w="62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eastAsiaTheme="minorEastAsia"/>
                      <w:color w:val="auto"/>
                      <w:spacing w:val="0"/>
                      <w:sz w:val="18"/>
                      <w:szCs w:val="18"/>
                      <w:highlight w:val="none"/>
                      <w:vertAlign w:val="baseline"/>
                      <w:lang w:val="en-US" w:eastAsia="zh-CN"/>
                    </w:rPr>
                  </w:pPr>
                </w:p>
              </w:tc>
              <w:tc>
                <w:tcPr>
                  <w:tcW w:w="676" w:type="dxa"/>
                  <w:tcBorders>
                    <w:tl2br w:val="nil"/>
                    <w:tr2bl w:val="nil"/>
                  </w:tcBorders>
                  <w:shd w:val="clear" w:color="auto" w:fill="auto"/>
                  <w:noWrap w:val="0"/>
                  <w:vAlign w:val="center"/>
                </w:tcPr>
                <w:p>
                  <w:pPr>
                    <w:pStyle w:val="34"/>
                    <w:bidi w:val="0"/>
                    <w:ind w:left="0" w:leftChars="0" w:firstLine="0" w:firstLineChars="0"/>
                    <w:jc w:val="center"/>
                    <w:rPr>
                      <w:rFonts w:hint="default" w:ascii="Times New Roman" w:hAnsi="Times New Roman" w:eastAsia="宋体" w:cstheme="minorBidi"/>
                      <w:color w:val="auto"/>
                      <w:kern w:val="2"/>
                      <w:sz w:val="18"/>
                      <w:szCs w:val="18"/>
                      <w:highlight w:val="none"/>
                      <w:lang w:val="en-US" w:eastAsia="zh-CN" w:bidi="ar-SA"/>
                    </w:rPr>
                  </w:pPr>
                  <w:r>
                    <w:rPr>
                      <w:rFonts w:hint="eastAsia"/>
                      <w:color w:val="auto"/>
                      <w:highlight w:val="none"/>
                      <w:lang w:val="en-US" w:eastAsia="zh-CN"/>
                    </w:rPr>
                    <w:t>废氧化铝</w:t>
                  </w:r>
                </w:p>
              </w:tc>
              <w:tc>
                <w:tcPr>
                  <w:tcW w:w="4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pacing w:val="0"/>
                      <w:sz w:val="18"/>
                      <w:szCs w:val="18"/>
                      <w:highlight w:val="none"/>
                      <w:vertAlign w:val="baseline"/>
                      <w:lang w:val="en-US" w:eastAsia="zh-CN"/>
                    </w:rPr>
                  </w:pPr>
                  <w:r>
                    <w:rPr>
                      <w:rFonts w:hint="eastAsia" w:ascii="Times New Roman" w:hAnsi="Times New Roman" w:cs="Times New Roman" w:eastAsiaTheme="minorEastAsia"/>
                      <w:color w:val="auto"/>
                      <w:spacing w:val="0"/>
                      <w:sz w:val="18"/>
                      <w:szCs w:val="18"/>
                      <w:highlight w:val="none"/>
                      <w:vertAlign w:val="baseline"/>
                      <w:lang w:val="en-US" w:eastAsia="zh-CN"/>
                    </w:rPr>
                    <w:t>一般固废</w:t>
                  </w:r>
                </w:p>
              </w:tc>
              <w:tc>
                <w:tcPr>
                  <w:tcW w:w="8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eastAsiaTheme="minorEastAsia"/>
                      <w:color w:val="auto"/>
                      <w:spacing w:val="0"/>
                      <w:sz w:val="18"/>
                      <w:szCs w:val="18"/>
                      <w:highlight w:val="none"/>
                      <w:vertAlign w:val="baseline"/>
                      <w:lang w:val="en-US" w:eastAsia="zh-CN"/>
                    </w:rPr>
                  </w:pPr>
                  <w:r>
                    <w:rPr>
                      <w:rFonts w:hint="default" w:cs="Times New Roman" w:eastAsiaTheme="minorEastAsia"/>
                      <w:color w:val="auto"/>
                      <w:spacing w:val="0"/>
                      <w:sz w:val="18"/>
                      <w:szCs w:val="18"/>
                      <w:highlight w:val="none"/>
                      <w:vertAlign w:val="baseline"/>
                      <w:lang w:val="en-US" w:eastAsia="zh-CN"/>
                    </w:rPr>
                    <w:t>900-008-S59</w:t>
                  </w:r>
                </w:p>
              </w:tc>
              <w:tc>
                <w:tcPr>
                  <w:tcW w:w="4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sz w:val="18"/>
                      <w:szCs w:val="18"/>
                      <w:highlight w:val="none"/>
                      <w:vertAlign w:val="baseline"/>
                      <w:lang w:val="en-US" w:eastAsia="zh-CN"/>
                    </w:rPr>
                  </w:pPr>
                  <w:r>
                    <w:rPr>
                      <w:rFonts w:hint="eastAsia" w:cs="Times New Roman" w:eastAsiaTheme="minorEastAsia"/>
                      <w:color w:val="auto"/>
                      <w:spacing w:val="0"/>
                      <w:sz w:val="18"/>
                      <w:szCs w:val="18"/>
                      <w:highlight w:val="none"/>
                      <w:vertAlign w:val="baseline"/>
                      <w:lang w:val="en-US" w:eastAsia="zh-CN"/>
                    </w:rPr>
                    <w:t>固态</w:t>
                  </w:r>
                </w:p>
              </w:tc>
              <w:tc>
                <w:tcPr>
                  <w:tcW w:w="3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eastAsiaTheme="minorEastAsia"/>
                      <w:color w:val="auto"/>
                      <w:spacing w:val="0"/>
                      <w:sz w:val="18"/>
                      <w:szCs w:val="18"/>
                      <w:highlight w:val="none"/>
                      <w:vertAlign w:val="baseline"/>
                      <w:lang w:val="en-US" w:eastAsia="zh-CN"/>
                    </w:rPr>
                  </w:pPr>
                  <w:r>
                    <w:rPr>
                      <w:rFonts w:hint="eastAsia" w:cs="Times New Roman" w:eastAsiaTheme="minorEastAsia"/>
                      <w:color w:val="auto"/>
                      <w:spacing w:val="0"/>
                      <w:sz w:val="18"/>
                      <w:szCs w:val="18"/>
                      <w:highlight w:val="none"/>
                      <w:vertAlign w:val="baseline"/>
                      <w:lang w:val="en-US" w:eastAsia="zh-CN"/>
                    </w:rPr>
                    <w:t>/</w:t>
                  </w:r>
                </w:p>
              </w:tc>
              <w:tc>
                <w:tcPr>
                  <w:tcW w:w="643" w:type="dxa"/>
                  <w:tcBorders>
                    <w:tl2br w:val="nil"/>
                    <w:tr2bl w:val="nil"/>
                  </w:tcBorders>
                  <w:noWrap w:val="0"/>
                  <w:vAlign w:val="center"/>
                </w:tcPr>
                <w:p>
                  <w:pPr>
                    <w:pStyle w:val="34"/>
                    <w:bidi w:val="0"/>
                    <w:ind w:left="0" w:leftChars="0" w:firstLine="0" w:firstLineChars="0"/>
                    <w:jc w:val="center"/>
                    <w:rPr>
                      <w:rFonts w:hint="default" w:cs="Times New Roman" w:eastAsiaTheme="minorEastAsia"/>
                      <w:color w:val="auto"/>
                      <w:spacing w:val="0"/>
                      <w:sz w:val="18"/>
                      <w:szCs w:val="18"/>
                      <w:highlight w:val="none"/>
                      <w:vertAlign w:val="baseline"/>
                      <w:lang w:val="en-US" w:eastAsia="zh-CN"/>
                    </w:rPr>
                  </w:pPr>
                  <w:r>
                    <w:rPr>
                      <w:rFonts w:hint="eastAsia"/>
                      <w:color w:val="auto"/>
                      <w:highlight w:val="none"/>
                      <w:lang w:val="en-US" w:eastAsia="zh-CN"/>
                    </w:rPr>
                    <w:t>3.5</w:t>
                  </w:r>
                </w:p>
              </w:tc>
              <w:tc>
                <w:tcPr>
                  <w:tcW w:w="6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sz w:val="18"/>
                      <w:szCs w:val="18"/>
                      <w:highlight w:val="none"/>
                      <w:vertAlign w:val="baseline"/>
                      <w:lang w:val="en-US" w:eastAsia="zh-CN"/>
                    </w:rPr>
                  </w:pPr>
                  <w:r>
                    <w:rPr>
                      <w:rFonts w:hint="eastAsia" w:cs="Times New Roman" w:eastAsiaTheme="minorEastAsia"/>
                      <w:color w:val="auto"/>
                      <w:spacing w:val="0"/>
                      <w:sz w:val="18"/>
                      <w:szCs w:val="18"/>
                      <w:highlight w:val="none"/>
                      <w:vertAlign w:val="baseline"/>
                      <w:lang w:val="en-US" w:eastAsia="zh-CN"/>
                    </w:rPr>
                    <w:t>不在厂区暂存</w:t>
                  </w:r>
                </w:p>
              </w:tc>
              <w:tc>
                <w:tcPr>
                  <w:tcW w:w="18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sz w:val="18"/>
                      <w:szCs w:val="18"/>
                      <w:highlight w:val="none"/>
                      <w:vertAlign w:val="baseline"/>
                      <w:lang w:val="en-US" w:eastAsia="zh-CN"/>
                    </w:rPr>
                  </w:pPr>
                  <w:r>
                    <w:rPr>
                      <w:rFonts w:hint="eastAsia" w:ascii="Times New Roman" w:hAnsi="Times New Roman" w:cs="Times New Roman" w:eastAsiaTheme="minorEastAsia"/>
                      <w:color w:val="auto"/>
                      <w:spacing w:val="0"/>
                      <w:sz w:val="18"/>
                      <w:szCs w:val="18"/>
                      <w:highlight w:val="none"/>
                      <w:vertAlign w:val="baseline"/>
                      <w:lang w:val="en-US" w:eastAsia="zh-CN"/>
                    </w:rPr>
                    <w:t>更换</w:t>
                  </w:r>
                  <w:r>
                    <w:rPr>
                      <w:rFonts w:hint="eastAsia" w:cs="Times New Roman" w:eastAsiaTheme="minorEastAsia"/>
                      <w:color w:val="auto"/>
                      <w:spacing w:val="0"/>
                      <w:sz w:val="18"/>
                      <w:szCs w:val="18"/>
                      <w:highlight w:val="none"/>
                      <w:vertAlign w:val="baseline"/>
                      <w:lang w:val="en-US" w:eastAsia="zh-CN"/>
                    </w:rPr>
                    <w:t>时</w:t>
                  </w:r>
                  <w:r>
                    <w:rPr>
                      <w:rFonts w:hint="eastAsia" w:ascii="Times New Roman" w:hAnsi="Times New Roman" w:cs="Times New Roman" w:eastAsiaTheme="minorEastAsia"/>
                      <w:color w:val="auto"/>
                      <w:spacing w:val="0"/>
                      <w:sz w:val="18"/>
                      <w:szCs w:val="18"/>
                      <w:highlight w:val="none"/>
                      <w:vertAlign w:val="baseline"/>
                      <w:lang w:val="en-US" w:eastAsia="zh-CN"/>
                    </w:rPr>
                    <w:t>由厂家自行带走处置，不在厂区内贮存</w:t>
                  </w:r>
                </w:p>
              </w:tc>
              <w:tc>
                <w:tcPr>
                  <w:tcW w:w="675" w:type="dxa"/>
                  <w:tcBorders>
                    <w:tl2br w:val="nil"/>
                    <w:tr2bl w:val="nil"/>
                  </w:tcBorders>
                  <w:shd w:val="clear" w:color="auto" w:fill="auto"/>
                  <w:noWrap w:val="0"/>
                  <w:vAlign w:val="center"/>
                </w:tcPr>
                <w:p>
                  <w:pPr>
                    <w:pStyle w:val="34"/>
                    <w:bidi w:val="0"/>
                    <w:ind w:left="0" w:leftChars="0" w:firstLine="0" w:firstLineChars="0"/>
                    <w:jc w:val="center"/>
                    <w:rPr>
                      <w:rFonts w:hint="default" w:ascii="Times New Roman" w:hAnsi="Times New Roman" w:cs="Times New Roman" w:eastAsiaTheme="minorEastAsia"/>
                      <w:color w:val="auto"/>
                      <w:spacing w:val="0"/>
                      <w:kern w:val="2"/>
                      <w:sz w:val="18"/>
                      <w:szCs w:val="18"/>
                      <w:highlight w:val="none"/>
                      <w:vertAlign w:val="baseline"/>
                      <w:lang w:val="en-US" w:eastAsia="zh-CN" w:bidi="ar-SA"/>
                    </w:rPr>
                  </w:pPr>
                  <w:r>
                    <w:rPr>
                      <w:rFonts w:hint="eastAsia"/>
                      <w:color w:val="auto"/>
                      <w:highlight w:val="none"/>
                      <w:lang w:val="en-US" w:eastAsia="zh-CN"/>
                    </w:rPr>
                    <w:t>3.5</w:t>
                  </w:r>
                </w:p>
              </w:tc>
              <w:tc>
                <w:tcPr>
                  <w:tcW w:w="62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sz w:val="18"/>
                      <w:szCs w:val="18"/>
                      <w:highlight w:val="none"/>
                      <w:vertAlign w:val="baseli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jc w:val="center"/>
              </w:trPr>
              <w:tc>
                <w:tcPr>
                  <w:tcW w:w="62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eastAsiaTheme="minorEastAsia"/>
                      <w:color w:val="auto"/>
                      <w:spacing w:val="0"/>
                      <w:sz w:val="18"/>
                      <w:szCs w:val="18"/>
                      <w:highlight w:val="none"/>
                      <w:vertAlign w:val="baseline"/>
                      <w:lang w:val="en-US" w:eastAsia="zh-CN"/>
                    </w:rPr>
                  </w:pPr>
                </w:p>
              </w:tc>
              <w:tc>
                <w:tcPr>
                  <w:tcW w:w="676" w:type="dxa"/>
                  <w:tcBorders>
                    <w:tl2br w:val="nil"/>
                    <w:tr2bl w:val="nil"/>
                  </w:tcBorders>
                  <w:shd w:val="clear" w:color="auto" w:fill="auto"/>
                  <w:noWrap w:val="0"/>
                  <w:vAlign w:val="center"/>
                </w:tcPr>
                <w:p>
                  <w:pPr>
                    <w:pStyle w:val="34"/>
                    <w:bidi w:val="0"/>
                    <w:ind w:left="0" w:leftChars="0" w:firstLine="0" w:firstLineChars="0"/>
                    <w:jc w:val="center"/>
                    <w:rPr>
                      <w:rFonts w:hint="eastAsia" w:ascii="Times New Roman" w:hAnsi="Times New Roman" w:eastAsia="宋体" w:cstheme="minorBidi"/>
                      <w:color w:val="auto"/>
                      <w:kern w:val="2"/>
                      <w:sz w:val="18"/>
                      <w:szCs w:val="18"/>
                      <w:highlight w:val="none"/>
                      <w:lang w:val="en-US" w:eastAsia="zh-CN" w:bidi="ar-SA"/>
                    </w:rPr>
                  </w:pPr>
                  <w:r>
                    <w:rPr>
                      <w:rFonts w:hint="eastAsia"/>
                      <w:color w:val="auto"/>
                      <w:highlight w:val="none"/>
                      <w:lang w:val="en-US" w:eastAsia="zh-CN"/>
                    </w:rPr>
                    <w:t>废滤芯</w:t>
                  </w:r>
                </w:p>
              </w:tc>
              <w:tc>
                <w:tcPr>
                  <w:tcW w:w="4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pacing w:val="0"/>
                      <w:sz w:val="18"/>
                      <w:szCs w:val="18"/>
                      <w:highlight w:val="none"/>
                      <w:vertAlign w:val="baseline"/>
                      <w:lang w:val="en-US" w:eastAsia="zh-CN"/>
                    </w:rPr>
                  </w:pPr>
                  <w:r>
                    <w:rPr>
                      <w:rFonts w:hint="eastAsia" w:ascii="Times New Roman" w:hAnsi="Times New Roman" w:cs="Times New Roman" w:eastAsiaTheme="minorEastAsia"/>
                      <w:color w:val="auto"/>
                      <w:spacing w:val="0"/>
                      <w:sz w:val="18"/>
                      <w:szCs w:val="18"/>
                      <w:highlight w:val="none"/>
                      <w:vertAlign w:val="baseline"/>
                      <w:lang w:val="en-US" w:eastAsia="zh-CN"/>
                    </w:rPr>
                    <w:t>一般固废</w:t>
                  </w:r>
                </w:p>
              </w:tc>
              <w:tc>
                <w:tcPr>
                  <w:tcW w:w="8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eastAsiaTheme="minorEastAsia"/>
                      <w:color w:val="auto"/>
                      <w:spacing w:val="0"/>
                      <w:sz w:val="18"/>
                      <w:szCs w:val="18"/>
                      <w:highlight w:val="none"/>
                      <w:vertAlign w:val="baseline"/>
                      <w:lang w:val="en-US" w:eastAsia="zh-CN"/>
                    </w:rPr>
                  </w:pPr>
                  <w:r>
                    <w:rPr>
                      <w:rFonts w:hint="eastAsia" w:cs="Times New Roman" w:eastAsiaTheme="minorEastAsia"/>
                      <w:color w:val="auto"/>
                      <w:spacing w:val="0"/>
                      <w:sz w:val="18"/>
                      <w:szCs w:val="18"/>
                      <w:highlight w:val="none"/>
                      <w:vertAlign w:val="baseline"/>
                      <w:lang w:val="en-US" w:eastAsia="zh-CN"/>
                    </w:rPr>
                    <w:t>900-009-S59</w:t>
                  </w:r>
                </w:p>
              </w:tc>
              <w:tc>
                <w:tcPr>
                  <w:tcW w:w="4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eastAsiaTheme="minorEastAsia"/>
                      <w:color w:val="auto"/>
                      <w:spacing w:val="0"/>
                      <w:sz w:val="18"/>
                      <w:szCs w:val="18"/>
                      <w:highlight w:val="none"/>
                      <w:vertAlign w:val="baseline"/>
                      <w:lang w:val="en-US" w:eastAsia="zh-CN"/>
                    </w:rPr>
                  </w:pPr>
                  <w:r>
                    <w:rPr>
                      <w:rFonts w:hint="eastAsia" w:cs="Times New Roman" w:eastAsiaTheme="minorEastAsia"/>
                      <w:color w:val="auto"/>
                      <w:spacing w:val="0"/>
                      <w:sz w:val="18"/>
                      <w:szCs w:val="18"/>
                      <w:highlight w:val="none"/>
                      <w:vertAlign w:val="baseline"/>
                      <w:lang w:val="en-US" w:eastAsia="zh-CN"/>
                    </w:rPr>
                    <w:t>固态</w:t>
                  </w:r>
                </w:p>
              </w:tc>
              <w:tc>
                <w:tcPr>
                  <w:tcW w:w="3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eastAsiaTheme="minorEastAsia"/>
                      <w:color w:val="auto"/>
                      <w:spacing w:val="0"/>
                      <w:sz w:val="18"/>
                      <w:szCs w:val="18"/>
                      <w:highlight w:val="none"/>
                      <w:vertAlign w:val="baseline"/>
                      <w:lang w:val="en-US" w:eastAsia="zh-CN"/>
                    </w:rPr>
                  </w:pPr>
                  <w:r>
                    <w:rPr>
                      <w:rFonts w:hint="eastAsia" w:cs="Times New Roman" w:eastAsiaTheme="minorEastAsia"/>
                      <w:color w:val="auto"/>
                      <w:spacing w:val="0"/>
                      <w:sz w:val="18"/>
                      <w:szCs w:val="18"/>
                      <w:highlight w:val="none"/>
                      <w:vertAlign w:val="baseline"/>
                      <w:lang w:val="en-US" w:eastAsia="zh-CN"/>
                    </w:rPr>
                    <w:t>/</w:t>
                  </w:r>
                </w:p>
              </w:tc>
              <w:tc>
                <w:tcPr>
                  <w:tcW w:w="643" w:type="dxa"/>
                  <w:tcBorders>
                    <w:tl2br w:val="nil"/>
                    <w:tr2bl w:val="nil"/>
                  </w:tcBorders>
                  <w:noWrap w:val="0"/>
                  <w:vAlign w:val="center"/>
                </w:tcPr>
                <w:p>
                  <w:pPr>
                    <w:pStyle w:val="34"/>
                    <w:bidi w:val="0"/>
                    <w:ind w:left="0" w:leftChars="0" w:firstLine="0" w:firstLineChars="0"/>
                    <w:jc w:val="center"/>
                    <w:rPr>
                      <w:rFonts w:hint="default" w:cs="Times New Roman" w:eastAsiaTheme="minorEastAsia"/>
                      <w:color w:val="auto"/>
                      <w:spacing w:val="0"/>
                      <w:sz w:val="18"/>
                      <w:szCs w:val="18"/>
                      <w:highlight w:val="none"/>
                      <w:vertAlign w:val="baseline"/>
                      <w:lang w:val="en-US" w:eastAsia="zh-CN"/>
                    </w:rPr>
                  </w:pPr>
                  <w:r>
                    <w:rPr>
                      <w:rFonts w:hint="eastAsia"/>
                      <w:color w:val="auto"/>
                      <w:highlight w:val="none"/>
                      <w:lang w:val="en-US" w:eastAsia="zh-CN"/>
                    </w:rPr>
                    <w:t>0.85</w:t>
                  </w:r>
                </w:p>
              </w:tc>
              <w:tc>
                <w:tcPr>
                  <w:tcW w:w="6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eastAsiaTheme="minorEastAsia"/>
                      <w:color w:val="auto"/>
                      <w:spacing w:val="0"/>
                      <w:sz w:val="18"/>
                      <w:szCs w:val="18"/>
                      <w:highlight w:val="none"/>
                      <w:vertAlign w:val="baseline"/>
                      <w:lang w:val="en-US" w:eastAsia="zh-CN"/>
                    </w:rPr>
                  </w:pPr>
                  <w:r>
                    <w:rPr>
                      <w:rFonts w:hint="eastAsia" w:cs="Times New Roman" w:eastAsiaTheme="minorEastAsia"/>
                      <w:color w:val="auto"/>
                      <w:spacing w:val="0"/>
                      <w:sz w:val="18"/>
                      <w:szCs w:val="18"/>
                      <w:highlight w:val="none"/>
                      <w:vertAlign w:val="baseline"/>
                      <w:lang w:val="en-US" w:eastAsia="zh-CN"/>
                    </w:rPr>
                    <w:t>不在厂区暂存</w:t>
                  </w:r>
                </w:p>
              </w:tc>
              <w:tc>
                <w:tcPr>
                  <w:tcW w:w="18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eastAsiaTheme="minorEastAsia"/>
                      <w:color w:val="auto"/>
                      <w:spacing w:val="0"/>
                      <w:sz w:val="18"/>
                      <w:szCs w:val="18"/>
                      <w:highlight w:val="none"/>
                      <w:vertAlign w:val="baseline"/>
                      <w:lang w:val="en-US" w:eastAsia="zh-CN"/>
                    </w:rPr>
                  </w:pPr>
                  <w:r>
                    <w:rPr>
                      <w:rFonts w:hint="eastAsia" w:ascii="Times New Roman" w:hAnsi="Times New Roman" w:cs="Times New Roman" w:eastAsiaTheme="minorEastAsia"/>
                      <w:color w:val="auto"/>
                      <w:spacing w:val="0"/>
                      <w:sz w:val="18"/>
                      <w:szCs w:val="18"/>
                      <w:highlight w:val="none"/>
                      <w:vertAlign w:val="baseline"/>
                      <w:lang w:val="en-US" w:eastAsia="zh-CN"/>
                    </w:rPr>
                    <w:t>更换</w:t>
                  </w:r>
                  <w:r>
                    <w:rPr>
                      <w:rFonts w:hint="eastAsia" w:cs="Times New Roman" w:eastAsiaTheme="minorEastAsia"/>
                      <w:color w:val="auto"/>
                      <w:spacing w:val="0"/>
                      <w:sz w:val="18"/>
                      <w:szCs w:val="18"/>
                      <w:highlight w:val="none"/>
                      <w:vertAlign w:val="baseline"/>
                      <w:lang w:val="en-US" w:eastAsia="zh-CN"/>
                    </w:rPr>
                    <w:t>时</w:t>
                  </w:r>
                  <w:r>
                    <w:rPr>
                      <w:rFonts w:hint="eastAsia" w:ascii="Times New Roman" w:hAnsi="Times New Roman" w:cs="Times New Roman" w:eastAsiaTheme="minorEastAsia"/>
                      <w:color w:val="auto"/>
                      <w:spacing w:val="0"/>
                      <w:sz w:val="18"/>
                      <w:szCs w:val="18"/>
                      <w:highlight w:val="none"/>
                      <w:vertAlign w:val="baseline"/>
                      <w:lang w:val="en-US" w:eastAsia="zh-CN"/>
                    </w:rPr>
                    <w:t>由厂家自行带走处置，不在厂区内贮存</w:t>
                  </w:r>
                </w:p>
              </w:tc>
              <w:tc>
                <w:tcPr>
                  <w:tcW w:w="675" w:type="dxa"/>
                  <w:tcBorders>
                    <w:tl2br w:val="nil"/>
                    <w:tr2bl w:val="nil"/>
                  </w:tcBorders>
                  <w:shd w:val="clear" w:color="auto" w:fill="auto"/>
                  <w:noWrap w:val="0"/>
                  <w:vAlign w:val="center"/>
                </w:tcPr>
                <w:p>
                  <w:pPr>
                    <w:pStyle w:val="34"/>
                    <w:bidi w:val="0"/>
                    <w:ind w:left="0" w:leftChars="0" w:firstLine="0" w:firstLineChars="0"/>
                    <w:jc w:val="center"/>
                    <w:rPr>
                      <w:rFonts w:hint="default" w:ascii="Times New Roman" w:hAnsi="Times New Roman" w:cs="Times New Roman" w:eastAsiaTheme="minorEastAsia"/>
                      <w:color w:val="auto"/>
                      <w:spacing w:val="0"/>
                      <w:kern w:val="2"/>
                      <w:sz w:val="18"/>
                      <w:szCs w:val="18"/>
                      <w:highlight w:val="none"/>
                      <w:vertAlign w:val="baseline"/>
                      <w:lang w:val="en-US" w:eastAsia="zh-CN" w:bidi="ar-SA"/>
                    </w:rPr>
                  </w:pPr>
                  <w:r>
                    <w:rPr>
                      <w:rFonts w:hint="eastAsia"/>
                      <w:color w:val="auto"/>
                      <w:highlight w:val="none"/>
                      <w:lang w:val="en-US" w:eastAsia="zh-CN"/>
                    </w:rPr>
                    <w:t>0.85</w:t>
                  </w:r>
                </w:p>
              </w:tc>
              <w:tc>
                <w:tcPr>
                  <w:tcW w:w="62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eastAsiaTheme="minorEastAsia"/>
                      <w:color w:val="auto"/>
                      <w:spacing w:val="0"/>
                      <w:sz w:val="18"/>
                      <w:szCs w:val="18"/>
                      <w:highlight w:val="none"/>
                      <w:vertAlign w:val="baseli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jc w:val="center"/>
              </w:trPr>
              <w:tc>
                <w:tcPr>
                  <w:tcW w:w="62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eastAsiaTheme="minorEastAsia"/>
                      <w:color w:val="auto"/>
                      <w:spacing w:val="0"/>
                      <w:sz w:val="18"/>
                      <w:szCs w:val="18"/>
                      <w:highlight w:val="none"/>
                      <w:vertAlign w:val="baseline"/>
                      <w:lang w:val="en-US" w:eastAsia="zh-CN"/>
                    </w:rPr>
                  </w:pPr>
                  <w:r>
                    <w:rPr>
                      <w:rFonts w:hint="eastAsia" w:cs="Times New Roman" w:eastAsiaTheme="minorEastAsia"/>
                      <w:color w:val="auto"/>
                      <w:spacing w:val="0"/>
                      <w:sz w:val="18"/>
                      <w:szCs w:val="18"/>
                      <w:highlight w:val="none"/>
                      <w:vertAlign w:val="baseline"/>
                      <w:lang w:val="en-US" w:eastAsia="zh-CN"/>
                    </w:rPr>
                    <w:t>设备维修</w:t>
                  </w:r>
                </w:p>
              </w:tc>
              <w:tc>
                <w:tcPr>
                  <w:tcW w:w="6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eastAsiaTheme="minorEastAsia"/>
                      <w:color w:val="auto"/>
                      <w:spacing w:val="0"/>
                      <w:sz w:val="18"/>
                      <w:szCs w:val="18"/>
                      <w:highlight w:val="none"/>
                      <w:vertAlign w:val="baseline"/>
                      <w:lang w:val="en-US" w:eastAsia="zh-CN"/>
                    </w:rPr>
                  </w:pPr>
                  <w:r>
                    <w:rPr>
                      <w:rFonts w:hint="eastAsia" w:cs="Times New Roman" w:eastAsiaTheme="minorEastAsia"/>
                      <w:color w:val="auto"/>
                      <w:spacing w:val="0"/>
                      <w:sz w:val="18"/>
                      <w:szCs w:val="18"/>
                      <w:highlight w:val="none"/>
                      <w:vertAlign w:val="baseline"/>
                      <w:lang w:val="en-US" w:eastAsia="zh-CN"/>
                    </w:rPr>
                    <w:t>废润滑油</w:t>
                  </w:r>
                </w:p>
              </w:tc>
              <w:tc>
                <w:tcPr>
                  <w:tcW w:w="4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pacing w:val="0"/>
                      <w:sz w:val="18"/>
                      <w:szCs w:val="18"/>
                      <w:highlight w:val="none"/>
                      <w:vertAlign w:val="baseline"/>
                      <w:lang w:val="en-US" w:eastAsia="zh-CN"/>
                    </w:rPr>
                  </w:pPr>
                  <w:r>
                    <w:rPr>
                      <w:rFonts w:hint="eastAsia" w:cs="Times New Roman" w:eastAsiaTheme="minorEastAsia"/>
                      <w:color w:val="auto"/>
                      <w:spacing w:val="0"/>
                      <w:sz w:val="18"/>
                      <w:szCs w:val="18"/>
                      <w:highlight w:val="none"/>
                      <w:vertAlign w:val="baseline"/>
                      <w:lang w:val="en-US" w:eastAsia="zh-CN"/>
                    </w:rPr>
                    <w:t>危险废物</w:t>
                  </w:r>
                </w:p>
              </w:tc>
              <w:tc>
                <w:tcPr>
                  <w:tcW w:w="8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eastAsiaTheme="minorEastAsia"/>
                      <w:color w:val="auto"/>
                      <w:spacing w:val="0"/>
                      <w:sz w:val="18"/>
                      <w:szCs w:val="18"/>
                      <w:highlight w:val="none"/>
                      <w:vertAlign w:val="baseline"/>
                      <w:lang w:val="en-US" w:eastAsia="zh-CN"/>
                    </w:rPr>
                  </w:pPr>
                  <w:r>
                    <w:rPr>
                      <w:rFonts w:hint="eastAsia" w:cs="Times New Roman" w:eastAsiaTheme="minorEastAsia"/>
                      <w:color w:val="auto"/>
                      <w:spacing w:val="0"/>
                      <w:sz w:val="18"/>
                      <w:szCs w:val="18"/>
                      <w:highlight w:val="none"/>
                      <w:vertAlign w:val="baseline"/>
                      <w:lang w:val="en-US" w:eastAsia="zh-CN"/>
                    </w:rPr>
                    <w:t>900-214-08</w:t>
                  </w:r>
                </w:p>
              </w:tc>
              <w:tc>
                <w:tcPr>
                  <w:tcW w:w="4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eastAsiaTheme="minorEastAsia"/>
                      <w:color w:val="auto"/>
                      <w:spacing w:val="0"/>
                      <w:sz w:val="18"/>
                      <w:szCs w:val="18"/>
                      <w:highlight w:val="none"/>
                      <w:vertAlign w:val="baseline"/>
                      <w:lang w:val="en-US" w:eastAsia="zh-CN"/>
                    </w:rPr>
                  </w:pPr>
                  <w:r>
                    <w:rPr>
                      <w:rFonts w:hint="eastAsia" w:cs="Times New Roman" w:eastAsiaTheme="minorEastAsia"/>
                      <w:color w:val="auto"/>
                      <w:spacing w:val="0"/>
                      <w:sz w:val="18"/>
                      <w:szCs w:val="18"/>
                      <w:highlight w:val="none"/>
                      <w:vertAlign w:val="baseline"/>
                      <w:lang w:val="en-US" w:eastAsia="zh-CN"/>
                    </w:rPr>
                    <w:t>固态</w:t>
                  </w:r>
                </w:p>
              </w:tc>
              <w:tc>
                <w:tcPr>
                  <w:tcW w:w="3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eastAsiaTheme="minorEastAsia"/>
                      <w:color w:val="auto"/>
                      <w:spacing w:val="0"/>
                      <w:sz w:val="18"/>
                      <w:szCs w:val="18"/>
                      <w:highlight w:val="none"/>
                      <w:vertAlign w:val="baseline"/>
                      <w:lang w:val="en-US" w:eastAsia="zh-CN"/>
                    </w:rPr>
                  </w:pPr>
                  <w:r>
                    <w:rPr>
                      <w:rFonts w:hint="eastAsia" w:cs="Times New Roman" w:eastAsiaTheme="minorEastAsia"/>
                      <w:color w:val="auto"/>
                      <w:spacing w:val="0"/>
                      <w:sz w:val="18"/>
                      <w:szCs w:val="18"/>
                      <w:highlight w:val="none"/>
                      <w:vertAlign w:val="baseline"/>
                      <w:lang w:val="en-US" w:eastAsia="zh-CN"/>
                    </w:rPr>
                    <w:t>T, I</w:t>
                  </w:r>
                </w:p>
              </w:tc>
              <w:tc>
                <w:tcPr>
                  <w:tcW w:w="6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eastAsiaTheme="minorEastAsia"/>
                      <w:color w:val="auto"/>
                      <w:spacing w:val="0"/>
                      <w:sz w:val="18"/>
                      <w:szCs w:val="18"/>
                      <w:highlight w:val="none"/>
                      <w:vertAlign w:val="baseline"/>
                      <w:lang w:val="en-US" w:eastAsia="zh-CN"/>
                    </w:rPr>
                  </w:pPr>
                  <w:r>
                    <w:rPr>
                      <w:rFonts w:hint="eastAsia" w:cs="Times New Roman" w:eastAsiaTheme="minorEastAsia"/>
                      <w:color w:val="auto"/>
                      <w:spacing w:val="0"/>
                      <w:sz w:val="18"/>
                      <w:szCs w:val="18"/>
                      <w:highlight w:val="none"/>
                      <w:vertAlign w:val="baseline"/>
                      <w:lang w:val="en-US" w:eastAsia="zh-CN"/>
                    </w:rPr>
                    <w:t>0.7</w:t>
                  </w:r>
                </w:p>
              </w:tc>
              <w:tc>
                <w:tcPr>
                  <w:tcW w:w="6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eastAsiaTheme="minorEastAsia"/>
                      <w:color w:val="auto"/>
                      <w:spacing w:val="0"/>
                      <w:sz w:val="18"/>
                      <w:szCs w:val="18"/>
                      <w:highlight w:val="none"/>
                      <w:vertAlign w:val="baseline"/>
                      <w:lang w:val="en-US" w:eastAsia="zh-CN"/>
                    </w:rPr>
                  </w:pPr>
                  <w:r>
                    <w:rPr>
                      <w:rFonts w:hint="eastAsia" w:cs="Times New Roman" w:eastAsiaTheme="minorEastAsia"/>
                      <w:color w:val="auto"/>
                      <w:spacing w:val="0"/>
                      <w:sz w:val="18"/>
                      <w:szCs w:val="18"/>
                      <w:highlight w:val="none"/>
                      <w:vertAlign w:val="baseline"/>
                      <w:lang w:val="en-US" w:eastAsia="zh-CN"/>
                    </w:rPr>
                    <w:t>5#危险废物贮存库</w:t>
                  </w:r>
                </w:p>
              </w:tc>
              <w:tc>
                <w:tcPr>
                  <w:tcW w:w="183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eastAsiaTheme="minorEastAsia"/>
                      <w:color w:val="auto"/>
                      <w:spacing w:val="0"/>
                      <w:sz w:val="18"/>
                      <w:szCs w:val="18"/>
                      <w:highlight w:val="none"/>
                      <w:vertAlign w:val="baseline"/>
                      <w:lang w:val="en-US" w:eastAsia="zh-CN"/>
                    </w:rPr>
                  </w:pPr>
                  <w:r>
                    <w:rPr>
                      <w:rFonts w:hint="eastAsia" w:cs="Times New Roman" w:eastAsiaTheme="minorEastAsia"/>
                      <w:color w:val="auto"/>
                      <w:spacing w:val="0"/>
                      <w:sz w:val="18"/>
                      <w:szCs w:val="18"/>
                      <w:highlight w:val="none"/>
                      <w:vertAlign w:val="baseline"/>
                      <w:lang w:val="en-US" w:eastAsia="zh-CN"/>
                    </w:rPr>
                    <w:t>委托云南广莱再生资源回收有限公司清运处置</w:t>
                  </w:r>
                </w:p>
              </w:tc>
              <w:tc>
                <w:tcPr>
                  <w:tcW w:w="67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eastAsiaTheme="minorEastAsia"/>
                      <w:color w:val="auto"/>
                      <w:spacing w:val="0"/>
                      <w:sz w:val="18"/>
                      <w:szCs w:val="18"/>
                      <w:highlight w:val="none"/>
                      <w:vertAlign w:val="baseline"/>
                      <w:lang w:val="en-US" w:eastAsia="zh-CN"/>
                    </w:rPr>
                  </w:pPr>
                  <w:r>
                    <w:rPr>
                      <w:rFonts w:hint="eastAsia" w:cs="Times New Roman" w:eastAsiaTheme="minorEastAsia"/>
                      <w:color w:val="auto"/>
                      <w:spacing w:val="0"/>
                      <w:sz w:val="18"/>
                      <w:szCs w:val="18"/>
                      <w:highlight w:val="none"/>
                      <w:vertAlign w:val="baseline"/>
                      <w:lang w:val="en-US" w:eastAsia="zh-CN"/>
                    </w:rPr>
                    <w:t>0.7</w:t>
                  </w:r>
                </w:p>
              </w:tc>
              <w:tc>
                <w:tcPr>
                  <w:tcW w:w="62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eastAsiaTheme="minorEastAsia"/>
                      <w:color w:val="auto"/>
                      <w:spacing w:val="0"/>
                      <w:sz w:val="18"/>
                      <w:szCs w:val="18"/>
                      <w:highlight w:val="none"/>
                      <w:vertAlign w:val="baseli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jc w:val="center"/>
              </w:trPr>
              <w:tc>
                <w:tcPr>
                  <w:tcW w:w="62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eastAsiaTheme="minorEastAsia"/>
                      <w:color w:val="auto"/>
                      <w:spacing w:val="0"/>
                      <w:sz w:val="18"/>
                      <w:szCs w:val="18"/>
                      <w:highlight w:val="none"/>
                      <w:vertAlign w:val="baseline"/>
                      <w:lang w:val="en-US" w:eastAsia="zh-CN"/>
                    </w:rPr>
                  </w:pPr>
                </w:p>
              </w:tc>
              <w:tc>
                <w:tcPr>
                  <w:tcW w:w="6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eastAsiaTheme="minorEastAsia"/>
                      <w:color w:val="auto"/>
                      <w:spacing w:val="0"/>
                      <w:sz w:val="18"/>
                      <w:szCs w:val="18"/>
                      <w:highlight w:val="none"/>
                      <w:vertAlign w:val="baseline"/>
                      <w:lang w:val="en-US" w:eastAsia="zh-CN"/>
                    </w:rPr>
                  </w:pPr>
                  <w:r>
                    <w:rPr>
                      <w:rFonts w:hint="eastAsia" w:cs="Times New Roman" w:eastAsiaTheme="minorEastAsia"/>
                      <w:color w:val="auto"/>
                      <w:spacing w:val="0"/>
                      <w:sz w:val="18"/>
                      <w:szCs w:val="18"/>
                      <w:highlight w:val="none"/>
                      <w:vertAlign w:val="baseline"/>
                      <w:lang w:val="en-US" w:eastAsia="zh-CN"/>
                    </w:rPr>
                    <w:t>废油桶</w:t>
                  </w:r>
                </w:p>
              </w:tc>
              <w:tc>
                <w:tcPr>
                  <w:tcW w:w="4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pacing w:val="0"/>
                      <w:sz w:val="18"/>
                      <w:szCs w:val="18"/>
                      <w:highlight w:val="none"/>
                      <w:vertAlign w:val="baseline"/>
                      <w:lang w:val="en-US" w:eastAsia="zh-CN"/>
                    </w:rPr>
                  </w:pPr>
                  <w:r>
                    <w:rPr>
                      <w:rFonts w:hint="eastAsia" w:cs="Times New Roman" w:eastAsiaTheme="minorEastAsia"/>
                      <w:color w:val="auto"/>
                      <w:spacing w:val="0"/>
                      <w:sz w:val="18"/>
                      <w:szCs w:val="18"/>
                      <w:highlight w:val="none"/>
                      <w:vertAlign w:val="baseline"/>
                      <w:lang w:val="en-US" w:eastAsia="zh-CN"/>
                    </w:rPr>
                    <w:t>危险废物</w:t>
                  </w:r>
                </w:p>
              </w:tc>
              <w:tc>
                <w:tcPr>
                  <w:tcW w:w="8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eastAsiaTheme="minorEastAsia"/>
                      <w:color w:val="auto"/>
                      <w:spacing w:val="0"/>
                      <w:sz w:val="18"/>
                      <w:szCs w:val="18"/>
                      <w:highlight w:val="none"/>
                      <w:vertAlign w:val="baseline"/>
                      <w:lang w:val="en-US" w:eastAsia="zh-CN"/>
                    </w:rPr>
                  </w:pPr>
                  <w:r>
                    <w:rPr>
                      <w:rFonts w:hint="eastAsia" w:cs="Times New Roman" w:eastAsiaTheme="minorEastAsia"/>
                      <w:color w:val="auto"/>
                      <w:spacing w:val="0"/>
                      <w:sz w:val="18"/>
                      <w:szCs w:val="18"/>
                      <w:highlight w:val="none"/>
                      <w:vertAlign w:val="baseline"/>
                      <w:lang w:val="en-US" w:eastAsia="zh-CN"/>
                    </w:rPr>
                    <w:t>900-249-08</w:t>
                  </w:r>
                </w:p>
              </w:tc>
              <w:tc>
                <w:tcPr>
                  <w:tcW w:w="4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eastAsiaTheme="minorEastAsia"/>
                      <w:color w:val="auto"/>
                      <w:spacing w:val="0"/>
                      <w:sz w:val="18"/>
                      <w:szCs w:val="18"/>
                      <w:highlight w:val="none"/>
                      <w:vertAlign w:val="baseline"/>
                      <w:lang w:val="en-US" w:eastAsia="zh-CN"/>
                    </w:rPr>
                  </w:pPr>
                  <w:r>
                    <w:rPr>
                      <w:rFonts w:hint="eastAsia" w:cs="Times New Roman" w:eastAsiaTheme="minorEastAsia"/>
                      <w:color w:val="auto"/>
                      <w:spacing w:val="0"/>
                      <w:sz w:val="18"/>
                      <w:szCs w:val="18"/>
                      <w:highlight w:val="none"/>
                      <w:vertAlign w:val="baseline"/>
                      <w:lang w:val="en-US" w:eastAsia="zh-CN"/>
                    </w:rPr>
                    <w:t>固态</w:t>
                  </w:r>
                </w:p>
              </w:tc>
              <w:tc>
                <w:tcPr>
                  <w:tcW w:w="3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eastAsiaTheme="minorEastAsia"/>
                      <w:color w:val="auto"/>
                      <w:spacing w:val="0"/>
                      <w:sz w:val="18"/>
                      <w:szCs w:val="18"/>
                      <w:highlight w:val="none"/>
                      <w:vertAlign w:val="baseline"/>
                      <w:lang w:val="en-US" w:eastAsia="zh-CN"/>
                    </w:rPr>
                  </w:pPr>
                  <w:r>
                    <w:rPr>
                      <w:rFonts w:hint="eastAsia" w:cs="Times New Roman" w:eastAsiaTheme="minorEastAsia"/>
                      <w:color w:val="auto"/>
                      <w:spacing w:val="0"/>
                      <w:sz w:val="18"/>
                      <w:szCs w:val="18"/>
                      <w:highlight w:val="none"/>
                      <w:vertAlign w:val="baseline"/>
                      <w:lang w:val="en-US" w:eastAsia="zh-CN"/>
                    </w:rPr>
                    <w:t>T, I</w:t>
                  </w:r>
                </w:p>
              </w:tc>
              <w:tc>
                <w:tcPr>
                  <w:tcW w:w="6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eastAsiaTheme="minorEastAsia"/>
                      <w:color w:val="auto"/>
                      <w:spacing w:val="0"/>
                      <w:sz w:val="18"/>
                      <w:szCs w:val="18"/>
                      <w:highlight w:val="none"/>
                      <w:vertAlign w:val="baseline"/>
                      <w:lang w:val="en-US" w:eastAsia="zh-CN"/>
                    </w:rPr>
                  </w:pPr>
                  <w:r>
                    <w:rPr>
                      <w:rFonts w:hint="eastAsia" w:cs="Times New Roman" w:eastAsiaTheme="minorEastAsia"/>
                      <w:color w:val="auto"/>
                      <w:spacing w:val="0"/>
                      <w:sz w:val="18"/>
                      <w:szCs w:val="18"/>
                      <w:highlight w:val="none"/>
                      <w:vertAlign w:val="baseline"/>
                      <w:lang w:val="en-US" w:eastAsia="zh-CN"/>
                    </w:rPr>
                    <w:t>0.6</w:t>
                  </w:r>
                </w:p>
              </w:tc>
              <w:tc>
                <w:tcPr>
                  <w:tcW w:w="6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eastAsiaTheme="minorEastAsia"/>
                      <w:color w:val="auto"/>
                      <w:spacing w:val="0"/>
                      <w:sz w:val="18"/>
                      <w:szCs w:val="18"/>
                      <w:highlight w:val="none"/>
                      <w:vertAlign w:val="baseline"/>
                      <w:lang w:val="en-US" w:eastAsia="zh-CN"/>
                    </w:rPr>
                  </w:pPr>
                  <w:r>
                    <w:rPr>
                      <w:rFonts w:hint="eastAsia" w:cs="Times New Roman" w:eastAsiaTheme="minorEastAsia"/>
                      <w:color w:val="auto"/>
                      <w:spacing w:val="0"/>
                      <w:sz w:val="18"/>
                      <w:szCs w:val="18"/>
                      <w:highlight w:val="none"/>
                      <w:vertAlign w:val="baseline"/>
                      <w:lang w:val="en-US" w:eastAsia="zh-CN"/>
                    </w:rPr>
                    <w:t>5#危险废物贮存库</w:t>
                  </w:r>
                </w:p>
              </w:tc>
              <w:tc>
                <w:tcPr>
                  <w:tcW w:w="183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eastAsiaTheme="minorEastAsia"/>
                      <w:color w:val="auto"/>
                      <w:spacing w:val="0"/>
                      <w:sz w:val="18"/>
                      <w:szCs w:val="18"/>
                      <w:highlight w:val="none"/>
                      <w:vertAlign w:val="baseline"/>
                      <w:lang w:val="en-US" w:eastAsia="zh-CN"/>
                    </w:rPr>
                  </w:pPr>
                </w:p>
              </w:tc>
              <w:tc>
                <w:tcPr>
                  <w:tcW w:w="67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kern w:val="2"/>
                      <w:sz w:val="18"/>
                      <w:szCs w:val="18"/>
                      <w:highlight w:val="none"/>
                      <w:vertAlign w:val="baseline"/>
                      <w:lang w:val="en-US" w:eastAsia="zh-CN" w:bidi="ar-SA"/>
                    </w:rPr>
                  </w:pPr>
                  <w:r>
                    <w:rPr>
                      <w:rFonts w:hint="eastAsia" w:cs="Times New Roman" w:eastAsiaTheme="minorEastAsia"/>
                      <w:color w:val="auto"/>
                      <w:spacing w:val="0"/>
                      <w:sz w:val="18"/>
                      <w:szCs w:val="18"/>
                      <w:highlight w:val="none"/>
                      <w:vertAlign w:val="baseline"/>
                      <w:lang w:val="en-US" w:eastAsia="zh-CN"/>
                    </w:rPr>
                    <w:t>0.6</w:t>
                  </w:r>
                </w:p>
              </w:tc>
              <w:tc>
                <w:tcPr>
                  <w:tcW w:w="62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eastAsiaTheme="minorEastAsia"/>
                      <w:color w:val="auto"/>
                      <w:spacing w:val="0"/>
                      <w:sz w:val="18"/>
                      <w:szCs w:val="18"/>
                      <w:highlight w:val="none"/>
                      <w:vertAlign w:val="baseline"/>
                      <w:lang w:val="en-US" w:eastAsia="zh-CN"/>
                    </w:rPr>
                  </w:pPr>
                </w:p>
              </w:tc>
            </w:tr>
          </w:tbl>
          <w:p>
            <w:pPr>
              <w:bidi w:val="0"/>
              <w:rPr>
                <w:rFonts w:hint="default"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3、危险废物管理要求</w:t>
            </w:r>
          </w:p>
          <w:p>
            <w:pPr>
              <w:bidi w:val="0"/>
              <w:rPr>
                <w:rFonts w:hint="default"/>
                <w:color w:val="auto"/>
                <w:highlight w:val="none"/>
                <w:lang w:val="en-US" w:eastAsia="zh-CN"/>
              </w:rPr>
            </w:pPr>
            <w:r>
              <w:rPr>
                <w:rFonts w:hint="eastAsia"/>
                <w:color w:val="auto"/>
                <w:highlight w:val="none"/>
                <w:lang w:val="en-US" w:eastAsia="zh-CN"/>
              </w:rPr>
              <w:t>项目危险废物收集后依托易门铜业有限公司已建5#危险废物贮存库进行暂存，然后委托云南广莱再生资源回收有限公司进行清运处置。本次依托的危险废物贮存库占地面积为99m</w:t>
            </w:r>
            <w:r>
              <w:rPr>
                <w:rFonts w:hint="eastAsia"/>
                <w:color w:val="auto"/>
                <w:highlight w:val="none"/>
                <w:vertAlign w:val="superscript"/>
                <w:lang w:val="en-US" w:eastAsia="zh-CN"/>
              </w:rPr>
              <w:t>2</w:t>
            </w:r>
            <w:r>
              <w:rPr>
                <w:rFonts w:hint="eastAsia"/>
                <w:color w:val="auto"/>
                <w:highlight w:val="none"/>
                <w:lang w:val="en-US" w:eastAsia="zh-CN"/>
              </w:rPr>
              <w:t>，容积120m</w:t>
            </w:r>
            <w:r>
              <w:rPr>
                <w:rFonts w:hint="eastAsia"/>
                <w:color w:val="auto"/>
                <w:highlight w:val="none"/>
                <w:vertAlign w:val="superscript"/>
                <w:lang w:val="en-US" w:eastAsia="zh-CN"/>
              </w:rPr>
              <w:t>3</w:t>
            </w:r>
            <w:r>
              <w:rPr>
                <w:rFonts w:hint="eastAsia"/>
                <w:color w:val="auto"/>
                <w:highlight w:val="none"/>
                <w:lang w:val="en-US" w:eastAsia="zh-CN"/>
              </w:rPr>
              <w:t>，主要用于暂存废润滑油、废机油、废酸液、废碱液。建设单位已按照</w:t>
            </w:r>
            <w:r>
              <w:rPr>
                <w:rFonts w:hint="default"/>
                <w:color w:val="auto"/>
                <w:highlight w:val="none"/>
                <w:lang w:val="en-US" w:eastAsia="zh-CN"/>
              </w:rPr>
              <w:t>《危险废物贮存污染控制标准》（GB18597-</w:t>
            </w:r>
            <w:r>
              <w:rPr>
                <w:rFonts w:hint="eastAsia"/>
                <w:color w:val="auto"/>
                <w:highlight w:val="none"/>
                <w:lang w:val="en-US" w:eastAsia="zh-CN"/>
              </w:rPr>
              <w:t>2023</w:t>
            </w:r>
            <w:r>
              <w:rPr>
                <w:rFonts w:hint="default"/>
                <w:color w:val="auto"/>
                <w:highlight w:val="none"/>
                <w:lang w:val="en-US" w:eastAsia="zh-CN"/>
              </w:rPr>
              <w:t>）</w:t>
            </w:r>
            <w:r>
              <w:rPr>
                <w:rFonts w:hint="eastAsia"/>
                <w:color w:val="auto"/>
                <w:highlight w:val="none"/>
                <w:lang w:val="en-US" w:eastAsia="zh-CN"/>
              </w:rPr>
              <w:t>对该危险废物贮存库进行建设，并通过了竣工环境保护验收，具体采取的防渗措施为：</w:t>
            </w:r>
            <w:r>
              <w:rPr>
                <w:rFonts w:hint="eastAsia" w:ascii="Times New Roman" w:hAnsi="Times New Roman" w:cs="Times New Roman"/>
                <w:color w:val="auto"/>
                <w:highlight w:val="none"/>
                <w:lang w:val="en-US" w:eastAsia="zh-CN"/>
              </w:rPr>
              <w:t>侧壁（自内向外）：环库挡墙壁+GCL（钠基膨润土毯）+2mm厚 HDPE膜+C2细石混凝土压重墙+建筑防腐层；库底（自下向上）：场地平整基础+GCL（钠基膨润土毯）+2mm厚 HDPE膜+复合土工排水网+300mm厚天然砂砾石层（内设 DN160HDPE花孔管）+建筑防腐层，满足重点防渗要求</w:t>
            </w:r>
            <w:r>
              <w:rPr>
                <w:rFonts w:hint="eastAsia"/>
                <w:color w:val="auto"/>
                <w:highlight w:val="none"/>
                <w:lang w:val="en-US" w:eastAsia="zh-CN"/>
              </w:rPr>
              <w:t>。</w:t>
            </w:r>
          </w:p>
          <w:p>
            <w:pPr>
              <w:bidi w:val="0"/>
              <w:rPr>
                <w:color w:val="auto"/>
                <w:highlight w:val="none"/>
              </w:rPr>
            </w:pPr>
            <w:r>
              <w:rPr>
                <w:rFonts w:hint="eastAsia"/>
                <w:color w:val="auto"/>
                <w:highlight w:val="none"/>
                <w:lang w:val="en-US" w:eastAsia="zh-CN"/>
              </w:rPr>
              <w:t>在对危险废物的收集、贮存和委托云南广莱再生资源回收有限公司处理过程中，本环评要求做到以下几点：</w:t>
            </w:r>
          </w:p>
          <w:p>
            <w:pPr>
              <w:bidi w:val="0"/>
              <w:rPr>
                <w:rFonts w:hint="default"/>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default"/>
                <w:color w:val="auto"/>
                <w:highlight w:val="none"/>
                <w:lang w:val="en-US" w:eastAsia="zh-CN"/>
              </w:rPr>
              <w:t>收集：项目所产生的危险废物必须单独收集，严禁和一般固体废物混装</w:t>
            </w:r>
            <w:r>
              <w:rPr>
                <w:rFonts w:hint="eastAsia"/>
                <w:color w:val="auto"/>
                <w:highlight w:val="none"/>
                <w:lang w:val="en-US" w:eastAsia="zh-CN"/>
              </w:rPr>
              <w:t>；</w:t>
            </w:r>
          </w:p>
          <w:p>
            <w:pPr>
              <w:bidi w:val="0"/>
              <w:rPr>
                <w:rFonts w:hint="default"/>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default"/>
                <w:color w:val="auto"/>
                <w:highlight w:val="none"/>
                <w:lang w:val="en-US" w:eastAsia="zh-CN"/>
              </w:rPr>
              <w:t>贮存：按照《危险废物贮存污染控制标准》（GB18597-</w:t>
            </w:r>
            <w:r>
              <w:rPr>
                <w:rFonts w:hint="eastAsia"/>
                <w:color w:val="auto"/>
                <w:highlight w:val="none"/>
                <w:lang w:val="en-US" w:eastAsia="zh-CN"/>
              </w:rPr>
              <w:t>2023</w:t>
            </w:r>
            <w:r>
              <w:rPr>
                <w:rFonts w:hint="default"/>
                <w:color w:val="auto"/>
                <w:highlight w:val="none"/>
                <w:lang w:val="en-US" w:eastAsia="zh-CN"/>
              </w:rPr>
              <w:t>）要求进行贮存，即“必须将危险废物装入容器内，容器及材质要满足相应的强度要求、装载危险废物的容器必须完好无损</w:t>
            </w:r>
            <w:r>
              <w:rPr>
                <w:rFonts w:hint="eastAsia"/>
                <w:color w:val="auto"/>
                <w:highlight w:val="none"/>
                <w:lang w:val="en-US" w:eastAsia="zh-CN"/>
              </w:rPr>
              <w:t>；</w:t>
            </w:r>
          </w:p>
          <w:p>
            <w:pPr>
              <w:bidi w:val="0"/>
              <w:rPr>
                <w:rFonts w:hint="eastAsia" w:ascii="黑体" w:hAnsi="黑体" w:eastAsia="黑体" w:cs="黑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default"/>
                <w:color w:val="auto"/>
                <w:highlight w:val="none"/>
                <w:lang w:val="en-US" w:eastAsia="zh-CN"/>
              </w:rPr>
              <w:t>委托转移：委托</w:t>
            </w:r>
            <w:r>
              <w:rPr>
                <w:rFonts w:hint="eastAsia"/>
                <w:color w:val="auto"/>
                <w:highlight w:val="none"/>
                <w:lang w:val="en-US" w:eastAsia="zh-CN"/>
              </w:rPr>
              <w:t>云南广莱再生资源回收有限公司</w:t>
            </w:r>
            <w:r>
              <w:rPr>
                <w:rFonts w:hint="default"/>
                <w:color w:val="auto"/>
                <w:highlight w:val="none"/>
                <w:lang w:val="en-US" w:eastAsia="zh-CN"/>
              </w:rPr>
              <w:t>处理过程中必须严格按照《危险废物转移管理</w:t>
            </w:r>
            <w:r>
              <w:rPr>
                <w:rFonts w:hint="eastAsia"/>
                <w:color w:val="auto"/>
                <w:highlight w:val="none"/>
                <w:lang w:val="en-US" w:eastAsia="zh-CN"/>
              </w:rPr>
              <w:t>办法》</w:t>
            </w:r>
            <w:r>
              <w:rPr>
                <w:rFonts w:hint="default"/>
                <w:color w:val="auto"/>
                <w:highlight w:val="none"/>
                <w:lang w:val="en-US" w:eastAsia="zh-CN"/>
              </w:rPr>
              <w:t>（</w:t>
            </w:r>
            <w:r>
              <w:rPr>
                <w:rFonts w:hint="default"/>
                <w:color w:val="auto"/>
                <w:highlight w:val="none"/>
              </w:rPr>
              <w:t>部令第23号</w:t>
            </w:r>
            <w:r>
              <w:rPr>
                <w:rFonts w:hint="default"/>
                <w:color w:val="auto"/>
                <w:highlight w:val="none"/>
                <w:lang w:val="en-US" w:eastAsia="zh-CN"/>
              </w:rPr>
              <w:t>）</w:t>
            </w:r>
            <w:r>
              <w:rPr>
                <w:rFonts w:hint="eastAsia"/>
                <w:color w:val="auto"/>
                <w:highlight w:val="none"/>
                <w:lang w:val="en-US" w:eastAsia="zh-CN"/>
              </w:rPr>
              <w:t>的</w:t>
            </w:r>
            <w:r>
              <w:rPr>
                <w:rFonts w:hint="default"/>
                <w:color w:val="auto"/>
                <w:highlight w:val="none"/>
                <w:lang w:val="en-US" w:eastAsia="zh-CN"/>
              </w:rPr>
              <w:t>相</w:t>
            </w:r>
            <w:r>
              <w:rPr>
                <w:rFonts w:hint="eastAsia"/>
                <w:color w:val="auto"/>
                <w:highlight w:val="none"/>
                <w:lang w:val="en-US" w:eastAsia="zh-CN"/>
              </w:rPr>
              <w:t>关要求，严格执行危险废物转移联单制度，同时设置危废管理台账。</w:t>
            </w:r>
          </w:p>
          <w:p>
            <w:pPr>
              <w:bidi w:val="0"/>
              <w:rPr>
                <w:b/>
                <w:bCs/>
                <w:color w:val="auto"/>
                <w:highlight w:val="none"/>
              </w:rPr>
            </w:pPr>
            <w:r>
              <w:rPr>
                <w:rFonts w:hint="eastAsia" w:ascii="黑体" w:hAnsi="黑体" w:eastAsia="黑体" w:cs="黑体"/>
                <w:color w:val="auto"/>
                <w:highlight w:val="none"/>
                <w:lang w:val="en-US" w:eastAsia="zh-CN"/>
              </w:rPr>
              <w:t>4</w:t>
            </w:r>
            <w:r>
              <w:rPr>
                <w:rFonts w:hint="eastAsia" w:ascii="黑体" w:hAnsi="黑体" w:eastAsia="黑体" w:cs="黑体"/>
                <w:color w:val="auto"/>
                <w:highlight w:val="none"/>
              </w:rPr>
              <w:t>、结论</w:t>
            </w:r>
          </w:p>
          <w:p>
            <w:pPr>
              <w:bidi w:val="0"/>
              <w:rPr>
                <w:rFonts w:hint="default" w:eastAsia="宋体"/>
                <w:color w:val="auto"/>
                <w:highlight w:val="none"/>
                <w:lang w:val="en-US" w:eastAsia="zh-CN"/>
              </w:rPr>
            </w:pPr>
            <w:r>
              <w:rPr>
                <w:color w:val="auto"/>
                <w:highlight w:val="none"/>
              </w:rPr>
              <w:t>综上所述，项目运营期间产生</w:t>
            </w:r>
            <w:r>
              <w:rPr>
                <w:rFonts w:hint="eastAsia"/>
                <w:color w:val="auto"/>
                <w:highlight w:val="none"/>
                <w:lang w:val="en-US" w:eastAsia="zh-CN"/>
              </w:rPr>
              <w:t>的</w:t>
            </w:r>
            <w:r>
              <w:rPr>
                <w:color w:val="auto"/>
                <w:highlight w:val="none"/>
              </w:rPr>
              <w:t>固体废物均能得到合理处置，处置率为100%</w:t>
            </w:r>
            <w:r>
              <w:rPr>
                <w:rFonts w:hint="eastAsia"/>
                <w:color w:val="auto"/>
                <w:highlight w:val="none"/>
                <w:lang w:eastAsia="zh-CN"/>
              </w:rPr>
              <w:t>，</w:t>
            </w:r>
            <w:r>
              <w:rPr>
                <w:rFonts w:hint="eastAsia"/>
                <w:color w:val="auto"/>
                <w:highlight w:val="none"/>
                <w:lang w:val="en-US" w:eastAsia="zh-CN"/>
              </w:rPr>
              <w:t>对周边环境影响较小。</w:t>
            </w:r>
          </w:p>
          <w:p>
            <w:pPr>
              <w:bidi w:val="0"/>
              <w:rPr>
                <w:rFonts w:hint="default"/>
                <w:b/>
                <w:bCs/>
                <w:color w:val="auto"/>
                <w:highlight w:val="none"/>
                <w:lang w:val="en-US" w:eastAsia="zh-CN"/>
              </w:rPr>
            </w:pPr>
            <w:r>
              <w:rPr>
                <w:rFonts w:hint="eastAsia" w:ascii="黑体" w:hAnsi="黑体" w:eastAsia="黑体" w:cs="黑体"/>
                <w:color w:val="auto"/>
                <w:highlight w:val="none"/>
                <w:lang w:val="en-US" w:eastAsia="zh-CN"/>
              </w:rPr>
              <w:t>（五）地下水、土壤环境影响分析</w:t>
            </w:r>
          </w:p>
          <w:p>
            <w:pPr>
              <w:bidi w:val="0"/>
              <w:rPr>
                <w:rFonts w:hint="eastAsia"/>
                <w:color w:val="auto"/>
                <w:highlight w:val="none"/>
                <w:lang w:val="en-US" w:eastAsia="zh-CN"/>
              </w:rPr>
            </w:pPr>
            <w:r>
              <w:rPr>
                <w:rFonts w:hint="eastAsia" w:ascii="Times New Roman" w:hAnsi="Times New Roman" w:eastAsia="宋体" w:cs="Times New Roman"/>
                <w:caps w:val="0"/>
                <w:smallCaps w:val="0"/>
                <w:color w:val="auto"/>
                <w:kern w:val="2"/>
                <w:sz w:val="24"/>
                <w:szCs w:val="24"/>
                <w:highlight w:val="none"/>
                <w:lang w:val="en-US" w:eastAsia="zh-CN" w:bidi="ar-SA"/>
              </w:rPr>
              <w:t>本项目为</w:t>
            </w:r>
            <w:r>
              <w:rPr>
                <w:rFonts w:hint="eastAsia"/>
                <w:color w:val="auto"/>
                <w:highlight w:val="none"/>
                <w:lang w:val="en-US" w:eastAsia="zh-CN"/>
              </w:rPr>
              <w:t>制氧系统技术改造节能项目，属于易门铜业有限公司铜冶炼配套公用工程</w:t>
            </w:r>
            <w:r>
              <w:rPr>
                <w:rFonts w:hint="eastAsia" w:cs="Times New Roman"/>
                <w:caps w:val="0"/>
                <w:smallCaps w:val="0"/>
                <w:color w:val="auto"/>
                <w:kern w:val="2"/>
                <w:sz w:val="24"/>
                <w:szCs w:val="24"/>
                <w:highlight w:val="none"/>
                <w:lang w:val="en-US" w:eastAsia="zh-CN" w:bidi="ar-SA"/>
              </w:rPr>
              <w:t>。项目按照“源头控制、分区防治、污染监控、应急响应”的原则进行地下水、土壤污染防治。</w:t>
            </w:r>
            <w:r>
              <w:rPr>
                <w:rFonts w:hint="eastAsia" w:ascii="Times New Roman" w:hAnsi="Times New Roman" w:eastAsia="宋体" w:cs="Times New Roman"/>
                <w:caps w:val="0"/>
                <w:smallCaps w:val="0"/>
                <w:color w:val="auto"/>
                <w:kern w:val="2"/>
                <w:sz w:val="24"/>
                <w:szCs w:val="24"/>
                <w:highlight w:val="none"/>
                <w:lang w:val="en-US" w:eastAsia="zh-CN" w:bidi="ar-SA"/>
              </w:rPr>
              <w:t>项目</w:t>
            </w:r>
            <w:r>
              <w:rPr>
                <w:rFonts w:hint="eastAsia"/>
                <w:color w:val="auto"/>
                <w:highlight w:val="none"/>
                <w:lang w:val="en-US" w:eastAsia="zh-CN"/>
              </w:rPr>
              <w:t>制氧车间及依托的危险废物贮存库经采取合理的防渗措施后，正常运行工况下无地下水、土壤污染途径，本项目生产车间划分为一般防渗区，厂区道路划分为简单防渗区，危险废物贮存库为重点防渗区。本项目分区防渗措施见下表。</w:t>
            </w:r>
          </w:p>
          <w:p>
            <w:pPr>
              <w:pStyle w:val="35"/>
              <w:bidi w:val="0"/>
              <w:rPr>
                <w:rFonts w:hint="default" w:ascii="Times New Roman" w:hAnsi="Times New Roman" w:cs="Times New Roman"/>
                <w:b/>
                <w:bCs/>
                <w:color w:val="auto"/>
                <w:kern w:val="0"/>
                <w:szCs w:val="21"/>
                <w:highlight w:val="none"/>
                <w:lang w:val="en-US" w:eastAsia="zh-CN" w:bidi="ar"/>
              </w:rPr>
            </w:pPr>
            <w:r>
              <w:rPr>
                <w:rFonts w:hint="default"/>
                <w:color w:val="auto"/>
                <w:highlight w:val="none"/>
                <w:lang w:val="en-US" w:eastAsia="zh-CN"/>
              </w:rPr>
              <w:t>表4-</w:t>
            </w:r>
            <w:r>
              <w:rPr>
                <w:rFonts w:hint="eastAsia"/>
                <w:color w:val="auto"/>
                <w:highlight w:val="none"/>
                <w:lang w:val="en-US" w:eastAsia="zh-CN"/>
              </w:rPr>
              <w:t>7</w:t>
            </w:r>
            <w:r>
              <w:rPr>
                <w:rFonts w:hint="default"/>
                <w:color w:val="auto"/>
                <w:highlight w:val="none"/>
                <w:lang w:val="en-US" w:eastAsia="zh-CN"/>
              </w:rPr>
              <w:t xml:space="preserve">  项目分区防渗措施</w:t>
            </w:r>
            <w:r>
              <w:rPr>
                <w:rFonts w:hint="eastAsia"/>
                <w:color w:val="auto"/>
                <w:highlight w:val="none"/>
                <w:lang w:val="en-US" w:eastAsia="zh-CN"/>
              </w:rPr>
              <w:t>一览表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1375"/>
              <w:gridCol w:w="1725"/>
              <w:gridCol w:w="2712"/>
              <w:gridCol w:w="7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tcBorders>
                    <w:tl2br w:val="nil"/>
                    <w:tr2bl w:val="nil"/>
                  </w:tcBorders>
                  <w:vAlign w:val="center"/>
                </w:tcPr>
                <w:p>
                  <w:pPr>
                    <w:pStyle w:val="34"/>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防渗分区</w:t>
                  </w:r>
                </w:p>
              </w:tc>
              <w:tc>
                <w:tcPr>
                  <w:tcW w:w="1375" w:type="dxa"/>
                  <w:tcBorders>
                    <w:tl2br w:val="nil"/>
                    <w:tr2bl w:val="nil"/>
                  </w:tcBorders>
                  <w:vAlign w:val="center"/>
                </w:tcPr>
                <w:p>
                  <w:pPr>
                    <w:pStyle w:val="34"/>
                    <w:bidi w:val="0"/>
                    <w:jc w:val="center"/>
                    <w:rPr>
                      <w:rFonts w:hint="default" w:ascii="Times New Roman" w:hAnsi="Times New Roman" w:cs="Times New Roman"/>
                      <w:color w:val="auto"/>
                      <w:highlight w:val="none"/>
                      <w:lang w:val="en-US"/>
                    </w:rPr>
                  </w:pPr>
                  <w:r>
                    <w:rPr>
                      <w:rFonts w:hint="default" w:ascii="Times New Roman" w:hAnsi="Times New Roman" w:cs="Times New Roman"/>
                      <w:color w:val="auto"/>
                      <w:sz w:val="18"/>
                      <w:szCs w:val="18"/>
                      <w:highlight w:val="none"/>
                      <w:lang w:val="en-US" w:eastAsia="zh-CN"/>
                    </w:rPr>
                    <w:t>建构筑物/防渗区域</w:t>
                  </w:r>
                </w:p>
              </w:tc>
              <w:tc>
                <w:tcPr>
                  <w:tcW w:w="1725" w:type="dxa"/>
                  <w:tcBorders>
                    <w:tl2br w:val="nil"/>
                    <w:tr2bl w:val="nil"/>
                  </w:tcBorders>
                  <w:vAlign w:val="center"/>
                </w:tcPr>
                <w:p>
                  <w:pPr>
                    <w:pStyle w:val="34"/>
                    <w:bidi w:val="0"/>
                    <w:jc w:val="center"/>
                    <w:rPr>
                      <w:rFonts w:hint="default" w:ascii="Times New Roman" w:hAnsi="Times New Roman" w:cs="Times New Roman"/>
                      <w:color w:val="auto"/>
                      <w:highlight w:val="none"/>
                    </w:rPr>
                  </w:pPr>
                  <w:r>
                    <w:rPr>
                      <w:rFonts w:hint="default" w:ascii="Times New Roman" w:hAnsi="Times New Roman" w:cs="Times New Roman"/>
                      <w:color w:val="auto"/>
                      <w:sz w:val="18"/>
                      <w:szCs w:val="18"/>
                      <w:highlight w:val="none"/>
                      <w:lang w:val="en-US" w:eastAsia="zh-CN"/>
                    </w:rPr>
                    <w:t>防渗要求</w:t>
                  </w:r>
                </w:p>
              </w:tc>
              <w:tc>
                <w:tcPr>
                  <w:tcW w:w="2712" w:type="dxa"/>
                  <w:tcBorders>
                    <w:tl2br w:val="nil"/>
                    <w:tr2bl w:val="nil"/>
                  </w:tcBorders>
                  <w:vAlign w:val="center"/>
                </w:tcPr>
                <w:p>
                  <w:pPr>
                    <w:pStyle w:val="34"/>
                    <w:bidi w:val="0"/>
                    <w:jc w:val="center"/>
                    <w:rPr>
                      <w:rFonts w:hint="default" w:ascii="Times New Roman" w:hAnsi="Times New Roman" w:cs="Times New Roman"/>
                      <w:color w:val="auto"/>
                      <w:highlight w:val="none"/>
                    </w:rPr>
                  </w:pPr>
                  <w:r>
                    <w:rPr>
                      <w:rFonts w:hint="default" w:ascii="Times New Roman" w:hAnsi="Times New Roman" w:cs="Times New Roman"/>
                      <w:color w:val="auto"/>
                      <w:sz w:val="18"/>
                      <w:szCs w:val="18"/>
                      <w:highlight w:val="none"/>
                      <w:lang w:val="en-US" w:eastAsia="zh-CN"/>
                    </w:rPr>
                    <w:t>防渗措施</w:t>
                  </w:r>
                </w:p>
              </w:tc>
              <w:tc>
                <w:tcPr>
                  <w:tcW w:w="761" w:type="dxa"/>
                  <w:tcBorders>
                    <w:tl2br w:val="nil"/>
                    <w:tr2bl w:val="nil"/>
                  </w:tcBorders>
                  <w:vAlign w:val="center"/>
                </w:tcPr>
                <w:p>
                  <w:pPr>
                    <w:pStyle w:val="34"/>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tcBorders>
                    <w:tl2br w:val="nil"/>
                    <w:tr2bl w:val="nil"/>
                  </w:tcBorders>
                  <w:vAlign w:val="center"/>
                </w:tcPr>
                <w:p>
                  <w:pPr>
                    <w:pStyle w:val="34"/>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简单防渗区</w:t>
                  </w:r>
                </w:p>
              </w:tc>
              <w:tc>
                <w:tcPr>
                  <w:tcW w:w="1375" w:type="dxa"/>
                  <w:tcBorders>
                    <w:tl2br w:val="nil"/>
                    <w:tr2bl w:val="nil"/>
                  </w:tcBorders>
                  <w:vAlign w:val="center"/>
                </w:tcPr>
                <w:p>
                  <w:pPr>
                    <w:pStyle w:val="34"/>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厂区道路</w:t>
                  </w:r>
                </w:p>
              </w:tc>
              <w:tc>
                <w:tcPr>
                  <w:tcW w:w="1725" w:type="dxa"/>
                  <w:tcBorders>
                    <w:tl2br w:val="nil"/>
                    <w:tr2bl w:val="nil"/>
                  </w:tcBorders>
                  <w:vAlign w:val="center"/>
                </w:tcPr>
                <w:p>
                  <w:pPr>
                    <w:pStyle w:val="34"/>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一般地面硬化</w:t>
                  </w:r>
                </w:p>
              </w:tc>
              <w:tc>
                <w:tcPr>
                  <w:tcW w:w="2712" w:type="dxa"/>
                  <w:tcBorders>
                    <w:tl2br w:val="nil"/>
                    <w:tr2bl w:val="nil"/>
                  </w:tcBorders>
                  <w:vAlign w:val="center"/>
                </w:tcPr>
                <w:p>
                  <w:pPr>
                    <w:pStyle w:val="34"/>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厂区道路已进行地面硬化</w:t>
                  </w:r>
                </w:p>
              </w:tc>
              <w:tc>
                <w:tcPr>
                  <w:tcW w:w="761" w:type="dxa"/>
                  <w:tcBorders>
                    <w:tl2br w:val="nil"/>
                    <w:tr2bl w:val="nil"/>
                  </w:tcBorders>
                  <w:vAlign w:val="center"/>
                </w:tcPr>
                <w:p>
                  <w:pPr>
                    <w:pStyle w:val="34"/>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已建、满足要求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162" w:type="dxa"/>
                  <w:tcBorders>
                    <w:tl2br w:val="nil"/>
                    <w:tr2bl w:val="nil"/>
                  </w:tcBorders>
                  <w:vAlign w:val="center"/>
                </w:tcPr>
                <w:p>
                  <w:pPr>
                    <w:pStyle w:val="34"/>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一般防渗区</w:t>
                  </w:r>
                </w:p>
              </w:tc>
              <w:tc>
                <w:tcPr>
                  <w:tcW w:w="1375" w:type="dxa"/>
                  <w:tcBorders>
                    <w:tl2br w:val="nil"/>
                    <w:tr2bl w:val="nil"/>
                  </w:tcBorders>
                  <w:vAlign w:val="center"/>
                </w:tcPr>
                <w:p>
                  <w:pPr>
                    <w:pStyle w:val="34"/>
                    <w:bidi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制氧</w:t>
                  </w:r>
                  <w:r>
                    <w:rPr>
                      <w:rFonts w:hint="default" w:ascii="Times New Roman" w:hAnsi="Times New Roman" w:cs="Times New Roman"/>
                      <w:color w:val="auto"/>
                      <w:highlight w:val="none"/>
                      <w:lang w:val="en-US" w:eastAsia="zh-CN"/>
                    </w:rPr>
                    <w:t>车间</w:t>
                  </w:r>
                </w:p>
              </w:tc>
              <w:tc>
                <w:tcPr>
                  <w:tcW w:w="1725" w:type="dxa"/>
                  <w:tcBorders>
                    <w:tl2br w:val="nil"/>
                    <w:tr2bl w:val="nil"/>
                  </w:tcBorders>
                  <w:vAlign w:val="center"/>
                </w:tcPr>
                <w:p>
                  <w:pPr>
                    <w:pStyle w:val="34"/>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等效黏土防渗层厚度≥1.5m，渗透系数≤10</w:t>
                  </w:r>
                  <w:r>
                    <w:rPr>
                      <w:rFonts w:hint="default" w:ascii="Times New Roman" w:hAnsi="Times New Roman" w:cs="Times New Roman"/>
                      <w:color w:val="auto"/>
                      <w:highlight w:val="none"/>
                      <w:vertAlign w:val="superscript"/>
                      <w:lang w:val="en-US" w:eastAsia="zh-CN"/>
                    </w:rPr>
                    <w:t>-7</w:t>
                  </w:r>
                  <w:r>
                    <w:rPr>
                      <w:rFonts w:hint="default" w:ascii="Times New Roman" w:hAnsi="Times New Roman" w:cs="Times New Roman"/>
                      <w:color w:val="auto"/>
                      <w:highlight w:val="none"/>
                      <w:lang w:val="en-US" w:eastAsia="zh-CN"/>
                    </w:rPr>
                    <w:t>cm/s，或参照GB16889执行</w:t>
                  </w:r>
                </w:p>
              </w:tc>
              <w:tc>
                <w:tcPr>
                  <w:tcW w:w="2712" w:type="dxa"/>
                  <w:tcBorders>
                    <w:tl2br w:val="nil"/>
                    <w:tr2bl w:val="nil"/>
                  </w:tcBorders>
                  <w:vAlign w:val="center"/>
                </w:tcPr>
                <w:p>
                  <w:pPr>
                    <w:pStyle w:val="34"/>
                    <w:bidi w:val="0"/>
                    <w:ind w:left="0" w:leftChars="0" w:firstLine="0" w:firstLineChars="0"/>
                    <w:jc w:val="center"/>
                    <w:rPr>
                      <w:rFonts w:hint="default" w:ascii="Times New Roman" w:hAnsi="Times New Roman" w:cs="Times New Roman"/>
                      <w:color w:val="auto"/>
                      <w:highlight w:val="none"/>
                      <w:lang w:val="en-US" w:eastAsia="zh-CN"/>
                    </w:rPr>
                  </w:pPr>
                  <w:r>
                    <w:rPr>
                      <w:rFonts w:hint="eastAsia"/>
                      <w:color w:val="auto"/>
                      <w:highlight w:val="none"/>
                      <w:lang w:val="en-US" w:eastAsia="zh-CN"/>
                    </w:rPr>
                    <w:t>已采取</w:t>
                  </w:r>
                  <w:r>
                    <w:rPr>
                      <w:rFonts w:hint="default" w:ascii="Times New Roman" w:hAnsi="Times New Roman" w:cs="Times New Roman"/>
                      <w:color w:val="auto"/>
                      <w:highlight w:val="none"/>
                      <w:lang w:val="en-US" w:eastAsia="zh-CN"/>
                    </w:rPr>
                    <w:t>夯实黏土层、在上层</w:t>
                  </w:r>
                  <w:r>
                    <w:rPr>
                      <w:rFonts w:hint="eastAsia" w:cs="Times New Roman"/>
                      <w:color w:val="auto"/>
                      <w:highlight w:val="none"/>
                      <w:lang w:val="en-US" w:eastAsia="zh-CN"/>
                    </w:rPr>
                    <w:t>浇筑</w:t>
                  </w:r>
                  <w:r>
                    <w:rPr>
                      <w:rFonts w:hint="default" w:ascii="Times New Roman" w:hAnsi="Times New Roman" w:cs="Times New Roman"/>
                      <w:color w:val="auto"/>
                      <w:highlight w:val="none"/>
                      <w:lang w:val="en-US" w:eastAsia="zh-CN"/>
                    </w:rPr>
                    <w:t>1</w:t>
                  </w:r>
                  <w:r>
                    <w:rPr>
                      <w:rFonts w:hint="eastAsia" w:cs="Times New Roman"/>
                      <w:color w:val="auto"/>
                      <w:highlight w:val="none"/>
                      <w:lang w:val="en-US" w:eastAsia="zh-CN"/>
                    </w:rPr>
                    <w:t>5</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20</w:t>
                  </w:r>
                  <w:r>
                    <w:rPr>
                      <w:rFonts w:hint="default" w:ascii="Times New Roman" w:hAnsi="Times New Roman" w:cs="Times New Roman"/>
                      <w:color w:val="auto"/>
                      <w:highlight w:val="none"/>
                      <w:lang w:val="en-US" w:eastAsia="zh-CN"/>
                    </w:rPr>
                    <w:t>cm</w:t>
                  </w:r>
                  <w:r>
                    <w:rPr>
                      <w:rFonts w:hint="eastAsia" w:cs="Times New Roman"/>
                      <w:color w:val="auto"/>
                      <w:highlight w:val="none"/>
                      <w:lang w:val="en-US" w:eastAsia="zh-CN"/>
                    </w:rPr>
                    <w:t>厚度</w:t>
                  </w:r>
                  <w:r>
                    <w:rPr>
                      <w:rFonts w:hint="default" w:ascii="Times New Roman" w:hAnsi="Times New Roman" w:cs="Times New Roman"/>
                      <w:color w:val="auto"/>
                      <w:highlight w:val="none"/>
                      <w:lang w:val="en-US" w:eastAsia="zh-CN"/>
                    </w:rPr>
                    <w:t>的</w:t>
                  </w:r>
                  <w:r>
                    <w:rPr>
                      <w:rFonts w:hint="eastAsia" w:cs="Times New Roman"/>
                      <w:color w:val="auto"/>
                      <w:highlight w:val="none"/>
                      <w:lang w:val="en-US" w:eastAsia="zh-CN"/>
                    </w:rPr>
                    <w:t>C30</w:t>
                  </w:r>
                  <w:r>
                    <w:rPr>
                      <w:rFonts w:hint="default" w:ascii="Times New Roman" w:hAnsi="Times New Roman" w:cs="Times New Roman"/>
                      <w:color w:val="auto"/>
                      <w:highlight w:val="none"/>
                      <w:lang w:val="en-US" w:eastAsia="zh-CN"/>
                    </w:rPr>
                    <w:t>抗渗混凝土进行硬化的措施，可满足一般防渗要求</w:t>
                  </w:r>
                </w:p>
              </w:tc>
              <w:tc>
                <w:tcPr>
                  <w:tcW w:w="761" w:type="dxa"/>
                  <w:tcBorders>
                    <w:tl2br w:val="nil"/>
                    <w:tr2bl w:val="nil"/>
                  </w:tcBorders>
                  <w:vAlign w:val="center"/>
                </w:tcPr>
                <w:p>
                  <w:pPr>
                    <w:pStyle w:val="34"/>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已建、满足要求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2" w:type="dxa"/>
                  <w:tcBorders>
                    <w:tl2br w:val="nil"/>
                    <w:tr2bl w:val="nil"/>
                  </w:tcBorders>
                  <w:vAlign w:val="center"/>
                </w:tcPr>
                <w:p>
                  <w:pPr>
                    <w:pStyle w:val="34"/>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重点防渗区</w:t>
                  </w:r>
                </w:p>
              </w:tc>
              <w:tc>
                <w:tcPr>
                  <w:tcW w:w="1375" w:type="dxa"/>
                  <w:tcBorders>
                    <w:tl2br w:val="nil"/>
                    <w:tr2bl w:val="nil"/>
                  </w:tcBorders>
                  <w:vAlign w:val="center"/>
                </w:tcPr>
                <w:p>
                  <w:pPr>
                    <w:pStyle w:val="34"/>
                    <w:bidi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危险废物贮存库</w:t>
                  </w:r>
                </w:p>
              </w:tc>
              <w:tc>
                <w:tcPr>
                  <w:tcW w:w="1725" w:type="dxa"/>
                  <w:tcBorders>
                    <w:tl2br w:val="nil"/>
                    <w:tr2bl w:val="nil"/>
                  </w:tcBorders>
                  <w:vAlign w:val="center"/>
                </w:tcPr>
                <w:p>
                  <w:pPr>
                    <w:pStyle w:val="34"/>
                    <w:bidi w:val="0"/>
                    <w:jc w:val="center"/>
                    <w:rPr>
                      <w:rFonts w:hint="default" w:ascii="Times New Roman" w:hAnsi="Times New Roman" w:cs="Times New Roman"/>
                      <w:color w:val="auto"/>
                      <w:highlight w:val="none"/>
                    </w:rPr>
                  </w:pPr>
                  <w:r>
                    <w:rPr>
                      <w:rFonts w:hint="default" w:ascii="Times New Roman" w:hAnsi="Times New Roman" w:cs="Times New Roman"/>
                      <w:color w:val="auto"/>
                      <w:sz w:val="18"/>
                      <w:szCs w:val="18"/>
                      <w:highlight w:val="none"/>
                      <w:lang w:val="en-US" w:eastAsia="zh-CN"/>
                    </w:rPr>
                    <w:t>等效黏土防渗层Mb≥6.0m，K≤1×10</w:t>
                  </w:r>
                  <w:r>
                    <w:rPr>
                      <w:rFonts w:hint="default" w:ascii="Times New Roman" w:hAnsi="Times New Roman" w:cs="Times New Roman"/>
                      <w:color w:val="auto"/>
                      <w:sz w:val="18"/>
                      <w:szCs w:val="18"/>
                      <w:highlight w:val="none"/>
                      <w:vertAlign w:val="superscript"/>
                      <w:lang w:val="en-US" w:eastAsia="zh-CN"/>
                    </w:rPr>
                    <w:t>-7</w:t>
                  </w:r>
                  <w:r>
                    <w:rPr>
                      <w:rFonts w:hint="default" w:ascii="Times New Roman" w:hAnsi="Times New Roman" w:cs="Times New Roman"/>
                      <w:color w:val="auto"/>
                      <w:sz w:val="18"/>
                      <w:szCs w:val="18"/>
                      <w:highlight w:val="none"/>
                      <w:lang w:val="en-US" w:eastAsia="zh-CN"/>
                    </w:rPr>
                    <w:t>cm/s；或参照GB18598执行，渗透系数≤10</w:t>
                  </w:r>
                  <w:r>
                    <w:rPr>
                      <w:rFonts w:hint="default" w:ascii="Times New Roman" w:hAnsi="Times New Roman" w:cs="Times New Roman"/>
                      <w:color w:val="auto"/>
                      <w:sz w:val="18"/>
                      <w:szCs w:val="18"/>
                      <w:highlight w:val="none"/>
                      <w:vertAlign w:val="superscript"/>
                      <w:lang w:val="en-US" w:eastAsia="zh-CN"/>
                    </w:rPr>
                    <w:t>-10</w:t>
                  </w:r>
                  <w:r>
                    <w:rPr>
                      <w:rFonts w:hint="default" w:ascii="Times New Roman" w:hAnsi="Times New Roman" w:cs="Times New Roman"/>
                      <w:color w:val="auto"/>
                      <w:sz w:val="18"/>
                      <w:szCs w:val="18"/>
                      <w:highlight w:val="none"/>
                      <w:lang w:val="en-US" w:eastAsia="zh-CN"/>
                    </w:rPr>
                    <w:t>cm/s</w:t>
                  </w:r>
                </w:p>
              </w:tc>
              <w:tc>
                <w:tcPr>
                  <w:tcW w:w="2712" w:type="dxa"/>
                  <w:tcBorders>
                    <w:tl2br w:val="nil"/>
                    <w:tr2bl w:val="nil"/>
                  </w:tcBorders>
                  <w:vAlign w:val="center"/>
                </w:tcPr>
                <w:p>
                  <w:pPr>
                    <w:pStyle w:val="34"/>
                    <w:bidi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已采取的防渗措施为：</w:t>
                  </w:r>
                  <w:r>
                    <w:rPr>
                      <w:rFonts w:hint="default" w:ascii="Times New Roman" w:hAnsi="Times New Roman" w:eastAsia="宋体" w:cs="Times New Roman"/>
                      <w:color w:val="auto"/>
                      <w:highlight w:val="none"/>
                      <w:lang w:val="en-US" w:eastAsia="zh-CN"/>
                    </w:rPr>
                    <w:t>侧壁（自内向外）：环库挡墙壁+GCL（钠基膨润土毯）+2mm厚 HDPE膜+C2细石混凝土压重墙+建筑防腐层；库底（自下向上）：场地平整基础+GCL（钠基膨润土毯）+2mm厚 HDPE膜+复合土工排水网+300mm厚天然砂砾石层（内设 DN160HDPE花孔管）+建筑防腐层，满足重点防渗要求。</w:t>
                  </w:r>
                </w:p>
              </w:tc>
              <w:tc>
                <w:tcPr>
                  <w:tcW w:w="761" w:type="dxa"/>
                  <w:tcBorders>
                    <w:tl2br w:val="nil"/>
                    <w:tr2bl w:val="nil"/>
                  </w:tcBorders>
                  <w:vAlign w:val="center"/>
                </w:tcPr>
                <w:p>
                  <w:pPr>
                    <w:pStyle w:val="34"/>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已建、满足要求</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color w:val="auto"/>
                <w:highlight w:val="none"/>
              </w:rPr>
            </w:pPr>
            <w:r>
              <w:rPr>
                <w:rFonts w:hint="eastAsia"/>
                <w:color w:val="auto"/>
                <w:highlight w:val="none"/>
                <w:lang w:val="en-US" w:eastAsia="zh-CN"/>
              </w:rPr>
              <w:t>综上所述，项目各区域均已采取相应的防渗措施，可有效防止各类污染物下渗，项目建设不会对地下水、土壤造成污染。</w:t>
            </w:r>
          </w:p>
          <w:p>
            <w:pPr>
              <w:bidi w:val="0"/>
              <w:rPr>
                <w:rFonts w:hint="eastAsia"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（六）生态环境</w:t>
            </w:r>
          </w:p>
          <w:p>
            <w:pPr>
              <w:bidi w:val="0"/>
              <w:rPr>
                <w:rFonts w:hint="default" w:ascii="Times New Roman" w:hAnsi="Times New Roman" w:cs="Times New Roman"/>
                <w:color w:val="auto"/>
                <w:highlight w:val="none"/>
                <w:lang w:val="en-US" w:eastAsia="zh-CN"/>
              </w:rPr>
            </w:pPr>
            <w:r>
              <w:rPr>
                <w:rFonts w:hint="default"/>
                <w:color w:val="auto"/>
                <w:highlight w:val="none"/>
              </w:rPr>
              <w:t>本项目</w:t>
            </w:r>
            <w:r>
              <w:rPr>
                <w:rFonts w:hint="eastAsia"/>
                <w:color w:val="auto"/>
                <w:highlight w:val="none"/>
                <w:lang w:val="en-US" w:eastAsia="zh-CN"/>
              </w:rPr>
              <w:t>为改建项目，</w:t>
            </w:r>
            <w:r>
              <w:rPr>
                <w:rFonts w:hint="default"/>
                <w:color w:val="auto"/>
                <w:highlight w:val="none"/>
              </w:rPr>
              <w:t>位于</w:t>
            </w:r>
            <w:r>
              <w:rPr>
                <w:rFonts w:hint="eastAsia"/>
                <w:color w:val="auto"/>
                <w:highlight w:val="none"/>
                <w:lang w:val="en-US" w:eastAsia="zh-CN"/>
              </w:rPr>
              <w:t>易门铜业有限公司既有厂区内</w:t>
            </w:r>
            <w:r>
              <w:rPr>
                <w:rFonts w:hint="eastAsia" w:cs="Times New Roman"/>
                <w:color w:val="auto"/>
                <w:highlight w:val="none"/>
                <w:lang w:val="en-US" w:eastAsia="zh-CN"/>
              </w:rPr>
              <w:t>，本次不新增占地，</w:t>
            </w:r>
            <w:r>
              <w:rPr>
                <w:rFonts w:hint="default" w:ascii="Times New Roman" w:hAnsi="Times New Roman" w:cs="Times New Roman"/>
                <w:color w:val="auto"/>
                <w:highlight w:val="none"/>
                <w:lang w:val="en-US" w:eastAsia="zh-CN"/>
              </w:rPr>
              <w:t>项目区</w:t>
            </w:r>
            <w:r>
              <w:rPr>
                <w:rFonts w:hint="eastAsia" w:cs="Times New Roman"/>
                <w:color w:val="auto"/>
                <w:highlight w:val="none"/>
                <w:lang w:val="en-US" w:eastAsia="zh-CN"/>
              </w:rPr>
              <w:t>基本没有</w:t>
            </w:r>
            <w:r>
              <w:rPr>
                <w:rFonts w:hint="default" w:ascii="Times New Roman" w:hAnsi="Times New Roman" w:cs="Times New Roman"/>
                <w:color w:val="auto"/>
                <w:highlight w:val="none"/>
                <w:lang w:val="en-US" w:eastAsia="zh-CN"/>
              </w:rPr>
              <w:t>自然植被</w:t>
            </w:r>
            <w:r>
              <w:rPr>
                <w:rFonts w:hint="eastAsia" w:cs="Times New Roman"/>
                <w:color w:val="auto"/>
                <w:highlight w:val="none"/>
                <w:lang w:val="en-US" w:eastAsia="zh-CN"/>
              </w:rPr>
              <w:t>覆盖</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项目区及周边</w:t>
            </w:r>
            <w:r>
              <w:rPr>
                <w:rFonts w:hint="default" w:ascii="Times New Roman" w:hAnsi="Times New Roman" w:cs="Times New Roman"/>
                <w:color w:val="auto"/>
                <w:highlight w:val="none"/>
                <w:lang w:val="en-US" w:eastAsia="zh-CN"/>
              </w:rPr>
              <w:t>范围内没有生态环境保护目标，本项目的建设对生态环境影响较小，</w:t>
            </w:r>
            <w:r>
              <w:rPr>
                <w:rFonts w:hint="eastAsia" w:cs="Times New Roman"/>
                <w:color w:val="auto"/>
                <w:highlight w:val="none"/>
                <w:lang w:val="en-US" w:eastAsia="zh-CN"/>
              </w:rPr>
              <w:t>在可接受范围内</w:t>
            </w:r>
            <w:r>
              <w:rPr>
                <w:rFonts w:hint="default" w:ascii="Times New Roman" w:hAnsi="Times New Roman" w:cs="Times New Roman"/>
                <w:color w:val="auto"/>
                <w:highlight w:val="none"/>
                <w:lang w:val="en-US" w:eastAsia="zh-CN"/>
              </w:rPr>
              <w:t>。</w:t>
            </w:r>
          </w:p>
          <w:p>
            <w:pPr>
              <w:bidi w:val="0"/>
              <w:rPr>
                <w:rFonts w:hint="default" w:ascii="Times New Roman" w:hAnsi="Times New Roman" w:cs="Times New Roman"/>
                <w:color w:val="auto"/>
                <w:highlight w:val="none"/>
                <w:lang w:val="en-US" w:eastAsia="zh-CN"/>
              </w:rPr>
            </w:pPr>
            <w:r>
              <w:rPr>
                <w:rFonts w:hint="eastAsia" w:ascii="黑体" w:hAnsi="黑体" w:eastAsia="黑体" w:cs="黑体"/>
                <w:color w:val="auto"/>
                <w:highlight w:val="none"/>
                <w:lang w:val="en-US" w:eastAsia="zh-CN"/>
              </w:rPr>
              <w:t>（七）环境风险分析</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建设项目环境风险评价技术导则》（HJ169-2018）可知，环境风险评价应以突发性事故导致的危险物质环境应急损害防控为目标，对建设项目的环境风险进行分析、预测和评估，提出环境风险预防、控制、减缓措施，明确环境风险及应急建议要求，为建设项目环境风险防控提供科学依据。</w:t>
            </w:r>
          </w:p>
          <w:p>
            <w:pPr>
              <w:bidi w:val="0"/>
              <w:rPr>
                <w:color w:val="auto"/>
                <w:highlight w:val="none"/>
              </w:rPr>
            </w:pPr>
            <w:r>
              <w:rPr>
                <w:rFonts w:hint="eastAsia" w:ascii="黑体" w:hAnsi="黑体" w:eastAsia="黑体" w:cs="黑体"/>
                <w:color w:val="auto"/>
                <w:highlight w:val="none"/>
                <w:lang w:val="en-US" w:eastAsia="zh-CN"/>
              </w:rPr>
              <w:t>1、物质风险识别</w:t>
            </w:r>
            <w:r>
              <w:rPr>
                <w:color w:val="auto"/>
                <w:highlight w:val="none"/>
                <w:lang w:val="en-US" w:eastAsia="zh-CN"/>
              </w:rPr>
              <w:t xml:space="preserve"> </w:t>
            </w:r>
          </w:p>
          <w:p>
            <w:pPr>
              <w:bidi w:val="0"/>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本项目运营过程中涉及的化学品有氧气、氮气。根据《易门铜业有限公司制氧系统技术改造节能项目安全预评价报告》内容：“根据《危险化学品目录（2015版）》（国家安全生产监督管理局等10部门公告2015年第5号，根据2022年第8号公告修订，根据2026年第3号公告新增）判别，拟建项目生产过程中涉及的压缩空气、放空氮气（常压）、氧气（≥90%，常压）均不属于危险化学品（产品氧气在拟建项目区内压力70kPa，不属于危险化学品，送至现有氧压机压缩后的氧属于危险化学品，但不在本次项目评价范围内）。”因此，本次改建项目不存在重大风险源。</w:t>
            </w:r>
          </w:p>
          <w:p>
            <w:pPr>
              <w:bidi w:val="0"/>
              <w:rPr>
                <w:rFonts w:hint="default"/>
                <w:color w:val="auto"/>
                <w:highlight w:val="none"/>
                <w:lang w:val="en-US" w:eastAsia="zh-CN"/>
              </w:rPr>
            </w:pPr>
            <w:r>
              <w:rPr>
                <w:rFonts w:hint="eastAsia"/>
                <w:color w:val="auto"/>
                <w:highlight w:val="none"/>
                <w:lang w:val="en-US" w:eastAsia="zh-CN"/>
              </w:rPr>
              <w:t>根据《建设项目环境风险评价技术导则》（</w:t>
            </w:r>
            <w:r>
              <w:rPr>
                <w:rFonts w:hint="default"/>
                <w:color w:val="auto"/>
                <w:highlight w:val="none"/>
                <w:lang w:val="en-US" w:eastAsia="zh-CN"/>
              </w:rPr>
              <w:t>HJ169-2018</w:t>
            </w:r>
            <w:r>
              <w:rPr>
                <w:rFonts w:hint="eastAsia"/>
                <w:color w:val="auto"/>
                <w:highlight w:val="none"/>
                <w:lang w:val="en-US" w:eastAsia="zh-CN"/>
              </w:rPr>
              <w:t>）附录</w:t>
            </w:r>
            <w:r>
              <w:rPr>
                <w:rFonts w:hint="default"/>
                <w:color w:val="auto"/>
                <w:highlight w:val="none"/>
                <w:lang w:val="en-US" w:eastAsia="zh-CN"/>
              </w:rPr>
              <w:t>B</w:t>
            </w:r>
            <w:r>
              <w:rPr>
                <w:rFonts w:hint="eastAsia"/>
                <w:color w:val="auto"/>
                <w:highlight w:val="none"/>
                <w:lang w:val="en-US" w:eastAsia="zh-CN"/>
              </w:rPr>
              <w:t>，本项目涉及的风险物质主要为废润滑油，其理化性质见下表：</w:t>
            </w:r>
          </w:p>
          <w:p>
            <w:pPr>
              <w:pStyle w:val="35"/>
              <w:bidi w:val="0"/>
              <w:rPr>
                <w:rFonts w:hint="default" w:ascii="Times New Roman" w:hAnsi="Times New Roman" w:eastAsia="黑体" w:cs="Times New Roman"/>
                <w:color w:val="auto"/>
                <w:szCs w:val="21"/>
                <w:highlight w:val="none"/>
              </w:rPr>
            </w:pPr>
            <w:r>
              <w:rPr>
                <w:rFonts w:hint="default"/>
                <w:color w:val="auto"/>
                <w:highlight w:val="none"/>
              </w:rPr>
              <w:t>表4-</w:t>
            </w:r>
            <w:r>
              <w:rPr>
                <w:rFonts w:hint="eastAsia"/>
                <w:color w:val="auto"/>
                <w:highlight w:val="none"/>
                <w:lang w:val="en-US" w:eastAsia="zh-CN"/>
              </w:rPr>
              <w:t>8  废润滑油理化性质及</w:t>
            </w:r>
            <w:r>
              <w:rPr>
                <w:rFonts w:hint="default"/>
                <w:color w:val="auto"/>
                <w:highlight w:val="none"/>
              </w:rPr>
              <w:t>危险特性一览表</w:t>
            </w:r>
          </w:p>
          <w:tbl>
            <w:tblPr>
              <w:tblStyle w:val="23"/>
              <w:tblW w:w="7805"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41"/>
              <w:gridCol w:w="1026"/>
              <w:gridCol w:w="326"/>
              <w:gridCol w:w="507"/>
              <w:gridCol w:w="867"/>
              <w:gridCol w:w="955"/>
              <w:gridCol w:w="130"/>
              <w:gridCol w:w="716"/>
              <w:gridCol w:w="267"/>
              <w:gridCol w:w="744"/>
              <w:gridCol w:w="668"/>
              <w:gridCol w:w="299"/>
              <w:gridCol w:w="85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26" w:hRule="atLeast"/>
                <w:jc w:val="center"/>
              </w:trPr>
              <w:tc>
                <w:tcPr>
                  <w:tcW w:w="28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标识</w:t>
                  </w:r>
                </w:p>
              </w:tc>
              <w:tc>
                <w:tcPr>
                  <w:tcW w:w="6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中文名</w:t>
                  </w:r>
                </w:p>
              </w:tc>
              <w:tc>
                <w:tcPr>
                  <w:tcW w:w="53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机油；润滑油</w:t>
                  </w:r>
                </w:p>
              </w:tc>
              <w:tc>
                <w:tcPr>
                  <w:tcW w:w="5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英文名</w:t>
                  </w:r>
                </w:p>
              </w:tc>
              <w:tc>
                <w:tcPr>
                  <w:tcW w:w="1324"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lubricating oil；Lube oil</w:t>
                  </w:r>
                </w:p>
              </w:tc>
              <w:tc>
                <w:tcPr>
                  <w:tcW w:w="1096"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危险货物编号</w:t>
                  </w:r>
                </w:p>
              </w:tc>
              <w:tc>
                <w:tcPr>
                  <w:tcW w:w="5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37" w:hRule="exact"/>
                <w:jc w:val="center"/>
              </w:trPr>
              <w:tc>
                <w:tcPr>
                  <w:tcW w:w="2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6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分子式</w:t>
                  </w:r>
                </w:p>
              </w:tc>
              <w:tc>
                <w:tcPr>
                  <w:tcW w:w="53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230-500</w:t>
                  </w:r>
                </w:p>
              </w:tc>
              <w:tc>
                <w:tcPr>
                  <w:tcW w:w="5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分子量</w:t>
                  </w:r>
                </w:p>
              </w:tc>
              <w:tc>
                <w:tcPr>
                  <w:tcW w:w="695"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230～500</w:t>
                  </w:r>
                </w:p>
              </w:tc>
              <w:tc>
                <w:tcPr>
                  <w:tcW w:w="62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UN编号</w:t>
                  </w:r>
                </w:p>
              </w:tc>
              <w:tc>
                <w:tcPr>
                  <w:tcW w:w="4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无资料</w:t>
                  </w:r>
                </w:p>
              </w:tc>
              <w:tc>
                <w:tcPr>
                  <w:tcW w:w="61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CAS编号</w:t>
                  </w:r>
                </w:p>
              </w:tc>
              <w:tc>
                <w:tcPr>
                  <w:tcW w:w="5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无资料</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2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6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危险类别</w:t>
                  </w:r>
                </w:p>
              </w:tc>
              <w:tc>
                <w:tcPr>
                  <w:tcW w:w="4060" w:type="pct"/>
                  <w:gridSpan w:val="11"/>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28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理化性质</w:t>
                  </w:r>
                </w:p>
              </w:tc>
              <w:tc>
                <w:tcPr>
                  <w:tcW w:w="6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性  状</w:t>
                  </w:r>
                </w:p>
              </w:tc>
              <w:tc>
                <w:tcPr>
                  <w:tcW w:w="4060" w:type="pct"/>
                  <w:gridSpan w:val="11"/>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油状液体</w:t>
                  </w:r>
                  <w:r>
                    <w:rPr>
                      <w:rFonts w:hint="eastAsia"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淡黄色至褐色</w:t>
                  </w:r>
                  <w:r>
                    <w:rPr>
                      <w:rFonts w:hint="eastAsia"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无气味或略带异味。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2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86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熔点（℃）</w:t>
                  </w:r>
                </w:p>
              </w:tc>
              <w:tc>
                <w:tcPr>
                  <w:tcW w:w="1575"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534"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临界压力（Mpa）</w:t>
                  </w:r>
                </w:p>
              </w:tc>
              <w:tc>
                <w:tcPr>
                  <w:tcW w:w="741"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2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86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沸点（℃）</w:t>
                  </w:r>
                </w:p>
              </w:tc>
              <w:tc>
                <w:tcPr>
                  <w:tcW w:w="1575"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534"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相对密度（水＝1）</w:t>
                  </w:r>
                </w:p>
              </w:tc>
              <w:tc>
                <w:tcPr>
                  <w:tcW w:w="741"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2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86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溶解性</w:t>
                  </w:r>
                </w:p>
              </w:tc>
              <w:tc>
                <w:tcPr>
                  <w:tcW w:w="3851" w:type="pct"/>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不溶于水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28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燃烧爆炸危险性</w:t>
                  </w:r>
                </w:p>
              </w:tc>
              <w:tc>
                <w:tcPr>
                  <w:tcW w:w="86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燃烧性</w:t>
                  </w:r>
                </w:p>
              </w:tc>
              <w:tc>
                <w:tcPr>
                  <w:tcW w:w="1575"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可燃</w:t>
                  </w:r>
                </w:p>
              </w:tc>
              <w:tc>
                <w:tcPr>
                  <w:tcW w:w="1534"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闪点（℃）</w:t>
                  </w:r>
                </w:p>
              </w:tc>
              <w:tc>
                <w:tcPr>
                  <w:tcW w:w="741"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76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2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86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爆炸极限（％）</w:t>
                  </w:r>
                </w:p>
              </w:tc>
              <w:tc>
                <w:tcPr>
                  <w:tcW w:w="1575"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无资料</w:t>
                  </w:r>
                </w:p>
              </w:tc>
              <w:tc>
                <w:tcPr>
                  <w:tcW w:w="1534"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最小点火能（MJ）</w:t>
                  </w:r>
                </w:p>
              </w:tc>
              <w:tc>
                <w:tcPr>
                  <w:tcW w:w="741"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2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86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引燃温度（℃）</w:t>
                  </w:r>
                </w:p>
              </w:tc>
              <w:tc>
                <w:tcPr>
                  <w:tcW w:w="1575"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248</w:t>
                  </w:r>
                </w:p>
              </w:tc>
              <w:tc>
                <w:tcPr>
                  <w:tcW w:w="1534"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最大爆炸压力（Mpa）</w:t>
                  </w:r>
                </w:p>
              </w:tc>
              <w:tc>
                <w:tcPr>
                  <w:tcW w:w="741"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67" w:hRule="exact"/>
                <w:jc w:val="center"/>
              </w:trPr>
              <w:tc>
                <w:tcPr>
                  <w:tcW w:w="2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86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危险特性</w:t>
                  </w:r>
                </w:p>
              </w:tc>
              <w:tc>
                <w:tcPr>
                  <w:tcW w:w="3851" w:type="pct"/>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遇明火、高热可燃。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084" w:hRule="atLeast"/>
                <w:jc w:val="center"/>
              </w:trPr>
              <w:tc>
                <w:tcPr>
                  <w:tcW w:w="2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86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灭火方法</w:t>
                  </w:r>
                </w:p>
              </w:tc>
              <w:tc>
                <w:tcPr>
                  <w:tcW w:w="3851" w:type="pct"/>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消防人员须佩戴防毒面具、穿全身消防服，在上风向灭火。尽可能将容器从火场移至空旷处。喷水保持火场容器冷却，直至灭火结束。处在火场中的容器若已变色或从安全泄压装置中产生声音，必须马上撤离。</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灭火剂：雾状水、泡沫、干粉、二氧化碳、砂土。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79" w:hRule="exact"/>
                <w:jc w:val="center"/>
              </w:trPr>
              <w:tc>
                <w:tcPr>
                  <w:tcW w:w="2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86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禁忌物</w:t>
                  </w:r>
                </w:p>
              </w:tc>
              <w:tc>
                <w:tcPr>
                  <w:tcW w:w="2681" w:type="pct"/>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61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稳定性</w:t>
                  </w:r>
                </w:p>
              </w:tc>
              <w:tc>
                <w:tcPr>
                  <w:tcW w:w="5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稳定</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79" w:hRule="exact"/>
                <w:jc w:val="center"/>
              </w:trPr>
              <w:tc>
                <w:tcPr>
                  <w:tcW w:w="2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86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燃烧产物</w:t>
                  </w:r>
                </w:p>
              </w:tc>
              <w:tc>
                <w:tcPr>
                  <w:tcW w:w="2681" w:type="pct"/>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一氧化碳、二氧化碳</w:t>
                  </w:r>
                </w:p>
              </w:tc>
              <w:tc>
                <w:tcPr>
                  <w:tcW w:w="61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聚合危害</w:t>
                  </w:r>
                </w:p>
              </w:tc>
              <w:tc>
                <w:tcPr>
                  <w:tcW w:w="5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不聚合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64" w:hRule="exact"/>
                <w:jc w:val="center"/>
              </w:trPr>
              <w:tc>
                <w:tcPr>
                  <w:tcW w:w="28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毒性及健康危害</w:t>
                  </w:r>
                </w:p>
              </w:tc>
              <w:tc>
                <w:tcPr>
                  <w:tcW w:w="86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急性毒性</w:t>
                  </w:r>
                </w:p>
              </w:tc>
              <w:tc>
                <w:tcPr>
                  <w:tcW w:w="1491"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LD50（mg/kg，大鼠经口）</w:t>
                  </w:r>
                </w:p>
              </w:tc>
              <w:tc>
                <w:tcPr>
                  <w:tcW w:w="541"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无资料</w:t>
                  </w:r>
                </w:p>
              </w:tc>
              <w:tc>
                <w:tcPr>
                  <w:tcW w:w="1267"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LC50（mg/kg）</w:t>
                  </w:r>
                </w:p>
              </w:tc>
              <w:tc>
                <w:tcPr>
                  <w:tcW w:w="5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无资料</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349" w:hRule="atLeast"/>
                <w:jc w:val="center"/>
              </w:trPr>
              <w:tc>
                <w:tcPr>
                  <w:tcW w:w="2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86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健康危害</w:t>
                  </w:r>
                </w:p>
              </w:tc>
              <w:tc>
                <w:tcPr>
                  <w:tcW w:w="3851" w:type="pct"/>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侵入途径：</w:t>
                  </w:r>
                  <w:r>
                    <w:rPr>
                      <w:rFonts w:hint="default" w:ascii="Times New Roman" w:hAnsi="Times New Roman" w:eastAsia="宋体" w:cs="Times New Roman"/>
                      <w:color w:val="auto"/>
                      <w:sz w:val="18"/>
                      <w:szCs w:val="18"/>
                      <w:highlight w:val="none"/>
                      <w:lang w:eastAsia="zh-CN"/>
                    </w:rPr>
                    <w:t>吸入</w:t>
                  </w:r>
                  <w:r>
                    <w:rPr>
                      <w:rFonts w:hint="default" w:ascii="Times New Roman" w:hAnsi="Times New Roman" w:eastAsia="宋体" w:cs="Times New Roman"/>
                      <w:color w:val="auto"/>
                      <w:sz w:val="18"/>
                      <w:szCs w:val="18"/>
                      <w:highlight w:val="none"/>
                    </w:rPr>
                    <w:t>、食入；</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急性吸入，可出现乏力、头晕、头痛、恶心，严重者可引起油脂性肺炎。慢接触者，暴露部位可发生油性痤疮和接触性皮炎。可引起神经衰弱综合征，呼吸道和眼刺激症状及慢性油脂性肺炎。有资料报道，接触石油润滑油类的工人，有致癌的病例报告。</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2、</w:t>
            </w:r>
            <w:r>
              <w:rPr>
                <w:rFonts w:hint="default" w:ascii="黑体" w:hAnsi="黑体" w:eastAsia="黑体" w:cs="黑体"/>
                <w:color w:val="auto"/>
                <w:highlight w:val="none"/>
                <w:lang w:val="en-US" w:eastAsia="zh-CN"/>
              </w:rPr>
              <w:t>环境风险识别</w:t>
            </w:r>
            <w:r>
              <w:rPr>
                <w:rFonts w:hint="eastAsia" w:ascii="黑体" w:hAnsi="黑体" w:eastAsia="黑体" w:cs="黑体"/>
                <w:color w:val="auto"/>
                <w:highlight w:val="none"/>
                <w:lang w:val="en-US" w:eastAsia="zh-CN"/>
              </w:rPr>
              <w:t>及潜势初判</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本项目环境风险主要来自于运营期机修产生的废</w:t>
            </w:r>
            <w:r>
              <w:rPr>
                <w:rFonts w:hint="eastAsia" w:cs="Times New Roman"/>
                <w:color w:val="auto"/>
                <w:highlight w:val="none"/>
                <w:lang w:val="en-US" w:eastAsia="zh-CN"/>
              </w:rPr>
              <w:t>润滑油。此外，氧气具有助燃性，遇明火会加剧燃烧，甚至造成爆炸；</w:t>
            </w:r>
            <w:r>
              <w:rPr>
                <w:rFonts w:hint="default" w:ascii="Times New Roman" w:hAnsi="Times New Roman" w:eastAsia="宋体" w:cs="Times New Roman"/>
                <w:color w:val="auto"/>
                <w:sz w:val="24"/>
                <w:szCs w:val="24"/>
                <w:highlight w:val="none"/>
              </w:rPr>
              <w:t>污氮具有窒息性，如放空等设备</w:t>
            </w:r>
            <w:r>
              <w:rPr>
                <w:rFonts w:hint="eastAsia" w:ascii="Times New Roman" w:hAnsi="Times New Roman" w:eastAsia="宋体" w:cs="Times New Roman"/>
                <w:color w:val="auto"/>
                <w:sz w:val="24"/>
                <w:szCs w:val="24"/>
                <w:highlight w:val="none"/>
                <w:lang w:val="en-US" w:eastAsia="zh-CN"/>
              </w:rPr>
              <w:t>设置或操作</w:t>
            </w:r>
            <w:r>
              <w:rPr>
                <w:rFonts w:hint="default" w:ascii="Times New Roman" w:hAnsi="Times New Roman" w:eastAsia="宋体" w:cs="Times New Roman"/>
                <w:color w:val="auto"/>
                <w:sz w:val="24"/>
                <w:szCs w:val="24"/>
                <w:highlight w:val="none"/>
              </w:rPr>
              <w:t>不合理会引发人员窒息危险；而压缩空气管道、设备会由于超压发生爆炸危险。因此，仍需注意</w:t>
            </w:r>
            <w:r>
              <w:rPr>
                <w:rFonts w:hint="eastAsia" w:ascii="Times New Roman" w:hAnsi="Times New Roman" w:eastAsia="宋体" w:cs="Times New Roman"/>
                <w:color w:val="auto"/>
                <w:sz w:val="24"/>
                <w:szCs w:val="24"/>
                <w:highlight w:val="none"/>
                <w:lang w:val="en-US" w:eastAsia="zh-CN"/>
              </w:rPr>
              <w:t>上述情况</w:t>
            </w:r>
            <w:r>
              <w:rPr>
                <w:rFonts w:hint="default" w:ascii="Times New Roman" w:hAnsi="Times New Roman" w:eastAsia="宋体" w:cs="Times New Roman"/>
                <w:color w:val="auto"/>
                <w:sz w:val="24"/>
                <w:szCs w:val="24"/>
                <w:highlight w:val="none"/>
              </w:rPr>
              <w:t>进行必要防范。</w:t>
            </w:r>
          </w:p>
          <w:p>
            <w:pPr>
              <w:bidi w:val="0"/>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eastAsia="zh-CN"/>
              </w:rPr>
              <w:t>按照《建设项目环境风险评价技术导则》（HJ169-2018）的规定，环境风险评价工作等级划分为一级、二级、三级。根据建设项目涉及的物质及工艺系统危险性和所在地的环境敏感性确定环境风险潜势，风险潜势为IV及以上，进行一级评价；风险潜势为III，进行二级评价；风险潜势为II，进行三级评价；风险潜势为I，可开展简单分析。根据下表确定评价工作等级。</w:t>
            </w:r>
          </w:p>
          <w:p>
            <w:pPr>
              <w:pStyle w:val="35"/>
              <w:bidi w:val="0"/>
              <w:rPr>
                <w:rFonts w:hint="default"/>
                <w:color w:val="auto"/>
                <w:highlight w:val="none"/>
                <w:lang w:val="en-US" w:eastAsia="zh-CN"/>
              </w:rPr>
            </w:pPr>
            <w:r>
              <w:rPr>
                <w:rFonts w:hint="eastAsia"/>
                <w:color w:val="auto"/>
                <w:highlight w:val="none"/>
                <w:lang w:val="en-US" w:eastAsia="zh-CN"/>
              </w:rPr>
              <w:t>表4-9  环境风险评价工作等级划分表</w:t>
            </w:r>
          </w:p>
          <w:tbl>
            <w:tblPr>
              <w:tblStyle w:val="24"/>
              <w:tblW w:w="756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84"/>
              <w:gridCol w:w="1407"/>
              <w:gridCol w:w="1304"/>
              <w:gridCol w:w="1339"/>
              <w:gridCol w:w="16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84" w:type="dxa"/>
                  <w:tcBorders>
                    <w:tl2br w:val="nil"/>
                    <w:tr2bl w:val="nil"/>
                  </w:tcBorders>
                  <w:vAlign w:val="center"/>
                </w:tcPr>
                <w:p>
                  <w:pPr>
                    <w:pStyle w:val="34"/>
                    <w:bidi w:val="0"/>
                    <w:jc w:val="center"/>
                    <w:rPr>
                      <w:rFonts w:hint="default"/>
                      <w:color w:val="auto"/>
                      <w:sz w:val="18"/>
                      <w:szCs w:val="18"/>
                      <w:highlight w:val="none"/>
                      <w:lang w:val="en-US" w:eastAsia="zh-CN"/>
                    </w:rPr>
                  </w:pPr>
                  <w:r>
                    <w:rPr>
                      <w:rFonts w:hint="eastAsia"/>
                      <w:color w:val="auto"/>
                      <w:sz w:val="18"/>
                      <w:szCs w:val="18"/>
                      <w:highlight w:val="none"/>
                      <w:lang w:val="en-US" w:eastAsia="zh-CN"/>
                    </w:rPr>
                    <w:t>环境风险潜势</w:t>
                  </w:r>
                </w:p>
              </w:tc>
              <w:tc>
                <w:tcPr>
                  <w:tcW w:w="1407" w:type="dxa"/>
                  <w:tcBorders>
                    <w:tl2br w:val="nil"/>
                    <w:tr2bl w:val="nil"/>
                  </w:tcBorders>
                  <w:vAlign w:val="center"/>
                </w:tcPr>
                <w:p>
                  <w:pPr>
                    <w:pStyle w:val="34"/>
                    <w:bidi w:val="0"/>
                    <w:jc w:val="center"/>
                    <w:rPr>
                      <w:rFonts w:hint="default"/>
                      <w:color w:val="auto"/>
                      <w:sz w:val="18"/>
                      <w:szCs w:val="18"/>
                      <w:highlight w:val="none"/>
                      <w:lang w:val="en-US" w:eastAsia="zh-CN"/>
                    </w:rPr>
                  </w:pPr>
                  <w:r>
                    <w:rPr>
                      <w:rFonts w:hint="default"/>
                      <w:color w:val="auto"/>
                      <w:sz w:val="18"/>
                      <w:szCs w:val="18"/>
                      <w:highlight w:val="none"/>
                      <w:lang w:val="en-US" w:eastAsia="zh-CN"/>
                    </w:rPr>
                    <w:t>Ⅳ、Ⅳ</w:t>
                  </w:r>
                  <w:r>
                    <w:rPr>
                      <w:rFonts w:hint="default"/>
                      <w:color w:val="auto"/>
                      <w:sz w:val="18"/>
                      <w:szCs w:val="18"/>
                      <w:highlight w:val="none"/>
                      <w:vertAlign w:val="superscript"/>
                      <w:lang w:val="en-US" w:eastAsia="zh-CN"/>
                    </w:rPr>
                    <w:t>+</w:t>
                  </w:r>
                </w:p>
              </w:tc>
              <w:tc>
                <w:tcPr>
                  <w:tcW w:w="1304" w:type="dxa"/>
                  <w:tcBorders>
                    <w:tl2br w:val="nil"/>
                    <w:tr2bl w:val="nil"/>
                  </w:tcBorders>
                  <w:vAlign w:val="center"/>
                </w:tcPr>
                <w:p>
                  <w:pPr>
                    <w:pStyle w:val="34"/>
                    <w:bidi w:val="0"/>
                    <w:jc w:val="center"/>
                    <w:rPr>
                      <w:rFonts w:hint="default"/>
                      <w:color w:val="auto"/>
                      <w:sz w:val="18"/>
                      <w:szCs w:val="18"/>
                      <w:highlight w:val="none"/>
                      <w:lang w:val="en-US" w:eastAsia="zh-CN"/>
                    </w:rPr>
                  </w:pPr>
                  <w:r>
                    <w:rPr>
                      <w:rFonts w:hint="default"/>
                      <w:color w:val="auto"/>
                      <w:sz w:val="18"/>
                      <w:szCs w:val="18"/>
                      <w:highlight w:val="none"/>
                      <w:lang w:val="en-US" w:eastAsia="zh-CN"/>
                    </w:rPr>
                    <w:t>Ⅲ</w:t>
                  </w:r>
                </w:p>
              </w:tc>
              <w:tc>
                <w:tcPr>
                  <w:tcW w:w="1339" w:type="dxa"/>
                  <w:tcBorders>
                    <w:tl2br w:val="nil"/>
                    <w:tr2bl w:val="nil"/>
                  </w:tcBorders>
                  <w:vAlign w:val="center"/>
                </w:tcPr>
                <w:p>
                  <w:pPr>
                    <w:pStyle w:val="34"/>
                    <w:bidi w:val="0"/>
                    <w:jc w:val="center"/>
                    <w:rPr>
                      <w:rFonts w:hint="default"/>
                      <w:color w:val="auto"/>
                      <w:sz w:val="18"/>
                      <w:szCs w:val="18"/>
                      <w:highlight w:val="none"/>
                      <w:lang w:val="en-US" w:eastAsia="zh-CN"/>
                    </w:rPr>
                  </w:pPr>
                  <w:r>
                    <w:rPr>
                      <w:rFonts w:hint="default"/>
                      <w:color w:val="auto"/>
                      <w:sz w:val="18"/>
                      <w:szCs w:val="18"/>
                      <w:highlight w:val="none"/>
                      <w:lang w:val="en-US" w:eastAsia="zh-CN"/>
                    </w:rPr>
                    <w:t>Ⅱ</w:t>
                  </w:r>
                </w:p>
              </w:tc>
              <w:tc>
                <w:tcPr>
                  <w:tcW w:w="1626" w:type="dxa"/>
                  <w:tcBorders>
                    <w:tl2br w:val="nil"/>
                    <w:tr2bl w:val="nil"/>
                  </w:tcBorders>
                  <w:vAlign w:val="center"/>
                </w:tcPr>
                <w:p>
                  <w:pPr>
                    <w:pStyle w:val="34"/>
                    <w:bidi w:val="0"/>
                    <w:jc w:val="center"/>
                    <w:rPr>
                      <w:rFonts w:hint="default"/>
                      <w:color w:val="auto"/>
                      <w:sz w:val="18"/>
                      <w:szCs w:val="18"/>
                      <w:highlight w:val="none"/>
                      <w:lang w:val="en-US" w:eastAsia="zh-CN"/>
                    </w:rPr>
                  </w:pPr>
                  <w:r>
                    <w:rPr>
                      <w:rFonts w:hint="default"/>
                      <w:color w:val="auto"/>
                      <w:sz w:val="18"/>
                      <w:szCs w:val="18"/>
                      <w:highlight w:val="none"/>
                      <w:lang w:val="en-US" w:eastAsia="zh-CN"/>
                    </w:rPr>
                    <w:t>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84" w:type="dxa"/>
                  <w:tcBorders>
                    <w:tl2br w:val="nil"/>
                    <w:tr2bl w:val="nil"/>
                  </w:tcBorders>
                  <w:vAlign w:val="center"/>
                </w:tcPr>
                <w:p>
                  <w:pPr>
                    <w:pStyle w:val="34"/>
                    <w:bidi w:val="0"/>
                    <w:jc w:val="center"/>
                    <w:rPr>
                      <w:rFonts w:hint="default"/>
                      <w:color w:val="auto"/>
                      <w:sz w:val="18"/>
                      <w:szCs w:val="18"/>
                      <w:highlight w:val="none"/>
                      <w:lang w:val="en-US" w:eastAsia="zh-CN"/>
                    </w:rPr>
                  </w:pPr>
                  <w:r>
                    <w:rPr>
                      <w:rFonts w:hint="eastAsia"/>
                      <w:color w:val="auto"/>
                      <w:sz w:val="18"/>
                      <w:szCs w:val="18"/>
                      <w:highlight w:val="none"/>
                      <w:lang w:val="en-US" w:eastAsia="zh-CN"/>
                    </w:rPr>
                    <w:t>评价工作等级</w:t>
                  </w:r>
                </w:p>
              </w:tc>
              <w:tc>
                <w:tcPr>
                  <w:tcW w:w="1407" w:type="dxa"/>
                  <w:tcBorders>
                    <w:tl2br w:val="nil"/>
                    <w:tr2bl w:val="nil"/>
                  </w:tcBorders>
                  <w:vAlign w:val="center"/>
                </w:tcPr>
                <w:p>
                  <w:pPr>
                    <w:pStyle w:val="34"/>
                    <w:bidi w:val="0"/>
                    <w:jc w:val="center"/>
                    <w:rPr>
                      <w:rFonts w:hint="default"/>
                      <w:color w:val="auto"/>
                      <w:sz w:val="18"/>
                      <w:szCs w:val="18"/>
                      <w:highlight w:val="none"/>
                      <w:lang w:val="en-US" w:eastAsia="zh-CN"/>
                    </w:rPr>
                  </w:pPr>
                  <w:r>
                    <w:rPr>
                      <w:rFonts w:hint="eastAsia"/>
                      <w:color w:val="auto"/>
                      <w:sz w:val="18"/>
                      <w:szCs w:val="18"/>
                      <w:highlight w:val="none"/>
                      <w:lang w:val="en-US" w:eastAsia="zh-CN"/>
                    </w:rPr>
                    <w:t>一</w:t>
                  </w:r>
                </w:p>
              </w:tc>
              <w:tc>
                <w:tcPr>
                  <w:tcW w:w="1304" w:type="dxa"/>
                  <w:tcBorders>
                    <w:tl2br w:val="nil"/>
                    <w:tr2bl w:val="nil"/>
                  </w:tcBorders>
                  <w:vAlign w:val="center"/>
                </w:tcPr>
                <w:p>
                  <w:pPr>
                    <w:pStyle w:val="34"/>
                    <w:bidi w:val="0"/>
                    <w:jc w:val="center"/>
                    <w:rPr>
                      <w:rFonts w:hint="default"/>
                      <w:color w:val="auto"/>
                      <w:sz w:val="18"/>
                      <w:szCs w:val="18"/>
                      <w:highlight w:val="none"/>
                      <w:lang w:val="en-US" w:eastAsia="zh-CN"/>
                    </w:rPr>
                  </w:pPr>
                  <w:r>
                    <w:rPr>
                      <w:rFonts w:hint="eastAsia"/>
                      <w:color w:val="auto"/>
                      <w:sz w:val="18"/>
                      <w:szCs w:val="18"/>
                      <w:highlight w:val="none"/>
                      <w:lang w:val="en-US" w:eastAsia="zh-CN"/>
                    </w:rPr>
                    <w:t>二</w:t>
                  </w:r>
                </w:p>
              </w:tc>
              <w:tc>
                <w:tcPr>
                  <w:tcW w:w="1339" w:type="dxa"/>
                  <w:tcBorders>
                    <w:tl2br w:val="nil"/>
                    <w:tr2bl w:val="nil"/>
                  </w:tcBorders>
                  <w:vAlign w:val="center"/>
                </w:tcPr>
                <w:p>
                  <w:pPr>
                    <w:pStyle w:val="34"/>
                    <w:bidi w:val="0"/>
                    <w:jc w:val="center"/>
                    <w:rPr>
                      <w:rFonts w:hint="default"/>
                      <w:color w:val="auto"/>
                      <w:sz w:val="18"/>
                      <w:szCs w:val="18"/>
                      <w:highlight w:val="none"/>
                      <w:lang w:val="en-US" w:eastAsia="zh-CN"/>
                    </w:rPr>
                  </w:pPr>
                  <w:r>
                    <w:rPr>
                      <w:rFonts w:hint="eastAsia"/>
                      <w:color w:val="auto"/>
                      <w:sz w:val="18"/>
                      <w:szCs w:val="18"/>
                      <w:highlight w:val="none"/>
                      <w:lang w:val="en-US" w:eastAsia="zh-CN"/>
                    </w:rPr>
                    <w:t>三</w:t>
                  </w:r>
                </w:p>
              </w:tc>
              <w:tc>
                <w:tcPr>
                  <w:tcW w:w="1626" w:type="dxa"/>
                  <w:tcBorders>
                    <w:tl2br w:val="nil"/>
                    <w:tr2bl w:val="nil"/>
                  </w:tcBorders>
                  <w:vAlign w:val="center"/>
                </w:tcPr>
                <w:p>
                  <w:pPr>
                    <w:pStyle w:val="34"/>
                    <w:bidi w:val="0"/>
                    <w:jc w:val="center"/>
                    <w:rPr>
                      <w:rFonts w:hint="default"/>
                      <w:color w:val="auto"/>
                      <w:sz w:val="18"/>
                      <w:szCs w:val="18"/>
                      <w:highlight w:val="none"/>
                      <w:lang w:val="en-US" w:eastAsia="zh-CN"/>
                    </w:rPr>
                  </w:pPr>
                  <w:r>
                    <w:rPr>
                      <w:rFonts w:hint="eastAsia"/>
                      <w:color w:val="auto"/>
                      <w:sz w:val="18"/>
                      <w:szCs w:val="18"/>
                      <w:highlight w:val="none"/>
                      <w:lang w:val="en-US" w:eastAsia="zh-CN"/>
                    </w:rPr>
                    <w:t>简单分析</w:t>
                  </w:r>
                  <w:r>
                    <w:rPr>
                      <w:rFonts w:hint="eastAsia"/>
                      <w:color w:val="auto"/>
                      <w:sz w:val="18"/>
                      <w:szCs w:val="18"/>
                      <w:highlight w:val="none"/>
                      <w:vertAlign w:val="superscript"/>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60" w:type="dxa"/>
                  <w:gridSpan w:val="5"/>
                  <w:tcBorders>
                    <w:tl2br w:val="nil"/>
                    <w:tr2bl w:val="nil"/>
                  </w:tcBorders>
                  <w:vAlign w:val="center"/>
                </w:tcPr>
                <w:p>
                  <w:pPr>
                    <w:pStyle w:val="34"/>
                    <w:bidi w:val="0"/>
                    <w:jc w:val="center"/>
                    <w:rPr>
                      <w:rFonts w:hint="default"/>
                      <w:color w:val="auto"/>
                      <w:sz w:val="18"/>
                      <w:szCs w:val="18"/>
                      <w:highlight w:val="none"/>
                      <w:lang w:val="en-US" w:eastAsia="zh-CN"/>
                    </w:rPr>
                  </w:pPr>
                  <w:r>
                    <w:rPr>
                      <w:rFonts w:hint="eastAsia"/>
                      <w:color w:val="auto"/>
                      <w:sz w:val="18"/>
                      <w:szCs w:val="18"/>
                      <w:highlight w:val="none"/>
                      <w:vertAlign w:val="superscript"/>
                      <w:lang w:val="en-US" w:eastAsia="zh-CN"/>
                    </w:rPr>
                    <w:t>a</w:t>
                  </w:r>
                  <w:r>
                    <w:rPr>
                      <w:rFonts w:hint="eastAsia"/>
                      <w:color w:val="auto"/>
                      <w:sz w:val="18"/>
                      <w:szCs w:val="18"/>
                      <w:highlight w:val="none"/>
                      <w:lang w:val="en-US" w:eastAsia="zh-CN"/>
                    </w:rPr>
                    <w:t xml:space="preserve"> </w:t>
                  </w:r>
                  <w:r>
                    <w:rPr>
                      <w:rFonts w:hint="default"/>
                      <w:color w:val="auto"/>
                      <w:sz w:val="18"/>
                      <w:szCs w:val="18"/>
                      <w:highlight w:val="none"/>
                      <w:lang w:val="en-US" w:eastAsia="zh-CN"/>
                    </w:rPr>
                    <w:t>是相对于详细评价工作内容而言，在描述危险物质、环境影响途径、环境危害后果、风险防范措施等方面给出定性的说明。</w:t>
                  </w:r>
                </w:p>
              </w:tc>
            </w:tr>
          </w:tbl>
          <w:p>
            <w:pPr>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rFonts w:hint="eastAsia"/>
                <w:color w:val="auto"/>
                <w:highlight w:val="none"/>
                <w:lang w:val="en-US" w:eastAsia="zh-CN"/>
              </w:rPr>
              <w:t xml:space="preserve"> 单元内存在的危险物质为单一品种，则该物质的数量即为单元内危险物质的总量，若等于或超过相应的临界量，则定为重大危险源。</w:t>
            </w:r>
          </w:p>
          <w:p>
            <w:pPr>
              <w:bidi w:val="0"/>
              <w:rPr>
                <w:color w:val="auto"/>
                <w:highlight w:val="none"/>
              </w:rPr>
            </w:pPr>
            <w:r>
              <w:rPr>
                <w:rFonts w:hint="eastAsia"/>
                <w:color w:val="auto"/>
                <w:highlight w:val="none"/>
                <w:lang w:val="en-US" w:eastAsia="zh-CN"/>
              </w:rPr>
              <w:t>当存在多种危险物质时，则按下式计算物质总量与其临界量比值（</w:t>
            </w:r>
            <w:r>
              <w:rPr>
                <w:rFonts w:hint="default"/>
                <w:color w:val="auto"/>
                <w:highlight w:val="none"/>
                <w:lang w:val="en-US" w:eastAsia="zh-CN"/>
              </w:rPr>
              <w:t>Q</w:t>
            </w:r>
            <w:r>
              <w:rPr>
                <w:rFonts w:hint="eastAsia"/>
                <w:color w:val="auto"/>
                <w:highlight w:val="none"/>
                <w:lang w:val="en-US" w:eastAsia="zh-CN"/>
              </w:rPr>
              <w:t>）</w:t>
            </w:r>
          </w:p>
          <w:p>
            <w:pPr>
              <w:bidi w:val="0"/>
              <w:ind w:left="0" w:leftChars="0" w:firstLine="0" w:firstLineChars="0"/>
              <w:jc w:val="center"/>
              <w:rPr>
                <w:rFonts w:hint="default"/>
                <w:color w:val="auto"/>
                <w:highlight w:val="none"/>
                <w:lang w:val="en-US" w:eastAsia="zh-CN"/>
              </w:rPr>
            </w:pPr>
            <w:r>
              <w:rPr>
                <w:rFonts w:hint="default" w:ascii="Times New Roman" w:hAnsi="Times New Roman" w:cs="Times New Roman"/>
                <w:color w:val="auto"/>
                <w:highlight w:val="none"/>
                <w:lang w:val="en-US" w:eastAsia="zh-CN"/>
              </w:rPr>
              <w:drawing>
                <wp:inline distT="0" distB="0" distL="114300" distR="114300">
                  <wp:extent cx="1991995" cy="506730"/>
                  <wp:effectExtent l="0" t="0" r="8255" b="7620"/>
                  <wp:docPr id="17" name="图片 17" descr="微信截图_2021091516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截图_20210915165846"/>
                          <pic:cNvPicPr>
                            <a:picLocks noChangeAspect="1"/>
                          </pic:cNvPicPr>
                        </pic:nvPicPr>
                        <pic:blipFill>
                          <a:blip r:embed="rId23"/>
                          <a:stretch>
                            <a:fillRect/>
                          </a:stretch>
                        </pic:blipFill>
                        <pic:spPr>
                          <a:xfrm>
                            <a:off x="0" y="0"/>
                            <a:ext cx="1991995" cy="506730"/>
                          </a:xfrm>
                          <a:prstGeom prst="rect">
                            <a:avLst/>
                          </a:prstGeom>
                        </pic:spPr>
                      </pic:pic>
                    </a:graphicData>
                  </a:graphic>
                </wp:inline>
              </w:drawing>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式中：</w:t>
            </w:r>
            <w:r>
              <w:rPr>
                <w:rFonts w:hint="default" w:ascii="Times New Roman" w:hAnsi="Times New Roman" w:cs="Times New Roman"/>
                <w:i/>
                <w:iCs/>
                <w:color w:val="auto"/>
                <w:highlight w:val="none"/>
                <w:lang w:val="en-US" w:eastAsia="zh-CN"/>
              </w:rPr>
              <w:t>q</w:t>
            </w:r>
            <w:r>
              <w:rPr>
                <w:rFonts w:hint="default" w:ascii="Times New Roman" w:hAnsi="Times New Roman" w:cs="Times New Roman"/>
                <w:i/>
                <w:iCs/>
                <w:color w:val="auto"/>
                <w:highlight w:val="none"/>
                <w:vertAlign w:val="subscript"/>
                <w:lang w:val="en-US" w:eastAsia="zh-CN"/>
              </w:rPr>
              <w:t>1</w:t>
            </w:r>
            <w:r>
              <w:rPr>
                <w:rFonts w:hint="default" w:ascii="Times New Roman" w:hAnsi="Times New Roman" w:cs="Times New Roman"/>
                <w:color w:val="auto"/>
                <w:highlight w:val="none"/>
                <w:lang w:val="en-US" w:eastAsia="zh-CN"/>
              </w:rPr>
              <w:t>，</w:t>
            </w:r>
            <w:r>
              <w:rPr>
                <w:rFonts w:hint="default" w:ascii="Times New Roman" w:hAnsi="Times New Roman" w:cs="Times New Roman"/>
                <w:i/>
                <w:iCs/>
                <w:color w:val="auto"/>
                <w:highlight w:val="none"/>
                <w:lang w:val="en-US" w:eastAsia="zh-CN"/>
              </w:rPr>
              <w:t>q</w:t>
            </w:r>
            <w:r>
              <w:rPr>
                <w:rFonts w:hint="default" w:ascii="Times New Roman" w:hAnsi="Times New Roman" w:cs="Times New Roman"/>
                <w:i/>
                <w:iCs/>
                <w:color w:val="auto"/>
                <w:highlight w:val="none"/>
                <w:vertAlign w:val="subscript"/>
                <w:lang w:val="en-US" w:eastAsia="zh-CN"/>
              </w:rPr>
              <w:t>2</w:t>
            </w:r>
            <w:r>
              <w:rPr>
                <w:rFonts w:hint="default" w:ascii="Times New Roman" w:hAnsi="Times New Roman" w:cs="Times New Roman"/>
                <w:color w:val="auto"/>
                <w:highlight w:val="none"/>
                <w:lang w:val="en-US" w:eastAsia="zh-CN"/>
              </w:rPr>
              <w:t>，…，</w:t>
            </w:r>
            <w:r>
              <w:rPr>
                <w:rFonts w:hint="default" w:ascii="Times New Roman" w:hAnsi="Times New Roman" w:cs="Times New Roman"/>
                <w:i/>
                <w:iCs/>
                <w:color w:val="auto"/>
                <w:highlight w:val="none"/>
                <w:lang w:val="en-US" w:eastAsia="zh-CN"/>
              </w:rPr>
              <w:t>q</w:t>
            </w:r>
            <w:r>
              <w:rPr>
                <w:rFonts w:hint="default" w:ascii="Times New Roman" w:hAnsi="Times New Roman" w:cs="Times New Roman"/>
                <w:i/>
                <w:iCs/>
                <w:color w:val="auto"/>
                <w:highlight w:val="none"/>
                <w:vertAlign w:val="subscript"/>
                <w:lang w:val="en-US" w:eastAsia="zh-CN"/>
              </w:rPr>
              <w:t>n</w:t>
            </w:r>
            <w:r>
              <w:rPr>
                <w:rFonts w:hint="default" w:ascii="Times New Roman" w:hAnsi="Times New Roman" w:cs="Times New Roman"/>
                <w:color w:val="auto"/>
                <w:highlight w:val="none"/>
                <w:lang w:val="en-US" w:eastAsia="zh-CN"/>
              </w:rPr>
              <w:t>——每种危险物质的最大存在总量，t；</w:t>
            </w:r>
          </w:p>
          <w:p>
            <w:pPr>
              <w:bidi w:val="0"/>
              <w:ind w:firstLine="1200" w:firstLineChars="500"/>
              <w:rPr>
                <w:rFonts w:hint="default" w:ascii="Times New Roman" w:hAnsi="Times New Roman" w:cs="Times New Roman"/>
                <w:color w:val="auto"/>
                <w:highlight w:val="none"/>
              </w:rPr>
            </w:pPr>
            <w:r>
              <w:rPr>
                <w:rFonts w:hint="default" w:ascii="Times New Roman" w:hAnsi="Times New Roman" w:cs="Times New Roman"/>
                <w:i/>
                <w:iCs/>
                <w:color w:val="auto"/>
                <w:highlight w:val="none"/>
                <w:lang w:val="en-US" w:eastAsia="zh-CN"/>
              </w:rPr>
              <w:t>Q</w:t>
            </w:r>
            <w:r>
              <w:rPr>
                <w:rFonts w:hint="default" w:ascii="Times New Roman" w:hAnsi="Times New Roman" w:cs="Times New Roman"/>
                <w:i/>
                <w:iCs/>
                <w:color w:val="auto"/>
                <w:highlight w:val="none"/>
                <w:vertAlign w:val="subscript"/>
                <w:lang w:val="en-US" w:eastAsia="zh-CN"/>
              </w:rPr>
              <w:t>1</w:t>
            </w:r>
            <w:r>
              <w:rPr>
                <w:rFonts w:hint="default" w:ascii="Times New Roman" w:hAnsi="Times New Roman" w:cs="Times New Roman"/>
                <w:color w:val="auto"/>
                <w:highlight w:val="none"/>
                <w:lang w:val="en-US" w:eastAsia="zh-CN"/>
              </w:rPr>
              <w:t>，</w:t>
            </w:r>
            <w:r>
              <w:rPr>
                <w:rFonts w:hint="default" w:ascii="Times New Roman" w:hAnsi="Times New Roman" w:cs="Times New Roman"/>
                <w:i/>
                <w:iCs/>
                <w:color w:val="auto"/>
                <w:highlight w:val="none"/>
                <w:lang w:val="en-US" w:eastAsia="zh-CN"/>
              </w:rPr>
              <w:t>Q</w:t>
            </w:r>
            <w:r>
              <w:rPr>
                <w:rFonts w:hint="default" w:ascii="Times New Roman" w:hAnsi="Times New Roman" w:cs="Times New Roman"/>
                <w:i/>
                <w:iCs/>
                <w:color w:val="auto"/>
                <w:highlight w:val="none"/>
                <w:vertAlign w:val="subscript"/>
                <w:lang w:val="en-US" w:eastAsia="zh-CN"/>
              </w:rPr>
              <w:t>2</w:t>
            </w:r>
            <w:r>
              <w:rPr>
                <w:rFonts w:hint="default" w:ascii="Times New Roman" w:hAnsi="Times New Roman" w:cs="Times New Roman"/>
                <w:color w:val="auto"/>
                <w:highlight w:val="none"/>
                <w:lang w:val="en-US" w:eastAsia="zh-CN"/>
              </w:rPr>
              <w:t>，…，</w:t>
            </w:r>
            <w:r>
              <w:rPr>
                <w:rFonts w:hint="default" w:ascii="Times New Roman" w:hAnsi="Times New Roman" w:cs="Times New Roman"/>
                <w:i/>
                <w:iCs/>
                <w:color w:val="auto"/>
                <w:highlight w:val="none"/>
                <w:lang w:val="en-US" w:eastAsia="zh-CN"/>
              </w:rPr>
              <w:t>Q</w:t>
            </w:r>
            <w:r>
              <w:rPr>
                <w:rFonts w:hint="default" w:ascii="Times New Roman" w:hAnsi="Times New Roman" w:cs="Times New Roman"/>
                <w:i/>
                <w:iCs/>
                <w:color w:val="auto"/>
                <w:highlight w:val="none"/>
                <w:vertAlign w:val="subscript"/>
                <w:lang w:val="en-US" w:eastAsia="zh-CN"/>
              </w:rPr>
              <w:t>n</w:t>
            </w:r>
            <w:r>
              <w:rPr>
                <w:rFonts w:hint="default" w:ascii="Times New Roman" w:hAnsi="Times New Roman" w:cs="Times New Roman"/>
                <w:color w:val="auto"/>
                <w:highlight w:val="none"/>
                <w:lang w:val="en-US" w:eastAsia="zh-CN"/>
              </w:rPr>
              <w:t xml:space="preserve">——每种危险物质的临界量，t。 </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当</w:t>
            </w:r>
            <w:r>
              <w:rPr>
                <w:rFonts w:hint="default" w:ascii="Times New Roman" w:hAnsi="Times New Roman" w:cs="Times New Roman"/>
                <w:i/>
                <w:iCs/>
                <w:color w:val="auto"/>
                <w:highlight w:val="none"/>
                <w:lang w:val="en-US" w:eastAsia="zh-CN"/>
              </w:rPr>
              <w:t>Q</w:t>
            </w:r>
            <w:r>
              <w:rPr>
                <w:rFonts w:hint="default" w:ascii="Times New Roman" w:hAnsi="Times New Roman" w:cs="Times New Roman"/>
                <w:color w:val="auto"/>
                <w:highlight w:val="none"/>
                <w:lang w:val="en-US" w:eastAsia="zh-CN"/>
              </w:rPr>
              <w:t>＜1时，该项目环境风险潜势为Ⅰ</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 xml:space="preserve"> </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当</w:t>
            </w:r>
            <w:r>
              <w:rPr>
                <w:rFonts w:hint="default" w:ascii="Times New Roman" w:hAnsi="Times New Roman" w:cs="Times New Roman"/>
                <w:i/>
                <w:iCs/>
                <w:color w:val="auto"/>
                <w:highlight w:val="none"/>
                <w:lang w:val="en-US" w:eastAsia="zh-CN"/>
              </w:rPr>
              <w:t>Q</w:t>
            </w:r>
            <w:r>
              <w:rPr>
                <w:rFonts w:hint="default" w:ascii="Times New Roman" w:hAnsi="Times New Roman" w:cs="Times New Roman"/>
                <w:color w:val="auto"/>
                <w:highlight w:val="none"/>
                <w:lang w:val="en-US" w:eastAsia="zh-CN"/>
              </w:rPr>
              <w:t>≥1时，将</w:t>
            </w:r>
            <w:r>
              <w:rPr>
                <w:rFonts w:hint="default" w:ascii="Times New Roman" w:hAnsi="Times New Roman" w:cs="Times New Roman"/>
                <w:i/>
                <w:iCs/>
                <w:color w:val="auto"/>
                <w:highlight w:val="none"/>
                <w:lang w:val="en-US" w:eastAsia="zh-CN"/>
              </w:rPr>
              <w:t>Q</w:t>
            </w:r>
            <w:r>
              <w:rPr>
                <w:rFonts w:hint="default" w:ascii="Times New Roman" w:hAnsi="Times New Roman" w:cs="Times New Roman"/>
                <w:color w:val="auto"/>
                <w:highlight w:val="none"/>
                <w:lang w:val="en-US" w:eastAsia="zh-CN"/>
              </w:rPr>
              <w:t>值划分为：（1）1≤</w:t>
            </w:r>
            <w:r>
              <w:rPr>
                <w:rFonts w:hint="default" w:ascii="Times New Roman" w:hAnsi="Times New Roman" w:cs="Times New Roman"/>
                <w:i/>
                <w:iCs/>
                <w:color w:val="auto"/>
                <w:highlight w:val="none"/>
                <w:lang w:val="en-US" w:eastAsia="zh-CN"/>
              </w:rPr>
              <w:t>Q</w:t>
            </w:r>
            <w:r>
              <w:rPr>
                <w:rFonts w:hint="default" w:ascii="Times New Roman" w:hAnsi="Times New Roman" w:cs="Times New Roman"/>
                <w:color w:val="auto"/>
                <w:highlight w:val="none"/>
                <w:lang w:val="en-US" w:eastAsia="zh-CN"/>
              </w:rPr>
              <w:t>＜10；（2）10≤</w:t>
            </w:r>
            <w:r>
              <w:rPr>
                <w:rFonts w:hint="default" w:ascii="Times New Roman" w:hAnsi="Times New Roman" w:cs="Times New Roman"/>
                <w:i/>
                <w:iCs/>
                <w:color w:val="auto"/>
                <w:highlight w:val="none"/>
                <w:lang w:val="en-US" w:eastAsia="zh-CN"/>
              </w:rPr>
              <w:t>Q</w:t>
            </w:r>
            <w:r>
              <w:rPr>
                <w:rFonts w:hint="default" w:ascii="Times New Roman" w:hAnsi="Times New Roman" w:cs="Times New Roman"/>
                <w:color w:val="auto"/>
                <w:highlight w:val="none"/>
                <w:lang w:val="en-US" w:eastAsia="zh-CN"/>
              </w:rPr>
              <w:t>＜100；（3）</w:t>
            </w:r>
            <w:r>
              <w:rPr>
                <w:rFonts w:hint="default" w:ascii="Times New Roman" w:hAnsi="Times New Roman" w:cs="Times New Roman"/>
                <w:i/>
                <w:iCs/>
                <w:color w:val="auto"/>
                <w:highlight w:val="none"/>
                <w:lang w:val="en-US" w:eastAsia="zh-CN"/>
              </w:rPr>
              <w:t>Q</w:t>
            </w:r>
            <w:r>
              <w:rPr>
                <w:rFonts w:hint="default" w:ascii="Times New Roman" w:hAnsi="Times New Roman" w:cs="Times New Roman"/>
                <w:color w:val="auto"/>
                <w:highlight w:val="none"/>
                <w:lang w:val="en-US" w:eastAsia="zh-CN"/>
              </w:rPr>
              <w:t>≥100。</w:t>
            </w:r>
          </w:p>
          <w:p>
            <w:pPr>
              <w:bidi w:val="0"/>
              <w:rPr>
                <w:color w:val="auto"/>
                <w:highlight w:val="none"/>
              </w:rPr>
            </w:pPr>
            <w:r>
              <w:rPr>
                <w:rFonts w:hint="eastAsia"/>
                <w:color w:val="auto"/>
                <w:highlight w:val="none"/>
                <w:lang w:val="en-US" w:eastAsia="zh-CN"/>
              </w:rPr>
              <w:t>本项目危险物质数量与临界量比值</w:t>
            </w:r>
            <w:r>
              <w:rPr>
                <w:rFonts w:hint="default"/>
                <w:color w:val="auto"/>
                <w:highlight w:val="none"/>
                <w:lang w:val="en-US" w:eastAsia="zh-CN"/>
              </w:rPr>
              <w:t>Q</w:t>
            </w:r>
            <w:r>
              <w:rPr>
                <w:rFonts w:hint="eastAsia"/>
                <w:color w:val="auto"/>
                <w:highlight w:val="none"/>
                <w:lang w:val="en-US" w:eastAsia="zh-CN"/>
              </w:rPr>
              <w:t>详见下表。</w:t>
            </w:r>
          </w:p>
          <w:p>
            <w:pPr>
              <w:pStyle w:val="35"/>
              <w:bidi w:val="0"/>
              <w:rPr>
                <w:rFonts w:hint="default"/>
                <w:color w:val="auto"/>
                <w:highlight w:val="none"/>
                <w:lang w:val="en-US" w:eastAsia="zh-CN"/>
              </w:rPr>
            </w:pPr>
            <w:r>
              <w:rPr>
                <w:rFonts w:hint="eastAsia"/>
                <w:color w:val="auto"/>
                <w:highlight w:val="none"/>
                <w:lang w:val="en-US" w:eastAsia="zh-CN"/>
              </w:rPr>
              <w:t>表4-10  项目主要危险物质及Q值一览表</w:t>
            </w:r>
          </w:p>
          <w:tbl>
            <w:tblPr>
              <w:tblStyle w:val="24"/>
              <w:tblW w:w="775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1"/>
              <w:gridCol w:w="1339"/>
              <w:gridCol w:w="1234"/>
              <w:gridCol w:w="1454"/>
              <w:gridCol w:w="1200"/>
              <w:gridCol w:w="958"/>
              <w:gridCol w:w="9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21" w:type="dxa"/>
                  <w:tcBorders>
                    <w:tl2br w:val="nil"/>
                    <w:tr2bl w:val="nil"/>
                  </w:tcBorders>
                  <w:vAlign w:val="center"/>
                </w:tcPr>
                <w:p>
                  <w:pPr>
                    <w:pStyle w:val="34"/>
                    <w:bidi w:val="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序号</w:t>
                  </w:r>
                </w:p>
              </w:tc>
              <w:tc>
                <w:tcPr>
                  <w:tcW w:w="1339" w:type="dxa"/>
                  <w:tcBorders>
                    <w:tl2br w:val="nil"/>
                    <w:tr2bl w:val="nil"/>
                  </w:tcBorders>
                  <w:vAlign w:val="center"/>
                </w:tcPr>
                <w:p>
                  <w:pPr>
                    <w:pStyle w:val="34"/>
                    <w:bidi w:val="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危险物质</w:t>
                  </w:r>
                </w:p>
              </w:tc>
              <w:tc>
                <w:tcPr>
                  <w:tcW w:w="1234" w:type="dxa"/>
                  <w:tcBorders>
                    <w:tl2br w:val="nil"/>
                    <w:tr2bl w:val="nil"/>
                  </w:tcBorders>
                  <w:vAlign w:val="center"/>
                </w:tcPr>
                <w:p>
                  <w:pPr>
                    <w:pStyle w:val="34"/>
                    <w:bidi w:val="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CAS号</w:t>
                  </w:r>
                </w:p>
              </w:tc>
              <w:tc>
                <w:tcPr>
                  <w:tcW w:w="1454" w:type="dxa"/>
                  <w:tcBorders>
                    <w:tl2br w:val="nil"/>
                    <w:tr2bl w:val="nil"/>
                  </w:tcBorders>
                  <w:vAlign w:val="center"/>
                </w:tcPr>
                <w:p>
                  <w:pPr>
                    <w:pStyle w:val="34"/>
                    <w:bidi w:val="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最大存</w:t>
                  </w:r>
                  <w:r>
                    <w:rPr>
                      <w:rFonts w:hint="eastAsia" w:ascii="Times New Roman" w:hAnsi="Times New Roman" w:eastAsia="宋体" w:cs="Times New Roman"/>
                      <w:color w:val="auto"/>
                      <w:sz w:val="18"/>
                      <w:szCs w:val="18"/>
                      <w:highlight w:val="none"/>
                      <w:lang w:val="en-US" w:eastAsia="zh-CN"/>
                    </w:rPr>
                    <w:t>储</w:t>
                  </w:r>
                  <w:r>
                    <w:rPr>
                      <w:rFonts w:hint="default" w:ascii="Times New Roman" w:hAnsi="Times New Roman" w:eastAsia="宋体" w:cs="Times New Roman"/>
                      <w:color w:val="auto"/>
                      <w:sz w:val="18"/>
                      <w:szCs w:val="18"/>
                      <w:highlight w:val="none"/>
                      <w:lang w:val="en-US" w:eastAsia="zh-CN"/>
                    </w:rPr>
                    <w:t>量qn/t</w:t>
                  </w:r>
                </w:p>
              </w:tc>
              <w:tc>
                <w:tcPr>
                  <w:tcW w:w="1200" w:type="dxa"/>
                  <w:tcBorders>
                    <w:tl2br w:val="nil"/>
                    <w:tr2bl w:val="nil"/>
                  </w:tcBorders>
                  <w:vAlign w:val="center"/>
                </w:tcPr>
                <w:p>
                  <w:pPr>
                    <w:pStyle w:val="34"/>
                    <w:bidi w:val="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临界量Qn/t</w:t>
                  </w:r>
                </w:p>
              </w:tc>
              <w:tc>
                <w:tcPr>
                  <w:tcW w:w="958" w:type="dxa"/>
                  <w:tcBorders>
                    <w:tl2br w:val="nil"/>
                    <w:tr2bl w:val="nil"/>
                  </w:tcBorders>
                  <w:vAlign w:val="center"/>
                </w:tcPr>
                <w:p>
                  <w:pPr>
                    <w:pStyle w:val="34"/>
                    <w:bidi w:val="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qn/Qn</w:t>
                  </w:r>
                </w:p>
              </w:tc>
              <w:tc>
                <w:tcPr>
                  <w:tcW w:w="951" w:type="dxa"/>
                  <w:tcBorders>
                    <w:tl2br w:val="nil"/>
                    <w:tr2bl w:val="nil"/>
                  </w:tcBorders>
                  <w:vAlign w:val="center"/>
                </w:tcPr>
                <w:p>
                  <w:pPr>
                    <w:pStyle w:val="34"/>
                    <w:bidi w:val="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Q值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21" w:type="dxa"/>
                  <w:tcBorders>
                    <w:tl2br w:val="nil"/>
                    <w:tr2bl w:val="nil"/>
                  </w:tcBorders>
                  <w:vAlign w:val="center"/>
                </w:tcPr>
                <w:p>
                  <w:pPr>
                    <w:pStyle w:val="34"/>
                    <w:bidi w:val="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1339" w:type="dxa"/>
                  <w:tcBorders>
                    <w:tl2br w:val="nil"/>
                    <w:tr2bl w:val="nil"/>
                  </w:tcBorders>
                  <w:vAlign w:val="center"/>
                </w:tcPr>
                <w:p>
                  <w:pPr>
                    <w:pStyle w:val="34"/>
                    <w:bidi w:val="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废</w:t>
                  </w:r>
                  <w:r>
                    <w:rPr>
                      <w:rFonts w:hint="default" w:ascii="Times New Roman" w:hAnsi="Times New Roman" w:eastAsia="宋体" w:cs="Times New Roman"/>
                      <w:color w:val="auto"/>
                      <w:sz w:val="18"/>
                      <w:szCs w:val="18"/>
                      <w:highlight w:val="none"/>
                      <w:lang w:val="en-US" w:eastAsia="zh-CN"/>
                    </w:rPr>
                    <w:t>润滑油</w:t>
                  </w:r>
                </w:p>
              </w:tc>
              <w:tc>
                <w:tcPr>
                  <w:tcW w:w="1234" w:type="dxa"/>
                  <w:tcBorders>
                    <w:tl2br w:val="nil"/>
                    <w:tr2bl w:val="nil"/>
                  </w:tcBorders>
                  <w:vAlign w:val="center"/>
                </w:tcPr>
                <w:p>
                  <w:pPr>
                    <w:pStyle w:val="34"/>
                    <w:bidi w:val="0"/>
                    <w:ind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w:t>
                  </w:r>
                </w:p>
              </w:tc>
              <w:tc>
                <w:tcPr>
                  <w:tcW w:w="1454" w:type="dxa"/>
                  <w:tcBorders>
                    <w:tl2br w:val="nil"/>
                    <w:tr2bl w:val="nil"/>
                  </w:tcBorders>
                  <w:vAlign w:val="center"/>
                </w:tcPr>
                <w:p>
                  <w:pPr>
                    <w:pStyle w:val="34"/>
                    <w:bidi w:val="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w:t>
                  </w:r>
                  <w:r>
                    <w:rPr>
                      <w:rFonts w:hint="eastAsia" w:cs="Times New Roman"/>
                      <w:color w:val="auto"/>
                      <w:sz w:val="18"/>
                      <w:szCs w:val="18"/>
                      <w:highlight w:val="none"/>
                      <w:lang w:val="en-US" w:eastAsia="zh-CN"/>
                    </w:rPr>
                    <w:t>7</w:t>
                  </w:r>
                </w:p>
              </w:tc>
              <w:tc>
                <w:tcPr>
                  <w:tcW w:w="1200" w:type="dxa"/>
                  <w:tcBorders>
                    <w:tl2br w:val="nil"/>
                    <w:tr2bl w:val="nil"/>
                  </w:tcBorders>
                  <w:vAlign w:val="center"/>
                </w:tcPr>
                <w:p>
                  <w:pPr>
                    <w:pStyle w:val="34"/>
                    <w:bidi w:val="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2500</w:t>
                  </w:r>
                </w:p>
              </w:tc>
              <w:tc>
                <w:tcPr>
                  <w:tcW w:w="958" w:type="dxa"/>
                  <w:tcBorders>
                    <w:tl2br w:val="nil"/>
                    <w:tr2bl w:val="nil"/>
                  </w:tcBorders>
                  <w:vAlign w:val="center"/>
                </w:tcPr>
                <w:p>
                  <w:pPr>
                    <w:pStyle w:val="34"/>
                    <w:bidi w:val="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0.000</w:t>
                  </w:r>
                  <w:r>
                    <w:rPr>
                      <w:rFonts w:hint="eastAsia" w:cs="Times New Roman"/>
                      <w:color w:val="auto"/>
                      <w:sz w:val="18"/>
                      <w:szCs w:val="18"/>
                      <w:highlight w:val="none"/>
                      <w:lang w:val="en-US" w:eastAsia="zh-CN"/>
                    </w:rPr>
                    <w:t>28</w:t>
                  </w:r>
                </w:p>
              </w:tc>
              <w:tc>
                <w:tcPr>
                  <w:tcW w:w="951" w:type="dxa"/>
                  <w:tcBorders>
                    <w:tl2br w:val="nil"/>
                    <w:tr2bl w:val="nil"/>
                  </w:tcBorders>
                  <w:vAlign w:val="center"/>
                </w:tcPr>
                <w:p>
                  <w:pPr>
                    <w:pStyle w:val="34"/>
                    <w:bidi w:val="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806" w:type="dxa"/>
                  <w:gridSpan w:val="6"/>
                  <w:tcBorders>
                    <w:tl2br w:val="nil"/>
                    <w:tr2bl w:val="nil"/>
                  </w:tcBorders>
                  <w:vAlign w:val="center"/>
                </w:tcPr>
                <w:p>
                  <w:pPr>
                    <w:pStyle w:val="34"/>
                    <w:bidi w:val="0"/>
                    <w:ind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合计</w:t>
                  </w:r>
                </w:p>
              </w:tc>
              <w:tc>
                <w:tcPr>
                  <w:tcW w:w="951" w:type="dxa"/>
                  <w:tcBorders>
                    <w:tl2br w:val="nil"/>
                    <w:tr2bl w:val="nil"/>
                  </w:tcBorders>
                  <w:vAlign w:val="center"/>
                </w:tcPr>
                <w:p>
                  <w:pPr>
                    <w:pStyle w:val="34"/>
                    <w:bidi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0.00028</w:t>
                  </w:r>
                </w:p>
              </w:tc>
            </w:tr>
          </w:tbl>
          <w:p>
            <w:pPr>
              <w:keepNext w:val="0"/>
              <w:keepLines w:val="0"/>
              <w:pageBreakBefore w:val="0"/>
              <w:widowControl w:val="0"/>
              <w:kinsoku/>
              <w:wordWrap/>
              <w:overflowPunct/>
              <w:topLinePunct w:val="0"/>
              <w:autoSpaceDE/>
              <w:autoSpaceDN/>
              <w:bidi w:val="0"/>
              <w:adjustRightInd w:val="0"/>
              <w:snapToGrid w:val="0"/>
              <w:spacing w:before="0" w:beforeLines="50"/>
              <w:textAlignment w:val="baseline"/>
              <w:rPr>
                <w:rFonts w:hint="eastAsia"/>
                <w:color w:val="auto"/>
                <w:highlight w:val="none"/>
                <w:lang w:val="en-US" w:eastAsia="zh-CN"/>
              </w:rPr>
            </w:pPr>
            <w:r>
              <w:rPr>
                <w:rFonts w:hint="eastAsia"/>
                <w:color w:val="auto"/>
                <w:highlight w:val="none"/>
                <w:lang w:val="en-US" w:eastAsia="zh-CN"/>
              </w:rPr>
              <w:t>根据</w:t>
            </w:r>
            <w:r>
              <w:rPr>
                <w:rFonts w:hint="default"/>
                <w:color w:val="auto"/>
                <w:highlight w:val="none"/>
                <w:lang w:val="en-US" w:eastAsia="zh-CN"/>
              </w:rPr>
              <w:t>上表计算可知，</w:t>
            </w:r>
            <w:r>
              <w:rPr>
                <w:rFonts w:hint="eastAsia"/>
                <w:color w:val="auto"/>
                <w:highlight w:val="none"/>
                <w:lang w:val="en-US" w:eastAsia="zh-CN"/>
              </w:rPr>
              <w:t>本项目</w:t>
            </w:r>
            <w:r>
              <w:rPr>
                <w:rFonts w:hint="default"/>
                <w:color w:val="auto"/>
                <w:highlight w:val="none"/>
                <w:lang w:val="en-US" w:eastAsia="zh-CN"/>
              </w:rPr>
              <w:t>Q值为0.</w:t>
            </w:r>
            <w:r>
              <w:rPr>
                <w:rFonts w:hint="eastAsia"/>
                <w:color w:val="auto"/>
                <w:highlight w:val="none"/>
                <w:lang w:val="en-US" w:eastAsia="zh-CN"/>
              </w:rPr>
              <w:t>00028</w:t>
            </w:r>
            <w:r>
              <w:rPr>
                <w:rFonts w:hint="default"/>
                <w:color w:val="auto"/>
                <w:highlight w:val="none"/>
                <w:lang w:val="en-US" w:eastAsia="zh-CN"/>
              </w:rPr>
              <w:t>＜1，所以该项目环境风险潜势为Ⅰ，进行简单分析即可。</w:t>
            </w:r>
          </w:p>
          <w:p>
            <w:pPr>
              <w:bidi w:val="0"/>
              <w:rPr>
                <w:color w:val="auto"/>
                <w:highlight w:val="none"/>
              </w:rPr>
            </w:pPr>
            <w:r>
              <w:rPr>
                <w:rFonts w:hint="eastAsia" w:ascii="黑体" w:hAnsi="黑体" w:eastAsia="黑体" w:cs="黑体"/>
                <w:color w:val="auto"/>
                <w:highlight w:val="none"/>
                <w:lang w:val="en-US" w:eastAsia="zh-CN"/>
              </w:rPr>
              <w:t>3、环境风险防范措施</w:t>
            </w:r>
            <w:r>
              <w:rPr>
                <w:color w:val="auto"/>
                <w:highlight w:val="none"/>
                <w:lang w:val="en-US" w:eastAsia="zh-CN"/>
              </w:rPr>
              <w:t xml:space="preserve"> </w:t>
            </w:r>
          </w:p>
          <w:p>
            <w:pPr>
              <w:bidi w:val="0"/>
              <w:rPr>
                <w:b/>
                <w:bCs/>
                <w:color w:val="auto"/>
                <w:highlight w:val="none"/>
              </w:rPr>
            </w:pPr>
            <w:r>
              <w:rPr>
                <w:rFonts w:hint="eastAsia"/>
                <w:color w:val="auto"/>
                <w:highlight w:val="none"/>
                <w:lang w:val="en-US" w:eastAsia="zh-CN"/>
              </w:rPr>
              <w:t>（1）废润滑油泄漏事故风险防范措施</w:t>
            </w:r>
            <w:r>
              <w:rPr>
                <w:rFonts w:hint="eastAsia"/>
                <w:b/>
                <w:bCs/>
                <w:color w:val="auto"/>
                <w:highlight w:val="none"/>
                <w:lang w:val="en-US" w:eastAsia="zh-CN"/>
              </w:rPr>
              <w:t xml:space="preserve"> </w:t>
            </w:r>
          </w:p>
          <w:p>
            <w:pPr>
              <w:bidi w:val="0"/>
              <w:rPr>
                <w:color w:val="auto"/>
                <w:highlight w:val="none"/>
              </w:rPr>
            </w:pPr>
            <w:r>
              <w:rPr>
                <w:rFonts w:hint="eastAsia"/>
                <w:color w:val="auto"/>
                <w:highlight w:val="none"/>
                <w:lang w:val="en-US" w:eastAsia="zh-CN"/>
              </w:rPr>
              <w:t xml:space="preserve">废润滑油发生风险事故为泄漏污染地表水、地下水及土壤环境事故，提出的风险防范措施为：设立三级应急防控体系，具体如下： </w:t>
            </w:r>
          </w:p>
          <w:p>
            <w:pPr>
              <w:bidi w:val="0"/>
              <w:rPr>
                <w:color w:val="auto"/>
                <w:highlight w:val="none"/>
              </w:rPr>
            </w:pPr>
            <w:r>
              <w:rPr>
                <w:rFonts w:hint="eastAsia"/>
                <w:color w:val="auto"/>
                <w:highlight w:val="none"/>
                <w:lang w:val="en-US" w:eastAsia="zh-CN"/>
              </w:rPr>
              <w:t>一级防控措施：贮存区建立不低于</w:t>
            </w:r>
            <w:r>
              <w:rPr>
                <w:rFonts w:hint="default"/>
                <w:color w:val="auto"/>
                <w:highlight w:val="none"/>
                <w:lang w:val="en-US" w:eastAsia="zh-CN"/>
              </w:rPr>
              <w:t>15cm</w:t>
            </w:r>
            <w:r>
              <w:rPr>
                <w:rFonts w:hint="eastAsia"/>
                <w:color w:val="auto"/>
                <w:highlight w:val="none"/>
                <w:lang w:val="en-US" w:eastAsia="zh-CN"/>
              </w:rPr>
              <w:t xml:space="preserve">高的围堰，并进行防渗处理。 </w:t>
            </w:r>
          </w:p>
          <w:p>
            <w:pPr>
              <w:bidi w:val="0"/>
              <w:rPr>
                <w:color w:val="auto"/>
                <w:highlight w:val="none"/>
              </w:rPr>
            </w:pPr>
            <w:r>
              <w:rPr>
                <w:rFonts w:hint="eastAsia"/>
                <w:color w:val="auto"/>
                <w:highlight w:val="none"/>
                <w:lang w:val="en-US" w:eastAsia="zh-CN"/>
              </w:rPr>
              <w:t>二级防控措施：易门铜业有限公司已设置容积为1900m</w:t>
            </w:r>
            <w:r>
              <w:rPr>
                <w:rFonts w:hint="eastAsia"/>
                <w:color w:val="auto"/>
                <w:highlight w:val="none"/>
                <w:vertAlign w:val="superscript"/>
                <w:lang w:val="en-US" w:eastAsia="zh-CN"/>
              </w:rPr>
              <w:t>3</w:t>
            </w:r>
            <w:r>
              <w:rPr>
                <w:rFonts w:hint="eastAsia"/>
                <w:color w:val="auto"/>
                <w:highlight w:val="none"/>
                <w:lang w:val="en-US" w:eastAsia="zh-CN"/>
              </w:rPr>
              <w:t>的事故水池，用于临时贮存消防废水及泄漏物料。项目废润滑油的最大暂存量为0.7t，考虑最不利情况，即废润滑油全部泄漏，泄漏量为0.7t，处理事故所产生的事故废水量一般小于20m</w:t>
            </w:r>
            <w:r>
              <w:rPr>
                <w:rFonts w:hint="eastAsia"/>
                <w:color w:val="auto"/>
                <w:highlight w:val="none"/>
                <w:vertAlign w:val="superscript"/>
                <w:lang w:val="en-US" w:eastAsia="zh-CN"/>
              </w:rPr>
              <w:t>3</w:t>
            </w:r>
            <w:r>
              <w:rPr>
                <w:rFonts w:hint="eastAsia"/>
                <w:color w:val="auto"/>
                <w:highlight w:val="none"/>
                <w:lang w:val="en-US" w:eastAsia="zh-CN"/>
              </w:rPr>
              <w:t xml:space="preserve">，因此，易门铜业有限公司已设置的事故水池完全可以满足项目需求。 </w:t>
            </w:r>
          </w:p>
          <w:p>
            <w:pPr>
              <w:bidi w:val="0"/>
              <w:rPr>
                <w:rFonts w:hint="default" w:ascii="Times New Roman" w:hAnsi="Times New Roman" w:eastAsia="宋体" w:cs="Times New Roman"/>
                <w:caps w:val="0"/>
                <w:smallCaps w:val="0"/>
                <w:color w:val="auto"/>
                <w:sz w:val="24"/>
                <w:szCs w:val="24"/>
                <w:highlight w:val="none"/>
                <w:lang w:val="en-US" w:eastAsia="zh-CN"/>
              </w:rPr>
            </w:pPr>
            <w:r>
              <w:rPr>
                <w:rFonts w:hint="eastAsia"/>
                <w:color w:val="auto"/>
                <w:highlight w:val="none"/>
                <w:lang w:val="en-US" w:eastAsia="zh-CN"/>
              </w:rPr>
              <w:t>三级防控措施：</w:t>
            </w:r>
            <w:r>
              <w:rPr>
                <w:rFonts w:hint="default" w:ascii="Times New Roman" w:hAnsi="Times New Roman" w:eastAsia="宋体" w:cs="Times New Roman"/>
                <w:caps w:val="0"/>
                <w:smallCaps w:val="0"/>
                <w:color w:val="auto"/>
                <w:sz w:val="24"/>
                <w:szCs w:val="24"/>
                <w:highlight w:val="none"/>
                <w:lang w:val="en-US" w:eastAsia="zh-CN"/>
              </w:rPr>
              <w:t>事故水池拦截。操作员在接到生产事故警报时必须立即将全厂雨水总排放口排放切换至事故水池。污染物一旦流入雨水系统，事故水池接纳污染废水，用于各单元在紧急或事故情形下污染废水的临时储存。事后对事故水池中废水进行处理后回用。</w:t>
            </w:r>
          </w:p>
          <w:p>
            <w:pPr>
              <w:bidi w:val="0"/>
              <w:rPr>
                <w:rFonts w:hint="default" w:ascii="Times New Roman" w:hAnsi="Times New Roman" w:eastAsia="宋体" w:cs="Times New Roman"/>
                <w:caps w:val="0"/>
                <w:smallCaps w:val="0"/>
                <w:color w:val="auto"/>
                <w:sz w:val="24"/>
                <w:szCs w:val="24"/>
                <w:highlight w:val="none"/>
                <w:lang w:val="en-US" w:eastAsia="zh-CN"/>
              </w:rPr>
            </w:pPr>
            <w:r>
              <w:rPr>
                <w:rFonts w:hint="eastAsia" w:cs="Times New Roman"/>
                <w:caps w:val="0"/>
                <w:smallCaps w:val="0"/>
                <w:color w:val="auto"/>
                <w:sz w:val="24"/>
                <w:szCs w:val="24"/>
                <w:highlight w:val="none"/>
                <w:lang w:val="en-US" w:eastAsia="zh-CN"/>
              </w:rPr>
              <w:t>（2）燃烧、爆炸事故</w:t>
            </w:r>
            <w:r>
              <w:rPr>
                <w:rFonts w:hint="eastAsia"/>
                <w:color w:val="auto"/>
                <w:highlight w:val="none"/>
                <w:lang w:val="en-US" w:eastAsia="zh-CN"/>
              </w:rPr>
              <w:t>风险防范措施（摘录自项目“安评”）</w:t>
            </w:r>
          </w:p>
          <w:p>
            <w:pPr>
              <w:bidi w:val="0"/>
              <w:rPr>
                <w:rFonts w:hint="default"/>
                <w:color w:val="auto"/>
                <w:highlight w:val="none"/>
                <w:lang w:val="en-US" w:eastAsia="zh-CN"/>
              </w:rPr>
            </w:pPr>
            <w:r>
              <w:rPr>
                <w:rFonts w:hint="eastAsia"/>
                <w:color w:val="auto"/>
                <w:highlight w:val="none"/>
                <w:lang w:val="en-US" w:eastAsia="zh-CN"/>
              </w:rPr>
              <w:t>1）</w:t>
            </w:r>
            <w:r>
              <w:rPr>
                <w:rFonts w:hint="default"/>
                <w:color w:val="auto"/>
                <w:highlight w:val="none"/>
                <w:lang w:val="en-US" w:eastAsia="zh-CN"/>
              </w:rPr>
              <w:t>有火灾危险场所的建（构）筑物的结构形式及其选用的材料，必须符合防火要求。对于火灾危险的区域，应综合考虑防火措施和报警系统，合理选择和配备消防器材。</w:t>
            </w:r>
          </w:p>
          <w:p>
            <w:pPr>
              <w:bidi w:val="0"/>
              <w:rPr>
                <w:rFonts w:hint="default"/>
                <w:color w:val="auto"/>
                <w:highlight w:val="none"/>
                <w:lang w:val="en-US" w:eastAsia="zh-CN"/>
              </w:rPr>
            </w:pPr>
            <w:r>
              <w:rPr>
                <w:rFonts w:hint="eastAsia"/>
                <w:color w:val="auto"/>
                <w:highlight w:val="none"/>
                <w:lang w:val="en-US" w:eastAsia="zh-CN"/>
              </w:rPr>
              <w:t>2）</w:t>
            </w:r>
            <w:r>
              <w:rPr>
                <w:rFonts w:hint="default"/>
                <w:color w:val="auto"/>
                <w:highlight w:val="none"/>
                <w:lang w:val="en-US" w:eastAsia="zh-CN"/>
              </w:rPr>
              <w:t>各建（构）筑物内应设置疏散标志，其安全出口设置应符合《建筑设计防火规范（2018年版）》（GB50016-2014）的规定。</w:t>
            </w:r>
          </w:p>
          <w:p>
            <w:pPr>
              <w:bidi w:val="0"/>
              <w:rPr>
                <w:rFonts w:hint="default"/>
                <w:color w:val="auto"/>
                <w:highlight w:val="none"/>
                <w:lang w:val="en-US" w:eastAsia="zh-CN"/>
              </w:rPr>
            </w:pPr>
            <w:r>
              <w:rPr>
                <w:rFonts w:hint="eastAsia"/>
                <w:color w:val="auto"/>
                <w:highlight w:val="none"/>
                <w:lang w:val="en-US" w:eastAsia="zh-CN"/>
              </w:rPr>
              <w:t>3）</w:t>
            </w:r>
            <w:r>
              <w:rPr>
                <w:rFonts w:hint="default"/>
                <w:color w:val="auto"/>
                <w:highlight w:val="none"/>
                <w:lang w:val="en-US" w:eastAsia="zh-CN"/>
              </w:rPr>
              <w:t>制氧装置区域应采用不发火花地面。</w:t>
            </w:r>
          </w:p>
          <w:p>
            <w:pPr>
              <w:bidi w:val="0"/>
              <w:rPr>
                <w:rFonts w:hint="default"/>
                <w:color w:val="auto"/>
                <w:highlight w:val="none"/>
                <w:lang w:val="en-US" w:eastAsia="zh-CN"/>
              </w:rPr>
            </w:pPr>
            <w:r>
              <w:rPr>
                <w:rFonts w:hint="eastAsia"/>
                <w:color w:val="auto"/>
                <w:highlight w:val="none"/>
                <w:lang w:val="en-US" w:eastAsia="zh-CN"/>
              </w:rPr>
              <w:t>4）</w:t>
            </w:r>
            <w:r>
              <w:rPr>
                <w:rFonts w:hint="default"/>
                <w:color w:val="auto"/>
                <w:highlight w:val="none"/>
                <w:lang w:val="en-US" w:eastAsia="zh-CN"/>
              </w:rPr>
              <w:t>氧气平衡罐、氧气管道处及制氧厂房均采取防雷、防静电接地系统，以防受雷电或静电危害而引发火灾爆炸事故。</w:t>
            </w:r>
          </w:p>
          <w:p>
            <w:pPr>
              <w:bidi w:val="0"/>
              <w:rPr>
                <w:rFonts w:hint="default"/>
                <w:color w:val="auto"/>
                <w:highlight w:val="none"/>
                <w:lang w:val="en-US" w:eastAsia="zh-CN"/>
              </w:rPr>
            </w:pPr>
            <w:r>
              <w:rPr>
                <w:rFonts w:hint="eastAsia"/>
                <w:color w:val="auto"/>
                <w:highlight w:val="none"/>
                <w:lang w:val="en-US" w:eastAsia="zh-CN"/>
              </w:rPr>
              <w:t>5）</w:t>
            </w:r>
            <w:r>
              <w:rPr>
                <w:rFonts w:hint="default"/>
                <w:color w:val="auto"/>
                <w:highlight w:val="none"/>
                <w:lang w:val="en-US" w:eastAsia="zh-CN"/>
              </w:rPr>
              <w:t>电器设备、电缆应按有关规定采取阻火措施。</w:t>
            </w:r>
          </w:p>
          <w:p>
            <w:pPr>
              <w:bidi w:val="0"/>
              <w:rPr>
                <w:rFonts w:hint="default"/>
                <w:color w:val="auto"/>
                <w:highlight w:val="none"/>
                <w:lang w:val="en-US" w:eastAsia="zh-CN"/>
              </w:rPr>
            </w:pPr>
            <w:r>
              <w:rPr>
                <w:rFonts w:hint="eastAsia"/>
                <w:color w:val="auto"/>
                <w:highlight w:val="none"/>
                <w:lang w:val="en-US" w:eastAsia="zh-CN"/>
              </w:rPr>
              <w:t>6）</w:t>
            </w:r>
            <w:r>
              <w:rPr>
                <w:rFonts w:hint="default"/>
                <w:color w:val="auto"/>
                <w:highlight w:val="none"/>
                <w:lang w:val="en-US" w:eastAsia="zh-CN"/>
              </w:rPr>
              <w:t>防容器爆炸：设计或采购的压力容器应为有资质的单位设计或制造的，符合《固定式压力容器安全技术监察规程》（TSG21-2016）、《压力容器》系列标准（GB/T150.1~GB/T150.4-2024）等相关标准要求的合格产品；设计安全阀、压力表等安全附件；制定温度、压力等工艺参数指标及超压安全泄放联锁等。</w:t>
            </w:r>
          </w:p>
          <w:p>
            <w:pPr>
              <w:bidi w:val="0"/>
              <w:rPr>
                <w:rFonts w:hint="default" w:ascii="Times New Roman" w:hAnsi="Times New Roman" w:eastAsia="宋体" w:cs="Times New Roman"/>
                <w:caps w:val="0"/>
                <w:smallCaps w:val="0"/>
                <w:color w:val="auto"/>
                <w:szCs w:val="24"/>
                <w:highlight w:val="none"/>
                <w:lang w:val="en-US" w:eastAsia="zh-CN"/>
              </w:rPr>
            </w:pPr>
            <w:r>
              <w:rPr>
                <w:rFonts w:hint="eastAsia"/>
                <w:color w:val="auto"/>
                <w:highlight w:val="none"/>
                <w:lang w:val="en-US" w:eastAsia="zh-CN"/>
              </w:rPr>
              <w:t>7）</w:t>
            </w:r>
            <w:r>
              <w:rPr>
                <w:rFonts w:hint="default"/>
                <w:color w:val="auto"/>
                <w:highlight w:val="none"/>
                <w:lang w:val="en-US" w:eastAsia="zh-CN"/>
              </w:rPr>
              <w:t>防管道爆炸：工业管道在设计时应按《工业管道安全技术规程》（TSG31-2025）以及即将实施的国家标准《压力管道规范 第1部分：工业管道》（GB/T 20801.1-2025，2026年5月1日实施）的有关规定执行；设计安全阀、压力表等安全附件；制定温度、压力等工艺参数指标及超压安全泄放联锁等。</w:t>
            </w:r>
          </w:p>
          <w:p>
            <w:pPr>
              <w:bidi w:val="0"/>
              <w:rPr>
                <w:rFonts w:hint="eastAsia" w:ascii="Times New Roman" w:hAnsi="Times New Roman" w:eastAsia="宋体" w:cs="Times New Roman"/>
                <w:caps w:val="0"/>
                <w:smallCaps w:val="0"/>
                <w:color w:val="auto"/>
                <w:sz w:val="24"/>
                <w:szCs w:val="24"/>
                <w:highlight w:val="none"/>
                <w:lang w:val="en-US" w:eastAsia="zh-CN"/>
              </w:rPr>
            </w:pPr>
            <w:r>
              <w:rPr>
                <w:rFonts w:hint="eastAsia" w:cs="Times New Roman"/>
                <w:caps w:val="0"/>
                <w:smallCaps w:val="0"/>
                <w:color w:val="auto"/>
                <w:sz w:val="24"/>
                <w:szCs w:val="24"/>
                <w:highlight w:val="none"/>
                <w:lang w:val="en-US" w:eastAsia="zh-CN"/>
              </w:rPr>
              <w:t>（3）</w:t>
            </w:r>
            <w:r>
              <w:rPr>
                <w:rFonts w:hint="default" w:ascii="Times New Roman" w:hAnsi="Times New Roman" w:cs="Times New Roman"/>
                <w:color w:val="auto"/>
                <w:highlight w:val="none"/>
              </w:rPr>
              <w:t>中毒、窒息</w:t>
            </w:r>
            <w:r>
              <w:rPr>
                <w:rFonts w:hint="eastAsia" w:ascii="Times New Roman" w:hAnsi="Times New Roman" w:cs="Times New Roman"/>
                <w:color w:val="auto"/>
                <w:highlight w:val="none"/>
                <w:lang w:val="en-US" w:eastAsia="zh-CN"/>
              </w:rPr>
              <w:t>事故</w:t>
            </w:r>
            <w:r>
              <w:rPr>
                <w:rFonts w:hint="eastAsia"/>
                <w:color w:val="auto"/>
                <w:highlight w:val="none"/>
                <w:lang w:val="en-US" w:eastAsia="zh-CN"/>
              </w:rPr>
              <w:t>风险防范措施（摘录自项目“安评”）</w:t>
            </w:r>
          </w:p>
          <w:p>
            <w:pPr>
              <w:bidi w:val="0"/>
              <w:rPr>
                <w:rFonts w:hint="default"/>
                <w:color w:val="auto"/>
                <w:highlight w:val="none"/>
                <w:lang w:val="en-US" w:eastAsia="zh-CN"/>
              </w:rPr>
            </w:pPr>
            <w:r>
              <w:rPr>
                <w:rFonts w:hint="eastAsia"/>
                <w:color w:val="auto"/>
                <w:highlight w:val="none"/>
                <w:lang w:val="en-US" w:eastAsia="zh-CN"/>
              </w:rPr>
              <w:t>1）</w:t>
            </w:r>
            <w:r>
              <w:rPr>
                <w:rFonts w:hint="default"/>
                <w:color w:val="auto"/>
                <w:highlight w:val="none"/>
                <w:lang w:val="en-US" w:eastAsia="zh-CN"/>
              </w:rPr>
              <w:t>总平面设计时按《工业企业总平面设计规范》（GB50187-2012）的要求并结合当地气象条件，使作业场所具有良好的自然通风条件。</w:t>
            </w:r>
          </w:p>
          <w:p>
            <w:pPr>
              <w:bidi w:val="0"/>
              <w:rPr>
                <w:rFonts w:hint="default"/>
                <w:color w:val="auto"/>
                <w:highlight w:val="none"/>
                <w:lang w:val="en-US" w:eastAsia="zh-CN"/>
              </w:rPr>
            </w:pPr>
            <w:r>
              <w:rPr>
                <w:rFonts w:hint="eastAsia"/>
                <w:color w:val="auto"/>
                <w:highlight w:val="none"/>
                <w:lang w:val="en-US" w:eastAsia="zh-CN"/>
              </w:rPr>
              <w:t>2）</w:t>
            </w:r>
            <w:r>
              <w:rPr>
                <w:rFonts w:hint="default"/>
                <w:color w:val="auto"/>
                <w:highlight w:val="none"/>
                <w:lang w:val="en-US" w:eastAsia="zh-CN"/>
              </w:rPr>
              <w:t>在进入吸附塔、氧气平衡罐内受限空间作业前，应先进行置换处理，经采样分析氧气浓度合格后，方可进入，同时应有监护和必要的应急防护措施。</w:t>
            </w:r>
          </w:p>
          <w:p>
            <w:pPr>
              <w:bidi w:val="0"/>
              <w:rPr>
                <w:rFonts w:hint="default"/>
                <w:color w:val="auto"/>
                <w:highlight w:val="none"/>
                <w:lang w:val="en-US" w:eastAsia="zh-CN"/>
              </w:rPr>
            </w:pPr>
            <w:r>
              <w:rPr>
                <w:rFonts w:hint="eastAsia"/>
                <w:color w:val="auto"/>
                <w:highlight w:val="none"/>
                <w:lang w:val="en-US" w:eastAsia="zh-CN"/>
              </w:rPr>
              <w:t>3）</w:t>
            </w:r>
            <w:r>
              <w:rPr>
                <w:rFonts w:hint="default"/>
                <w:color w:val="auto"/>
                <w:highlight w:val="none"/>
                <w:lang w:val="en-US" w:eastAsia="zh-CN"/>
              </w:rPr>
              <w:t>在下一步的设计中，应按照《个体防护装备配备规范 第1部分：总则》（GB39800.1-2020）、《个体防护装备配备规范 第2部分：石油、化工、天然气》（GB39800.2-2020）等国家相关规范的要求为作业人员配备劳动防护用品。</w:t>
            </w:r>
          </w:p>
          <w:p>
            <w:pPr>
              <w:bidi w:val="0"/>
              <w:rPr>
                <w:rFonts w:hint="default"/>
                <w:color w:val="auto"/>
                <w:highlight w:val="none"/>
                <w:lang w:val="en-US" w:eastAsia="zh-CN"/>
              </w:rPr>
            </w:pPr>
            <w:r>
              <w:rPr>
                <w:rFonts w:hint="eastAsia"/>
                <w:color w:val="auto"/>
                <w:highlight w:val="none"/>
                <w:lang w:val="en-US" w:eastAsia="zh-CN"/>
              </w:rPr>
              <w:t>4）</w:t>
            </w:r>
            <w:r>
              <w:rPr>
                <w:rFonts w:hint="default"/>
                <w:color w:val="auto"/>
                <w:highlight w:val="none"/>
                <w:lang w:val="en-US" w:eastAsia="zh-CN"/>
              </w:rPr>
              <w:t>车间内应设置事故柜和常备一定数量的救护用具及药品。</w:t>
            </w:r>
          </w:p>
          <w:p>
            <w:pPr>
              <w:bidi w:val="0"/>
              <w:rPr>
                <w:rFonts w:hint="default"/>
                <w:color w:val="auto"/>
                <w:highlight w:val="none"/>
                <w:lang w:val="en-US" w:eastAsia="zh-CN"/>
              </w:rPr>
            </w:pPr>
            <w:r>
              <w:rPr>
                <w:rFonts w:hint="eastAsia"/>
                <w:color w:val="auto"/>
                <w:highlight w:val="none"/>
                <w:lang w:val="en-US" w:eastAsia="zh-CN"/>
              </w:rPr>
              <w:t>5）</w:t>
            </w:r>
            <w:r>
              <w:rPr>
                <w:rFonts w:hint="default"/>
                <w:color w:val="auto"/>
                <w:highlight w:val="none"/>
                <w:lang w:val="en-US" w:eastAsia="zh-CN"/>
              </w:rPr>
              <w:t>在工作场所醒目位置设置警示标识和中文警示说明。警示说明应当载明产生高浓度氧中毒、氮气窒息危害的种类、后果、预防以及应急救治措施等内容并经常监督检查。</w:t>
            </w:r>
          </w:p>
          <w:p>
            <w:pPr>
              <w:bidi w:val="0"/>
              <w:rPr>
                <w:rFonts w:hint="default"/>
                <w:color w:val="auto"/>
                <w:highlight w:val="none"/>
                <w:lang w:val="en-US" w:eastAsia="zh-CN"/>
              </w:rPr>
            </w:pPr>
            <w:r>
              <w:rPr>
                <w:rFonts w:hint="eastAsia"/>
                <w:color w:val="auto"/>
                <w:highlight w:val="none"/>
                <w:lang w:val="en-US" w:eastAsia="zh-CN"/>
              </w:rPr>
              <w:t>6）</w:t>
            </w:r>
            <w:r>
              <w:rPr>
                <w:rFonts w:hint="default"/>
                <w:color w:val="auto"/>
                <w:highlight w:val="none"/>
                <w:lang w:val="en-US" w:eastAsia="zh-CN"/>
              </w:rPr>
              <w:t>根据厂区情况、人员分布、附近居民分布等，将风向标设置于各类人员便于看到的位置，确保人员相对集中的区域能够在室外观察到风向标、确定风向。</w:t>
            </w:r>
          </w:p>
          <w:p>
            <w:pPr>
              <w:bidi w:val="0"/>
              <w:rPr>
                <w:rFonts w:hint="default"/>
                <w:color w:val="auto"/>
                <w:highlight w:val="none"/>
                <w:lang w:val="en-US" w:eastAsia="zh-CN"/>
              </w:rPr>
            </w:pPr>
            <w:r>
              <w:rPr>
                <w:rFonts w:hint="eastAsia"/>
                <w:color w:val="auto"/>
                <w:highlight w:val="none"/>
                <w:lang w:val="en-US" w:eastAsia="zh-CN"/>
              </w:rPr>
              <w:t>7）</w:t>
            </w:r>
            <w:r>
              <w:rPr>
                <w:rFonts w:hint="default"/>
                <w:color w:val="auto"/>
                <w:highlight w:val="none"/>
                <w:lang w:val="en-US" w:eastAsia="zh-CN"/>
              </w:rPr>
              <w:t>为避免氧气、氮气泄漏危害作业人员，按《石油化工可燃气体和有毒气体检测报警设计标准》（GB/T50493-2019）第6.1.3条的要求，环境氧气探测器的安装高度宜距地坪或楼地板1.5m~2.0m。</w:t>
            </w:r>
          </w:p>
          <w:p>
            <w:pPr>
              <w:bidi w:val="0"/>
              <w:rPr>
                <w:rFonts w:hint="default" w:ascii="Times New Roman" w:hAnsi="Times New Roman" w:eastAsia="宋体" w:cs="Times New Roman"/>
                <w:caps w:val="0"/>
                <w:smallCaps w:val="0"/>
                <w:color w:val="auto"/>
                <w:szCs w:val="24"/>
                <w:highlight w:val="none"/>
                <w:lang w:val="en-US" w:eastAsia="zh-CN"/>
              </w:rPr>
            </w:pPr>
            <w:r>
              <w:rPr>
                <w:rFonts w:hint="eastAsia"/>
                <w:color w:val="auto"/>
                <w:highlight w:val="none"/>
                <w:lang w:val="en-US" w:eastAsia="zh-CN"/>
              </w:rPr>
              <w:t>8）</w:t>
            </w:r>
            <w:r>
              <w:rPr>
                <w:rFonts w:hint="default"/>
                <w:color w:val="auto"/>
                <w:highlight w:val="none"/>
                <w:lang w:val="en-US" w:eastAsia="zh-CN"/>
              </w:rPr>
              <w:t>氧气站的氧气、氮气等放散管应引至室外安全处，放散管口距地面不得低于4.5m。</w:t>
            </w:r>
          </w:p>
          <w:p>
            <w:pPr>
              <w:bidi w:val="0"/>
              <w:rPr>
                <w:rFonts w:hint="default" w:ascii="Times New Roman" w:hAnsi="Times New Roman" w:eastAsia="宋体" w:cs="Times New Roman"/>
                <w:caps w:val="0"/>
                <w:smallCaps w:val="0"/>
                <w:color w:val="auto"/>
                <w:sz w:val="24"/>
                <w:szCs w:val="24"/>
                <w:highlight w:val="none"/>
                <w:lang w:val="en-US" w:eastAsia="zh-CN"/>
              </w:rPr>
            </w:pPr>
            <w:r>
              <w:rPr>
                <w:rFonts w:hint="eastAsia" w:cs="Times New Roman"/>
                <w:caps w:val="0"/>
                <w:smallCaps w:val="0"/>
                <w:color w:val="auto"/>
                <w:sz w:val="24"/>
                <w:szCs w:val="24"/>
                <w:highlight w:val="none"/>
                <w:lang w:val="en-US" w:eastAsia="zh-CN"/>
              </w:rPr>
              <w:t>（4）气体泄漏风险</w:t>
            </w:r>
            <w:r>
              <w:rPr>
                <w:rFonts w:hint="eastAsia"/>
                <w:color w:val="auto"/>
                <w:highlight w:val="none"/>
                <w:lang w:val="en-US" w:eastAsia="zh-CN"/>
              </w:rPr>
              <w:t>防范措施（摘录自项目“安评”）</w:t>
            </w:r>
          </w:p>
          <w:p>
            <w:pPr>
              <w:bidi w:val="0"/>
              <w:rPr>
                <w:rFonts w:hint="default"/>
                <w:color w:val="auto"/>
                <w:highlight w:val="none"/>
                <w:lang w:val="en-US" w:eastAsia="zh-CN"/>
              </w:rPr>
            </w:pPr>
            <w:r>
              <w:rPr>
                <w:rFonts w:hint="eastAsia"/>
                <w:color w:val="auto"/>
                <w:highlight w:val="none"/>
                <w:lang w:val="en-US" w:eastAsia="zh-CN"/>
              </w:rPr>
              <w:t>1）</w:t>
            </w:r>
            <w:r>
              <w:rPr>
                <w:rFonts w:hint="default"/>
                <w:color w:val="auto"/>
                <w:highlight w:val="none"/>
                <w:lang w:val="en-US" w:eastAsia="zh-CN"/>
              </w:rPr>
              <w:t>采用密闭化、连续化、自动化生产。设计符合功能安全等级要求的安全报警及联锁、紧急停车系统，防止因参数失控或超压导致的泄漏。</w:t>
            </w:r>
          </w:p>
          <w:p>
            <w:pPr>
              <w:bidi w:val="0"/>
              <w:rPr>
                <w:rFonts w:hint="default"/>
                <w:color w:val="auto"/>
                <w:highlight w:val="none"/>
                <w:lang w:val="en-US" w:eastAsia="zh-CN"/>
              </w:rPr>
            </w:pPr>
            <w:r>
              <w:rPr>
                <w:rFonts w:hint="eastAsia"/>
                <w:color w:val="auto"/>
                <w:highlight w:val="none"/>
                <w:lang w:val="en-US" w:eastAsia="zh-CN"/>
              </w:rPr>
              <w:t>2）</w:t>
            </w:r>
            <w:r>
              <w:rPr>
                <w:rFonts w:hint="default"/>
                <w:color w:val="auto"/>
                <w:highlight w:val="none"/>
                <w:lang w:val="en-US" w:eastAsia="zh-CN"/>
              </w:rPr>
              <w:t>管道、阀门、法兰及吸附塔、真空泵、氧气缓冲罐等均按要求进行选型，防止超压、泄漏。</w:t>
            </w:r>
          </w:p>
          <w:p>
            <w:pPr>
              <w:bidi w:val="0"/>
              <w:rPr>
                <w:rFonts w:hint="default"/>
                <w:color w:val="auto"/>
                <w:highlight w:val="none"/>
                <w:lang w:val="en-US" w:eastAsia="zh-CN"/>
              </w:rPr>
            </w:pPr>
            <w:r>
              <w:rPr>
                <w:rFonts w:hint="eastAsia"/>
                <w:color w:val="auto"/>
                <w:highlight w:val="none"/>
                <w:lang w:val="en-US" w:eastAsia="zh-CN"/>
              </w:rPr>
              <w:t>3）</w:t>
            </w:r>
            <w:r>
              <w:rPr>
                <w:rFonts w:hint="default"/>
                <w:color w:val="auto"/>
                <w:highlight w:val="none"/>
                <w:lang w:val="en-US" w:eastAsia="zh-CN"/>
              </w:rPr>
              <w:t>对氧气管道、法兰、阀门，按照规范要求</w:t>
            </w:r>
            <w:r>
              <w:rPr>
                <w:rFonts w:hint="eastAsia"/>
                <w:color w:val="auto"/>
                <w:highlight w:val="none"/>
                <w:lang w:val="en-US" w:eastAsia="zh-CN"/>
              </w:rPr>
              <w:t>选择</w:t>
            </w:r>
            <w:r>
              <w:rPr>
                <w:rFonts w:hint="default"/>
                <w:color w:val="auto"/>
                <w:highlight w:val="none"/>
                <w:lang w:val="en-US" w:eastAsia="zh-CN"/>
              </w:rPr>
              <w:t>密封性能好的专用阀门，并配以耐温密封材料和零泄漏设计，防止泄漏事故的发生。阀门材质等于或高于相应管线。</w:t>
            </w:r>
          </w:p>
          <w:p>
            <w:pPr>
              <w:bidi w:val="0"/>
              <w:rPr>
                <w:rFonts w:hint="default"/>
                <w:color w:val="auto"/>
                <w:highlight w:val="none"/>
                <w:lang w:val="en-US" w:eastAsia="zh-CN"/>
              </w:rPr>
            </w:pPr>
            <w:r>
              <w:rPr>
                <w:rFonts w:hint="eastAsia"/>
                <w:color w:val="auto"/>
                <w:highlight w:val="none"/>
                <w:lang w:val="en-US" w:eastAsia="zh-CN"/>
              </w:rPr>
              <w:t>4）</w:t>
            </w:r>
            <w:r>
              <w:rPr>
                <w:rFonts w:hint="default"/>
                <w:color w:val="auto"/>
                <w:highlight w:val="none"/>
                <w:lang w:val="en-US" w:eastAsia="zh-CN"/>
              </w:rPr>
              <w:t>在设备和管线的排放口加装盲板、丝堵、管帽、双阀等措施，减少泄漏的可能性。采样口设置密闭取样器。</w:t>
            </w:r>
          </w:p>
          <w:p>
            <w:pPr>
              <w:bidi w:val="0"/>
              <w:rPr>
                <w:color w:val="auto"/>
                <w:highlight w:val="none"/>
              </w:rPr>
            </w:pPr>
            <w:r>
              <w:rPr>
                <w:rFonts w:hint="eastAsia"/>
                <w:color w:val="auto"/>
                <w:highlight w:val="none"/>
                <w:lang w:val="en-US" w:eastAsia="zh-CN"/>
              </w:rPr>
              <w:t>5）</w:t>
            </w:r>
            <w:r>
              <w:rPr>
                <w:rFonts w:hint="default"/>
                <w:color w:val="auto"/>
                <w:highlight w:val="none"/>
                <w:lang w:val="en-US" w:eastAsia="zh-CN"/>
              </w:rPr>
              <w:t>设备及管道走向的布置在经济性的原则下，尽量进行柔性设计，以减少设备管口的受力，防止法兰泄漏。</w:t>
            </w:r>
            <w:r>
              <w:rPr>
                <w:rFonts w:hint="eastAsia"/>
                <w:color w:val="auto"/>
                <w:highlight w:val="none"/>
                <w:lang w:val="en-US" w:eastAsia="zh-CN"/>
              </w:rPr>
              <w:t xml:space="preserve"> </w:t>
            </w:r>
          </w:p>
          <w:p>
            <w:pPr>
              <w:bidi w:val="0"/>
              <w:rPr>
                <w:rFonts w:hint="eastAsia"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4、突发环境事件应急预案</w:t>
            </w:r>
          </w:p>
          <w:p>
            <w:pPr>
              <w:bidi w:val="0"/>
              <w:rPr>
                <w:rFonts w:hint="eastAsia" w:ascii="黑体" w:hAnsi="黑体" w:eastAsia="黑体" w:cs="黑体"/>
                <w:color w:val="auto"/>
                <w:highlight w:val="none"/>
                <w:lang w:val="en-US" w:eastAsia="zh-CN"/>
              </w:rPr>
            </w:pPr>
            <w:r>
              <w:rPr>
                <w:rFonts w:hint="eastAsia"/>
                <w:color w:val="auto"/>
                <w:highlight w:val="none"/>
                <w:lang w:val="en-US" w:eastAsia="zh-CN"/>
              </w:rPr>
              <w:t>本项目建成后要求企业应及时对《突发环境事件应急预案》进行修编、备案，并按要求配备相应应急物资，定期进行演练，增强企业应急处置能力。</w:t>
            </w:r>
          </w:p>
          <w:p>
            <w:pPr>
              <w:bidi w:val="0"/>
              <w:rPr>
                <w:color w:val="auto"/>
                <w:highlight w:val="none"/>
              </w:rPr>
            </w:pPr>
            <w:r>
              <w:rPr>
                <w:rFonts w:hint="eastAsia" w:ascii="黑体" w:hAnsi="黑体" w:eastAsia="黑体" w:cs="黑体"/>
                <w:color w:val="auto"/>
                <w:highlight w:val="none"/>
                <w:lang w:val="en-US" w:eastAsia="zh-CN"/>
              </w:rPr>
              <w:t>5、环境风险结论</w:t>
            </w:r>
            <w:r>
              <w:rPr>
                <w:rFonts w:hint="eastAsia"/>
                <w:color w:val="auto"/>
                <w:highlight w:val="none"/>
                <w:lang w:val="en-US" w:eastAsia="zh-CN"/>
              </w:rPr>
              <w:t xml:space="preserve"> </w:t>
            </w:r>
          </w:p>
          <w:p>
            <w:pPr>
              <w:bidi w:val="0"/>
              <w:rPr>
                <w:rFonts w:hint="eastAsia"/>
                <w:color w:val="auto"/>
                <w:highlight w:val="none"/>
                <w:lang w:val="en-US" w:eastAsia="zh-CN"/>
              </w:rPr>
            </w:pPr>
            <w:r>
              <w:rPr>
                <w:rFonts w:hint="eastAsia"/>
                <w:color w:val="auto"/>
                <w:highlight w:val="none"/>
                <w:lang w:val="en-US" w:eastAsia="zh-CN"/>
              </w:rPr>
              <w:t>项目环境风险潜势为</w:t>
            </w:r>
            <w:r>
              <w:rPr>
                <w:rFonts w:hint="default"/>
                <w:color w:val="auto"/>
                <w:highlight w:val="none"/>
                <w:lang w:val="en-US" w:eastAsia="zh-CN"/>
              </w:rPr>
              <w:t>I</w:t>
            </w:r>
            <w:r>
              <w:rPr>
                <w:rFonts w:hint="eastAsia"/>
                <w:color w:val="auto"/>
                <w:highlight w:val="none"/>
                <w:lang w:val="en-US" w:eastAsia="zh-CN"/>
              </w:rPr>
              <w:t xml:space="preserve">级，环境风险较小，建设单位在做好各项风险防范措施并严格按照提出的措施要求进行生产管理的前提下，项目生产运营过程中环境风险是可控的。风险总结评价内容见下表： </w:t>
            </w:r>
          </w:p>
          <w:p>
            <w:pPr>
              <w:pStyle w:val="35"/>
              <w:bidi w:val="0"/>
              <w:rPr>
                <w:color w:val="auto"/>
                <w:highlight w:val="none"/>
              </w:rPr>
            </w:pPr>
            <w:r>
              <w:rPr>
                <w:rFonts w:hint="eastAsia"/>
                <w:color w:val="auto"/>
                <w:highlight w:val="none"/>
                <w:lang w:val="en-US" w:eastAsia="zh-CN"/>
              </w:rPr>
              <w:t>表4-11  建设项目环境风险简单分析内容表</w:t>
            </w:r>
          </w:p>
          <w:tbl>
            <w:tblPr>
              <w:tblStyle w:val="24"/>
              <w:tblW w:w="776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79"/>
              <w:gridCol w:w="1050"/>
              <w:gridCol w:w="1500"/>
              <w:gridCol w:w="1015"/>
              <w:gridCol w:w="23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79" w:type="dxa"/>
                  <w:tcBorders>
                    <w:tl2br w:val="nil"/>
                    <w:tr2bl w:val="nil"/>
                  </w:tcBorders>
                  <w:vAlign w:val="center"/>
                </w:tcPr>
                <w:p>
                  <w:pPr>
                    <w:pStyle w:val="34"/>
                    <w:bidi w:val="0"/>
                    <w:jc w:val="center"/>
                    <w:rPr>
                      <w:rFonts w:hint="default"/>
                      <w:color w:val="auto"/>
                      <w:sz w:val="18"/>
                      <w:szCs w:val="18"/>
                      <w:highlight w:val="none"/>
                      <w:lang w:val="en-US" w:eastAsia="zh-CN"/>
                    </w:rPr>
                  </w:pPr>
                  <w:r>
                    <w:rPr>
                      <w:rFonts w:hint="eastAsia"/>
                      <w:color w:val="auto"/>
                      <w:sz w:val="18"/>
                      <w:szCs w:val="18"/>
                      <w:highlight w:val="none"/>
                      <w:lang w:val="en-US" w:eastAsia="zh-CN"/>
                    </w:rPr>
                    <w:t>建设项目名称</w:t>
                  </w:r>
                </w:p>
              </w:tc>
              <w:tc>
                <w:tcPr>
                  <w:tcW w:w="5887" w:type="dxa"/>
                  <w:gridSpan w:val="4"/>
                  <w:tcBorders>
                    <w:tl2br w:val="nil"/>
                    <w:tr2bl w:val="nil"/>
                  </w:tcBorders>
                  <w:vAlign w:val="center"/>
                </w:tcPr>
                <w:p>
                  <w:pPr>
                    <w:pStyle w:val="34"/>
                    <w:bidi w:val="0"/>
                    <w:jc w:val="center"/>
                    <w:rPr>
                      <w:rFonts w:hint="default"/>
                      <w:color w:val="auto"/>
                      <w:sz w:val="18"/>
                      <w:szCs w:val="18"/>
                      <w:highlight w:val="none"/>
                      <w:lang w:val="en-US" w:eastAsia="zh-CN"/>
                    </w:rPr>
                  </w:pPr>
                  <w:r>
                    <w:rPr>
                      <w:rFonts w:hint="default"/>
                      <w:color w:val="auto"/>
                      <w:sz w:val="18"/>
                      <w:szCs w:val="18"/>
                      <w:highlight w:val="none"/>
                      <w:lang w:val="en-US" w:eastAsia="zh-CN"/>
                    </w:rPr>
                    <w:t>制氧系统技术改造节能项目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79" w:type="dxa"/>
                  <w:tcBorders>
                    <w:tl2br w:val="nil"/>
                    <w:tr2bl w:val="nil"/>
                  </w:tcBorders>
                  <w:vAlign w:val="center"/>
                </w:tcPr>
                <w:p>
                  <w:pPr>
                    <w:pStyle w:val="34"/>
                    <w:bidi w:val="0"/>
                    <w:jc w:val="center"/>
                    <w:rPr>
                      <w:rFonts w:hint="default"/>
                      <w:color w:val="auto"/>
                      <w:sz w:val="18"/>
                      <w:szCs w:val="18"/>
                      <w:highlight w:val="none"/>
                      <w:lang w:val="en-US" w:eastAsia="zh-CN"/>
                    </w:rPr>
                  </w:pPr>
                  <w:r>
                    <w:rPr>
                      <w:rFonts w:hint="eastAsia"/>
                      <w:color w:val="auto"/>
                      <w:sz w:val="18"/>
                      <w:szCs w:val="18"/>
                      <w:highlight w:val="none"/>
                      <w:lang w:val="en-US" w:eastAsia="zh-CN"/>
                    </w:rPr>
                    <w:t>建设地点</w:t>
                  </w:r>
                </w:p>
              </w:tc>
              <w:tc>
                <w:tcPr>
                  <w:tcW w:w="1050" w:type="dxa"/>
                  <w:tcBorders>
                    <w:tl2br w:val="nil"/>
                    <w:tr2bl w:val="nil"/>
                  </w:tcBorders>
                  <w:vAlign w:val="center"/>
                </w:tcPr>
                <w:p>
                  <w:pPr>
                    <w:pStyle w:val="34"/>
                    <w:bidi w:val="0"/>
                    <w:jc w:val="center"/>
                    <w:rPr>
                      <w:rFonts w:hint="default"/>
                      <w:color w:val="auto"/>
                      <w:sz w:val="18"/>
                      <w:szCs w:val="18"/>
                      <w:highlight w:val="none"/>
                      <w:lang w:val="en-US" w:eastAsia="zh-CN"/>
                    </w:rPr>
                  </w:pPr>
                  <w:r>
                    <w:rPr>
                      <w:rFonts w:hint="eastAsia"/>
                      <w:color w:val="auto"/>
                      <w:sz w:val="18"/>
                      <w:szCs w:val="18"/>
                      <w:highlight w:val="none"/>
                      <w:lang w:val="en-US" w:eastAsia="zh-CN"/>
                    </w:rPr>
                    <w:t>云南省</w:t>
                  </w:r>
                </w:p>
              </w:tc>
              <w:tc>
                <w:tcPr>
                  <w:tcW w:w="1500" w:type="dxa"/>
                  <w:tcBorders>
                    <w:tl2br w:val="nil"/>
                    <w:tr2bl w:val="nil"/>
                  </w:tcBorders>
                  <w:vAlign w:val="center"/>
                </w:tcPr>
                <w:p>
                  <w:pPr>
                    <w:pStyle w:val="34"/>
                    <w:bidi w:val="0"/>
                    <w:jc w:val="center"/>
                    <w:rPr>
                      <w:rFonts w:hint="default"/>
                      <w:color w:val="auto"/>
                      <w:sz w:val="18"/>
                      <w:szCs w:val="18"/>
                      <w:highlight w:val="none"/>
                      <w:lang w:val="en-US" w:eastAsia="zh-CN"/>
                    </w:rPr>
                  </w:pPr>
                  <w:r>
                    <w:rPr>
                      <w:rFonts w:hint="eastAsia"/>
                      <w:color w:val="auto"/>
                      <w:sz w:val="18"/>
                      <w:szCs w:val="18"/>
                      <w:highlight w:val="none"/>
                      <w:lang w:val="en-US" w:eastAsia="zh-CN"/>
                    </w:rPr>
                    <w:t>玉溪市</w:t>
                  </w:r>
                </w:p>
              </w:tc>
              <w:tc>
                <w:tcPr>
                  <w:tcW w:w="1015" w:type="dxa"/>
                  <w:tcBorders>
                    <w:tl2br w:val="nil"/>
                    <w:tr2bl w:val="nil"/>
                  </w:tcBorders>
                  <w:vAlign w:val="center"/>
                </w:tcPr>
                <w:p>
                  <w:pPr>
                    <w:pStyle w:val="34"/>
                    <w:bidi w:val="0"/>
                    <w:jc w:val="center"/>
                    <w:rPr>
                      <w:rFonts w:hint="default"/>
                      <w:color w:val="auto"/>
                      <w:sz w:val="18"/>
                      <w:szCs w:val="18"/>
                      <w:highlight w:val="none"/>
                      <w:lang w:val="en-US" w:eastAsia="zh-CN"/>
                    </w:rPr>
                  </w:pPr>
                  <w:r>
                    <w:rPr>
                      <w:rFonts w:hint="eastAsia"/>
                      <w:color w:val="auto"/>
                      <w:sz w:val="18"/>
                      <w:szCs w:val="18"/>
                      <w:highlight w:val="none"/>
                      <w:lang w:val="en-US" w:eastAsia="zh-CN"/>
                    </w:rPr>
                    <w:t>易门县</w:t>
                  </w:r>
                </w:p>
              </w:tc>
              <w:tc>
                <w:tcPr>
                  <w:tcW w:w="2322" w:type="dxa"/>
                  <w:tcBorders>
                    <w:tl2br w:val="nil"/>
                    <w:tr2bl w:val="nil"/>
                  </w:tcBorders>
                  <w:vAlign w:val="center"/>
                </w:tcPr>
                <w:p>
                  <w:pPr>
                    <w:pStyle w:val="34"/>
                    <w:bidi w:val="0"/>
                    <w:jc w:val="center"/>
                    <w:rPr>
                      <w:rFonts w:hint="default"/>
                      <w:color w:val="auto"/>
                      <w:sz w:val="18"/>
                      <w:szCs w:val="18"/>
                      <w:highlight w:val="none"/>
                      <w:lang w:val="en-US" w:eastAsia="zh-CN"/>
                    </w:rPr>
                  </w:pPr>
                  <w:r>
                    <w:rPr>
                      <w:rFonts w:hint="default"/>
                      <w:color w:val="auto"/>
                      <w:sz w:val="18"/>
                      <w:szCs w:val="18"/>
                      <w:highlight w:val="none"/>
                      <w:lang w:val="en-US" w:eastAsia="zh-CN"/>
                    </w:rPr>
                    <w:t>云南易门产业园区大椿树片区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79" w:type="dxa"/>
                  <w:tcBorders>
                    <w:tl2br w:val="nil"/>
                    <w:tr2bl w:val="nil"/>
                  </w:tcBorders>
                  <w:vAlign w:val="center"/>
                </w:tcPr>
                <w:p>
                  <w:pPr>
                    <w:pStyle w:val="34"/>
                    <w:bidi w:val="0"/>
                    <w:jc w:val="center"/>
                    <w:rPr>
                      <w:rFonts w:hint="default"/>
                      <w:color w:val="auto"/>
                      <w:sz w:val="18"/>
                      <w:szCs w:val="18"/>
                      <w:highlight w:val="none"/>
                      <w:lang w:val="en-US" w:eastAsia="zh-CN"/>
                    </w:rPr>
                  </w:pPr>
                  <w:r>
                    <w:rPr>
                      <w:rFonts w:hint="eastAsia"/>
                      <w:color w:val="auto"/>
                      <w:sz w:val="18"/>
                      <w:szCs w:val="18"/>
                      <w:highlight w:val="none"/>
                      <w:lang w:val="en-US" w:eastAsia="zh-CN"/>
                    </w:rPr>
                    <w:t>地理坐标</w:t>
                  </w:r>
                </w:p>
              </w:tc>
              <w:tc>
                <w:tcPr>
                  <w:tcW w:w="1050" w:type="dxa"/>
                  <w:tcBorders>
                    <w:tl2br w:val="nil"/>
                    <w:tr2bl w:val="nil"/>
                  </w:tcBorders>
                  <w:vAlign w:val="center"/>
                </w:tcPr>
                <w:p>
                  <w:pPr>
                    <w:pStyle w:val="34"/>
                    <w:bidi w:val="0"/>
                    <w:jc w:val="center"/>
                    <w:rPr>
                      <w:rFonts w:hint="default"/>
                      <w:color w:val="auto"/>
                      <w:sz w:val="18"/>
                      <w:szCs w:val="18"/>
                      <w:highlight w:val="none"/>
                      <w:lang w:val="en-US" w:eastAsia="zh-CN"/>
                    </w:rPr>
                  </w:pPr>
                  <w:r>
                    <w:rPr>
                      <w:rFonts w:hint="eastAsia"/>
                      <w:color w:val="auto"/>
                      <w:sz w:val="18"/>
                      <w:szCs w:val="18"/>
                      <w:highlight w:val="none"/>
                      <w:lang w:val="en-US" w:eastAsia="zh-CN"/>
                    </w:rPr>
                    <w:t>经度</w:t>
                  </w:r>
                </w:p>
              </w:tc>
              <w:tc>
                <w:tcPr>
                  <w:tcW w:w="1500" w:type="dxa"/>
                  <w:tcBorders>
                    <w:tl2br w:val="nil"/>
                    <w:tr2bl w:val="nil"/>
                  </w:tcBorders>
                  <w:vAlign w:val="center"/>
                </w:tcPr>
                <w:p>
                  <w:pPr>
                    <w:pStyle w:val="34"/>
                    <w:bidi w:val="0"/>
                    <w:jc w:val="center"/>
                    <w:rPr>
                      <w:rFonts w:hint="eastAsia"/>
                      <w:color w:val="auto"/>
                      <w:sz w:val="18"/>
                      <w:szCs w:val="18"/>
                      <w:highlight w:val="none"/>
                      <w:lang w:val="en-US" w:eastAsia="zh-CN"/>
                    </w:rPr>
                  </w:pPr>
                  <w:r>
                    <w:rPr>
                      <w:rFonts w:hint="eastAsia" w:ascii="Times New Roman" w:hAnsi="Times New Roman" w:eastAsia="宋体"/>
                      <w:color w:val="auto"/>
                      <w:highlight w:val="none"/>
                      <w:lang w:val="en-US" w:eastAsia="zh-CN"/>
                    </w:rPr>
                    <w:t>102</w:t>
                  </w:r>
                  <w:r>
                    <w:rPr>
                      <w:rFonts w:hint="default" w:ascii="Times New Roman" w:hAnsi="Times New Roman" w:eastAsia="宋体"/>
                      <w:color w:val="auto"/>
                      <w:highlight w:val="none"/>
                      <w:lang w:val="en-US" w:eastAsia="zh-CN"/>
                    </w:rPr>
                    <w:t>°</w:t>
                  </w:r>
                  <w:r>
                    <w:rPr>
                      <w:rFonts w:hint="eastAsia" w:ascii="Times New Roman" w:hAnsi="Times New Roman" w:eastAsia="宋体"/>
                      <w:color w:val="auto"/>
                      <w:highlight w:val="none"/>
                      <w:lang w:val="en-US" w:eastAsia="zh-CN"/>
                    </w:rPr>
                    <w:t>9</w:t>
                  </w:r>
                  <w:r>
                    <w:rPr>
                      <w:rFonts w:hint="default" w:ascii="Times New Roman" w:hAnsi="Times New Roman" w:eastAsia="宋体"/>
                      <w:color w:val="auto"/>
                      <w:highlight w:val="none"/>
                      <w:lang w:val="en-US" w:eastAsia="zh-CN"/>
                    </w:rPr>
                    <w:t>′</w:t>
                  </w:r>
                  <w:r>
                    <w:rPr>
                      <w:rFonts w:hint="eastAsia" w:ascii="Times New Roman" w:hAnsi="Times New Roman" w:eastAsia="宋体"/>
                      <w:color w:val="auto"/>
                      <w:highlight w:val="none"/>
                      <w:lang w:val="en-US" w:eastAsia="zh-CN"/>
                    </w:rPr>
                    <w:t>59.227</w:t>
                  </w:r>
                  <w:r>
                    <w:rPr>
                      <w:rFonts w:hint="default" w:ascii="Times New Roman" w:hAnsi="Times New Roman" w:eastAsia="宋体"/>
                      <w:color w:val="auto"/>
                      <w:highlight w:val="none"/>
                      <w:lang w:val="en-US" w:eastAsia="zh-CN"/>
                    </w:rPr>
                    <w:t>″</w:t>
                  </w:r>
                </w:p>
              </w:tc>
              <w:tc>
                <w:tcPr>
                  <w:tcW w:w="1015" w:type="dxa"/>
                  <w:tcBorders>
                    <w:tl2br w:val="nil"/>
                    <w:tr2bl w:val="nil"/>
                  </w:tcBorders>
                  <w:vAlign w:val="center"/>
                </w:tcPr>
                <w:p>
                  <w:pPr>
                    <w:pStyle w:val="34"/>
                    <w:bidi w:val="0"/>
                    <w:jc w:val="center"/>
                    <w:rPr>
                      <w:rFonts w:hint="default"/>
                      <w:color w:val="auto"/>
                      <w:sz w:val="18"/>
                      <w:szCs w:val="18"/>
                      <w:highlight w:val="none"/>
                      <w:lang w:val="en-US" w:eastAsia="zh-CN"/>
                    </w:rPr>
                  </w:pPr>
                  <w:r>
                    <w:rPr>
                      <w:rFonts w:hint="eastAsia"/>
                      <w:color w:val="auto"/>
                      <w:sz w:val="18"/>
                      <w:szCs w:val="18"/>
                      <w:highlight w:val="none"/>
                      <w:lang w:val="en-US" w:eastAsia="zh-CN"/>
                    </w:rPr>
                    <w:t>纬度</w:t>
                  </w:r>
                </w:p>
              </w:tc>
              <w:tc>
                <w:tcPr>
                  <w:tcW w:w="2322" w:type="dxa"/>
                  <w:tcBorders>
                    <w:tl2br w:val="nil"/>
                    <w:tr2bl w:val="nil"/>
                  </w:tcBorders>
                  <w:vAlign w:val="center"/>
                </w:tcPr>
                <w:p>
                  <w:pPr>
                    <w:pStyle w:val="34"/>
                    <w:bidi w:val="0"/>
                    <w:jc w:val="center"/>
                    <w:rPr>
                      <w:rFonts w:hint="eastAsia"/>
                      <w:color w:val="auto"/>
                      <w:sz w:val="18"/>
                      <w:szCs w:val="18"/>
                      <w:highlight w:val="none"/>
                      <w:lang w:val="en-US" w:eastAsia="zh-CN"/>
                    </w:rPr>
                  </w:pPr>
                  <w:r>
                    <w:rPr>
                      <w:rFonts w:hint="eastAsia"/>
                      <w:color w:val="auto"/>
                      <w:highlight w:val="none"/>
                      <w:lang w:val="en-US" w:eastAsia="zh-CN"/>
                    </w:rPr>
                    <w:t>24</w:t>
                  </w:r>
                  <w:r>
                    <w:rPr>
                      <w:rFonts w:hint="default" w:ascii="Times New Roman" w:hAnsi="Times New Roman" w:eastAsia="宋体"/>
                      <w:color w:val="auto"/>
                      <w:highlight w:val="none"/>
                      <w:lang w:val="en-US" w:eastAsia="zh-CN"/>
                    </w:rPr>
                    <w:t>°</w:t>
                  </w:r>
                  <w:r>
                    <w:rPr>
                      <w:rFonts w:hint="eastAsia"/>
                      <w:color w:val="auto"/>
                      <w:highlight w:val="none"/>
                      <w:lang w:val="en-US" w:eastAsia="zh-CN"/>
                    </w:rPr>
                    <w:t>42</w:t>
                  </w:r>
                  <w:r>
                    <w:rPr>
                      <w:rFonts w:hint="default" w:ascii="Times New Roman" w:hAnsi="Times New Roman" w:eastAsia="宋体"/>
                      <w:color w:val="auto"/>
                      <w:highlight w:val="none"/>
                      <w:lang w:val="en-US" w:eastAsia="zh-CN"/>
                    </w:rPr>
                    <w:t>′</w:t>
                  </w:r>
                  <w:r>
                    <w:rPr>
                      <w:rFonts w:hint="eastAsia"/>
                      <w:color w:val="auto"/>
                      <w:highlight w:val="none"/>
                      <w:lang w:val="en-US" w:eastAsia="zh-CN"/>
                    </w:rPr>
                    <w:t>18.424</w:t>
                  </w:r>
                  <w:r>
                    <w:rPr>
                      <w:rFonts w:hint="default" w:ascii="Times New Roman" w:hAnsi="Times New Roman" w:eastAsia="宋体"/>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79" w:type="dxa"/>
                  <w:tcBorders>
                    <w:tl2br w:val="nil"/>
                    <w:tr2bl w:val="nil"/>
                  </w:tcBorders>
                  <w:vAlign w:val="center"/>
                </w:tcPr>
                <w:p>
                  <w:pPr>
                    <w:pStyle w:val="34"/>
                    <w:bidi w:val="0"/>
                    <w:jc w:val="center"/>
                    <w:rPr>
                      <w:rFonts w:hint="eastAsia"/>
                      <w:color w:val="auto"/>
                      <w:sz w:val="18"/>
                      <w:szCs w:val="18"/>
                      <w:highlight w:val="none"/>
                      <w:lang w:val="en-US" w:eastAsia="zh-CN"/>
                    </w:rPr>
                  </w:pPr>
                  <w:r>
                    <w:rPr>
                      <w:rFonts w:hint="eastAsia"/>
                      <w:color w:val="auto"/>
                      <w:sz w:val="18"/>
                      <w:szCs w:val="18"/>
                      <w:highlight w:val="none"/>
                      <w:lang w:val="en-US" w:eastAsia="zh-CN"/>
                    </w:rPr>
                    <w:t>主要危险物质及分布</w:t>
                  </w:r>
                </w:p>
              </w:tc>
              <w:tc>
                <w:tcPr>
                  <w:tcW w:w="5887" w:type="dxa"/>
                  <w:gridSpan w:val="4"/>
                  <w:tcBorders>
                    <w:tl2br w:val="nil"/>
                    <w:tr2bl w:val="nil"/>
                  </w:tcBorders>
                  <w:vAlign w:val="center"/>
                </w:tcPr>
                <w:p>
                  <w:pPr>
                    <w:pStyle w:val="34"/>
                    <w:bidi w:val="0"/>
                    <w:jc w:val="center"/>
                    <w:rPr>
                      <w:rFonts w:hint="eastAsia"/>
                      <w:color w:val="auto"/>
                      <w:sz w:val="18"/>
                      <w:szCs w:val="18"/>
                      <w:highlight w:val="none"/>
                      <w:lang w:val="en-US" w:eastAsia="zh-CN"/>
                    </w:rPr>
                  </w:pPr>
                  <w:r>
                    <w:rPr>
                      <w:rFonts w:hint="eastAsia"/>
                      <w:color w:val="auto"/>
                      <w:sz w:val="18"/>
                      <w:szCs w:val="18"/>
                      <w:highlight w:val="none"/>
                      <w:lang w:val="en-US" w:eastAsia="zh-CN"/>
                    </w:rPr>
                    <w:t>项目涉及的主要危险物质为</w:t>
                  </w:r>
                  <w:r>
                    <w:rPr>
                      <w:rFonts w:hint="eastAsia"/>
                      <w:color w:val="auto"/>
                      <w:highlight w:val="none"/>
                      <w:lang w:val="en-US" w:eastAsia="zh-CN"/>
                    </w:rPr>
                    <w:t>废润滑油</w:t>
                  </w:r>
                  <w:r>
                    <w:rPr>
                      <w:rFonts w:hint="eastAsia"/>
                      <w:color w:val="auto"/>
                      <w:sz w:val="18"/>
                      <w:szCs w:val="18"/>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79" w:type="dxa"/>
                  <w:tcBorders>
                    <w:tl2br w:val="nil"/>
                    <w:tr2bl w:val="nil"/>
                  </w:tcBorders>
                  <w:vAlign w:val="center"/>
                </w:tcPr>
                <w:p>
                  <w:pPr>
                    <w:pStyle w:val="34"/>
                    <w:bidi w:val="0"/>
                    <w:jc w:val="center"/>
                    <w:rPr>
                      <w:rFonts w:hint="eastAsia"/>
                      <w:color w:val="auto"/>
                      <w:sz w:val="18"/>
                      <w:szCs w:val="18"/>
                      <w:highlight w:val="none"/>
                      <w:lang w:val="en-US" w:eastAsia="zh-CN"/>
                    </w:rPr>
                  </w:pPr>
                  <w:r>
                    <w:rPr>
                      <w:rFonts w:hint="eastAsia"/>
                      <w:color w:val="auto"/>
                      <w:sz w:val="18"/>
                      <w:szCs w:val="18"/>
                      <w:highlight w:val="none"/>
                      <w:lang w:val="en-US" w:eastAsia="zh-CN"/>
                    </w:rPr>
                    <w:t>环境影响途径及危害后果</w:t>
                  </w:r>
                </w:p>
              </w:tc>
              <w:tc>
                <w:tcPr>
                  <w:tcW w:w="5887" w:type="dxa"/>
                  <w:gridSpan w:val="4"/>
                  <w:tcBorders>
                    <w:tl2br w:val="nil"/>
                    <w:tr2bl w:val="nil"/>
                  </w:tcBorders>
                  <w:vAlign w:val="center"/>
                </w:tcPr>
                <w:p>
                  <w:pPr>
                    <w:pStyle w:val="34"/>
                    <w:bidi w:val="0"/>
                    <w:jc w:val="center"/>
                    <w:rPr>
                      <w:rFonts w:hint="eastAsia"/>
                      <w:color w:val="auto"/>
                      <w:sz w:val="18"/>
                      <w:szCs w:val="18"/>
                      <w:highlight w:val="none"/>
                      <w:lang w:val="en-US" w:eastAsia="zh-CN"/>
                    </w:rPr>
                  </w:pPr>
                  <w:r>
                    <w:rPr>
                      <w:rFonts w:hint="eastAsia"/>
                      <w:color w:val="auto"/>
                      <w:sz w:val="18"/>
                      <w:szCs w:val="18"/>
                      <w:highlight w:val="none"/>
                      <w:lang w:val="en-US" w:eastAsia="zh-CN"/>
                    </w:rPr>
                    <w:t>废润滑油泄漏事故污染地表水、地下水及土壤环境；此外，氧气具有助燃性，遇明火会加剧燃烧，甚至造成爆炸；污氮具有窒息性，如放空等设备设置或操作不合理会引发人员窒息危险；而压缩空气管道、设备会由于超压发生爆炸危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79" w:type="dxa"/>
                  <w:tcBorders>
                    <w:tl2br w:val="nil"/>
                    <w:tr2bl w:val="nil"/>
                  </w:tcBorders>
                  <w:vAlign w:val="center"/>
                </w:tcPr>
                <w:p>
                  <w:pPr>
                    <w:pStyle w:val="34"/>
                    <w:bidi w:val="0"/>
                    <w:jc w:val="center"/>
                    <w:rPr>
                      <w:rFonts w:hint="eastAsia"/>
                      <w:color w:val="auto"/>
                      <w:sz w:val="18"/>
                      <w:szCs w:val="18"/>
                      <w:highlight w:val="none"/>
                      <w:lang w:val="en-US" w:eastAsia="zh-CN"/>
                    </w:rPr>
                  </w:pPr>
                  <w:r>
                    <w:rPr>
                      <w:rFonts w:hint="eastAsia"/>
                      <w:color w:val="auto"/>
                      <w:sz w:val="18"/>
                      <w:szCs w:val="18"/>
                      <w:highlight w:val="none"/>
                      <w:lang w:val="en-US" w:eastAsia="zh-CN"/>
                    </w:rPr>
                    <w:t>风险防范措施要求</w:t>
                  </w:r>
                </w:p>
              </w:tc>
              <w:tc>
                <w:tcPr>
                  <w:tcW w:w="5887" w:type="dxa"/>
                  <w:gridSpan w:val="4"/>
                  <w:tcBorders>
                    <w:tl2br w:val="nil"/>
                    <w:tr2bl w:val="nil"/>
                  </w:tcBorders>
                  <w:vAlign w:val="center"/>
                </w:tcPr>
                <w:p>
                  <w:pPr>
                    <w:pStyle w:val="34"/>
                    <w:bidi w:val="0"/>
                    <w:jc w:val="left"/>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（1）废润滑油</w:t>
                  </w:r>
                  <w:r>
                    <w:rPr>
                      <w:rFonts w:hint="eastAsia" w:cs="Times New Roman"/>
                      <w:color w:val="auto"/>
                      <w:sz w:val="18"/>
                      <w:szCs w:val="18"/>
                      <w:highlight w:val="none"/>
                      <w:lang w:val="en-US" w:eastAsia="zh-CN"/>
                    </w:rPr>
                    <w:t>泄漏</w:t>
                  </w:r>
                  <w:r>
                    <w:rPr>
                      <w:rFonts w:hint="default" w:ascii="Times New Roman" w:hAnsi="Times New Roman" w:cs="Times New Roman"/>
                      <w:color w:val="auto"/>
                      <w:sz w:val="18"/>
                      <w:szCs w:val="18"/>
                      <w:highlight w:val="none"/>
                      <w:lang w:val="en-US" w:eastAsia="zh-CN"/>
                    </w:rPr>
                    <w:t xml:space="preserve">事故风险防范措施 </w:t>
                  </w:r>
                </w:p>
                <w:p>
                  <w:pPr>
                    <w:pStyle w:val="34"/>
                    <w:bidi w:val="0"/>
                    <w:ind w:firstLine="360" w:firstLineChars="200"/>
                    <w:jc w:val="left"/>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 xml:space="preserve">废润滑油发生风险事故为泄漏污染地表水、地下水及土壤环境事故，提出的风险防范措施为：设立三级应急防控体系，具体如下： </w:t>
                  </w:r>
                </w:p>
                <w:p>
                  <w:pPr>
                    <w:pStyle w:val="34"/>
                    <w:bidi w:val="0"/>
                    <w:ind w:firstLine="360" w:firstLineChars="200"/>
                    <w:jc w:val="left"/>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 xml:space="preserve">一级防控措施：贮存区建立不低于15cm高的围堰，并进行防渗处理。 </w:t>
                  </w:r>
                </w:p>
                <w:p>
                  <w:pPr>
                    <w:pStyle w:val="34"/>
                    <w:bidi w:val="0"/>
                    <w:ind w:firstLine="360" w:firstLineChars="200"/>
                    <w:jc w:val="left"/>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二级防控措施：易门铜业有限公司已设置容积为1900m</w:t>
                  </w:r>
                  <w:r>
                    <w:rPr>
                      <w:rFonts w:hint="default" w:ascii="Times New Roman" w:hAnsi="Times New Roman" w:cs="Times New Roman"/>
                      <w:color w:val="auto"/>
                      <w:sz w:val="18"/>
                      <w:szCs w:val="18"/>
                      <w:highlight w:val="none"/>
                      <w:vertAlign w:val="superscript"/>
                      <w:lang w:val="en-US" w:eastAsia="zh-CN"/>
                    </w:rPr>
                    <w:t>3</w:t>
                  </w:r>
                  <w:r>
                    <w:rPr>
                      <w:rFonts w:hint="default" w:ascii="Times New Roman" w:hAnsi="Times New Roman" w:cs="Times New Roman"/>
                      <w:color w:val="auto"/>
                      <w:sz w:val="18"/>
                      <w:szCs w:val="18"/>
                      <w:highlight w:val="none"/>
                      <w:lang w:val="en-US" w:eastAsia="zh-CN"/>
                    </w:rPr>
                    <w:t>的事故水池，用于临时贮存消防废水及泄漏物料。项目废润滑油的最大暂存量为0.7t，考虑最不利情况，即废润滑油全部泄漏，泄漏量为0.7t，处理事故所产生的事故废水量一般小于20m</w:t>
                  </w:r>
                  <w:r>
                    <w:rPr>
                      <w:rFonts w:hint="default" w:ascii="Times New Roman" w:hAnsi="Times New Roman" w:cs="Times New Roman"/>
                      <w:color w:val="auto"/>
                      <w:sz w:val="18"/>
                      <w:szCs w:val="18"/>
                      <w:highlight w:val="none"/>
                      <w:vertAlign w:val="superscript"/>
                      <w:lang w:val="en-US" w:eastAsia="zh-CN"/>
                    </w:rPr>
                    <w:t>3</w:t>
                  </w:r>
                  <w:r>
                    <w:rPr>
                      <w:rFonts w:hint="default" w:ascii="Times New Roman" w:hAnsi="Times New Roman" w:cs="Times New Roman"/>
                      <w:color w:val="auto"/>
                      <w:sz w:val="18"/>
                      <w:szCs w:val="18"/>
                      <w:highlight w:val="none"/>
                      <w:lang w:val="en-US" w:eastAsia="zh-CN"/>
                    </w:rPr>
                    <w:t xml:space="preserve">，因此，易门铜业有限公司已设置的事故水池完全可以满足项目需求。 </w:t>
                  </w:r>
                </w:p>
                <w:p>
                  <w:pPr>
                    <w:pStyle w:val="34"/>
                    <w:bidi w:val="0"/>
                    <w:ind w:firstLine="360" w:firstLineChars="200"/>
                    <w:jc w:val="left"/>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三级防控措施：事故水池拦截。操作员在接到生产事故警报时必须立即将全厂雨水总排放口排放切换至事故水池。污染物一旦流入雨水系统，事故水池接纳污染废水，用于各单元在紧急或事故情形下污染废水的临时储存。事后对事故水池中废水进行处理后回用。</w:t>
                  </w:r>
                </w:p>
                <w:p>
                  <w:pPr>
                    <w:pStyle w:val="34"/>
                    <w:bidi w:val="0"/>
                    <w:jc w:val="left"/>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（2）燃烧、爆炸事故风险防范措施（摘录自项目“安评”）</w:t>
                  </w:r>
                </w:p>
                <w:p>
                  <w:pPr>
                    <w:pStyle w:val="34"/>
                    <w:bidi w:val="0"/>
                    <w:ind w:firstLine="360" w:firstLineChars="200"/>
                    <w:jc w:val="left"/>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1）有火灾危险场所的建（构）筑物的结构形式及其选用的材料，必须符合防火要求。对于火灾危险的区域，应综合考虑防火措施和报警系统，合理选择和配备消防器材。</w:t>
                  </w:r>
                </w:p>
                <w:p>
                  <w:pPr>
                    <w:pStyle w:val="34"/>
                    <w:bidi w:val="0"/>
                    <w:ind w:firstLine="360" w:firstLineChars="200"/>
                    <w:jc w:val="left"/>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2）各建（构）筑物内应设置疏散标志，其安全出口设置应符合《建筑设计防火规范（2018年版）》（GB50016-2014）的规定。</w:t>
                  </w:r>
                </w:p>
                <w:p>
                  <w:pPr>
                    <w:pStyle w:val="34"/>
                    <w:bidi w:val="0"/>
                    <w:ind w:firstLine="360" w:firstLineChars="200"/>
                    <w:jc w:val="left"/>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3）制氧装置区域应采用不发火花地面。</w:t>
                  </w:r>
                </w:p>
                <w:p>
                  <w:pPr>
                    <w:pStyle w:val="34"/>
                    <w:bidi w:val="0"/>
                    <w:ind w:firstLine="360" w:firstLineChars="200"/>
                    <w:jc w:val="left"/>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4）氧气平衡罐、氧气管道处及制氧厂房均采取防雷、防静电接地系统，以防受雷电或静电危害而引发火灾爆炸事故。</w:t>
                  </w:r>
                </w:p>
                <w:p>
                  <w:pPr>
                    <w:pStyle w:val="34"/>
                    <w:bidi w:val="0"/>
                    <w:ind w:firstLine="360" w:firstLineChars="200"/>
                    <w:jc w:val="left"/>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5）电器设备、电缆应按有关规定采取阻火措施。</w:t>
                  </w:r>
                </w:p>
                <w:p>
                  <w:pPr>
                    <w:pStyle w:val="34"/>
                    <w:bidi w:val="0"/>
                    <w:ind w:firstLine="360" w:firstLineChars="200"/>
                    <w:jc w:val="left"/>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防容器爆炸：设计或采购的压力容器应为有资质的单位设计或制造的，符合《固定式压力容器安全技术监察规程》（TSG21-2016）、《压力容器》系列标准（GB/T150.1~GB/T150.4-2024）等相关标准要求的合格产品；设计安全阀、压力表等安全附件；制定温度、压力等工艺参数指标及超压安全泄放联锁等。</w:t>
                  </w:r>
                </w:p>
                <w:p>
                  <w:pPr>
                    <w:pStyle w:val="34"/>
                    <w:bidi w:val="0"/>
                    <w:ind w:firstLine="360" w:firstLineChars="200"/>
                    <w:jc w:val="left"/>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7）防管道爆炸：工业管道在设计时应按《工业管道安全技术规程》（TSG31-2025）以及即将实施的国家标准《压力管道规范 第1部分：工业管道》（GB/T 20801.1-2025，2026年5月1日实施）的有关规定执行；设计安全阀、压力表等安全附件；制定温度、压力等工艺参数指标及超压安全泄放联锁等。</w:t>
                  </w:r>
                </w:p>
                <w:p>
                  <w:pPr>
                    <w:pStyle w:val="34"/>
                    <w:bidi w:val="0"/>
                    <w:jc w:val="left"/>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（3）中毒、窒息事故风险防范措施（摘录自项目“安评”）</w:t>
                  </w:r>
                </w:p>
                <w:p>
                  <w:pPr>
                    <w:pStyle w:val="34"/>
                    <w:bidi w:val="0"/>
                    <w:ind w:firstLine="360" w:firstLineChars="200"/>
                    <w:jc w:val="left"/>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1）总平面设计时按《工业企业总平面设计规范》（GB50187-2012）的要求并结合当地气象条件，使作业场所具有良好的自然通风条件。</w:t>
                  </w:r>
                </w:p>
                <w:p>
                  <w:pPr>
                    <w:pStyle w:val="34"/>
                    <w:bidi w:val="0"/>
                    <w:ind w:firstLine="360" w:firstLineChars="200"/>
                    <w:jc w:val="left"/>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2）在进入吸附塔、氧气平衡罐内受限空间作业前，应先进行置换处理，经采样分析氧气浓度合格后，方可进入，同时应有监护和必要的应急防护措施。</w:t>
                  </w:r>
                </w:p>
                <w:p>
                  <w:pPr>
                    <w:pStyle w:val="34"/>
                    <w:bidi w:val="0"/>
                    <w:ind w:firstLine="360" w:firstLineChars="200"/>
                    <w:jc w:val="left"/>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3）在下一步的设计中，应按照《个体防护装备配备规范 第1部分：总则》（GB39800.1-2020）、《个体防护装备配备规范 第2部分：石油、化工、天然气》（GB39800.2-2020）等国家相关规范的要求为作业人员配备劳动防护用品。</w:t>
                  </w:r>
                </w:p>
                <w:p>
                  <w:pPr>
                    <w:pStyle w:val="34"/>
                    <w:bidi w:val="0"/>
                    <w:ind w:firstLine="360" w:firstLineChars="200"/>
                    <w:jc w:val="left"/>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4）车间内应设置事故柜和常备一定数量的救护用具及药品。</w:t>
                  </w:r>
                </w:p>
                <w:p>
                  <w:pPr>
                    <w:pStyle w:val="34"/>
                    <w:bidi w:val="0"/>
                    <w:ind w:firstLine="360" w:firstLineChars="200"/>
                    <w:jc w:val="left"/>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5）在工作场所醒目位置设置警示标识和中文警示说明。警示说明应当载明产生高浓度氧中毒、氮气窒息危害的种类、后果、预防以及应急救治措施等内容并经常监督检查。</w:t>
                  </w:r>
                </w:p>
                <w:p>
                  <w:pPr>
                    <w:pStyle w:val="34"/>
                    <w:bidi w:val="0"/>
                    <w:ind w:firstLine="360" w:firstLineChars="200"/>
                    <w:jc w:val="left"/>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6）根据厂区情况、人员分布、附近居民分布等，将风向标设置于各类人员便于看到的位置，确保人员相对集中的区域能够在室外观察到风向标、确定风向。</w:t>
                  </w:r>
                </w:p>
                <w:p>
                  <w:pPr>
                    <w:pStyle w:val="34"/>
                    <w:bidi w:val="0"/>
                    <w:ind w:firstLine="360" w:firstLineChars="200"/>
                    <w:jc w:val="left"/>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7）为避免氧气、氮气泄漏危害作业人员，按《石油化工可燃气体和有毒气体检测报警设计标准》（GB/T50493-2019）第6.1.3条的要求，环境氧气探测器的安装高度宜距地坪或楼地板1.5m</w:t>
                  </w:r>
                  <w:r>
                    <w:rPr>
                      <w:rFonts w:hint="eastAsia"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2.0m。</w:t>
                  </w:r>
                </w:p>
                <w:p>
                  <w:pPr>
                    <w:pStyle w:val="34"/>
                    <w:bidi w:val="0"/>
                    <w:ind w:firstLine="360" w:firstLineChars="200"/>
                    <w:jc w:val="left"/>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8）氧气站的氧气、氮气等放散管应引至室外安全处，放散管口距地面不得低于4.5m。</w:t>
                  </w:r>
                </w:p>
                <w:p>
                  <w:pPr>
                    <w:pStyle w:val="34"/>
                    <w:bidi w:val="0"/>
                    <w:ind w:firstLine="360" w:firstLineChars="200"/>
                    <w:jc w:val="left"/>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（4）气体泄漏风险防范措施（摘录自项目“安评”）</w:t>
                  </w:r>
                </w:p>
                <w:p>
                  <w:pPr>
                    <w:pStyle w:val="34"/>
                    <w:bidi w:val="0"/>
                    <w:ind w:firstLine="360" w:firstLineChars="200"/>
                    <w:jc w:val="left"/>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1）采用密闭化、连续化、自动化生产。设计符合功能安全等级要求的安全报警及联锁、紧急停车系统，防止因参数失控或超压导致的泄漏。</w:t>
                  </w:r>
                </w:p>
                <w:p>
                  <w:pPr>
                    <w:pStyle w:val="34"/>
                    <w:bidi w:val="0"/>
                    <w:ind w:firstLine="360" w:firstLineChars="200"/>
                    <w:jc w:val="left"/>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2）管道、阀门、法兰及吸附塔、真空泵、氧气缓冲罐等均按要求进行选型，防止超压、泄漏。</w:t>
                  </w:r>
                </w:p>
                <w:p>
                  <w:pPr>
                    <w:pStyle w:val="34"/>
                    <w:bidi w:val="0"/>
                    <w:ind w:firstLine="360" w:firstLineChars="200"/>
                    <w:jc w:val="left"/>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3）对氧气管道、法兰、阀门，按照规范要求</w:t>
                  </w:r>
                  <w:r>
                    <w:rPr>
                      <w:rFonts w:hint="eastAsia" w:cs="Times New Roman"/>
                      <w:color w:val="auto"/>
                      <w:sz w:val="18"/>
                      <w:szCs w:val="18"/>
                      <w:highlight w:val="none"/>
                      <w:lang w:val="en-US" w:eastAsia="zh-CN"/>
                    </w:rPr>
                    <w:t>选择</w:t>
                  </w:r>
                  <w:r>
                    <w:rPr>
                      <w:rFonts w:hint="default" w:ascii="Times New Roman" w:hAnsi="Times New Roman" w:cs="Times New Roman"/>
                      <w:color w:val="auto"/>
                      <w:sz w:val="18"/>
                      <w:szCs w:val="18"/>
                      <w:highlight w:val="none"/>
                      <w:lang w:val="en-US" w:eastAsia="zh-CN"/>
                    </w:rPr>
                    <w:t>密封性能好的专用阀门，并配以耐温密封材料和零泄漏设计，防止泄漏事故的发生。阀门材质等于或高于相应管线。</w:t>
                  </w:r>
                </w:p>
                <w:p>
                  <w:pPr>
                    <w:pStyle w:val="34"/>
                    <w:bidi w:val="0"/>
                    <w:ind w:firstLine="360" w:firstLineChars="200"/>
                    <w:jc w:val="left"/>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4）在设备和管线的排放口加装盲板、丝堵、管帽、双阀等措施，减少泄漏的可能性。采样口设置密闭取样器。</w:t>
                  </w:r>
                </w:p>
                <w:p>
                  <w:pPr>
                    <w:pStyle w:val="34"/>
                    <w:bidi w:val="0"/>
                    <w:ind w:firstLine="360" w:firstLineChars="200"/>
                    <w:jc w:val="left"/>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5）设备及管道走向的布置在经济性的原则下，尽量进行柔性设计，以减少设备管口的受力，防止法兰泄漏。</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（八）项目“三本账”核算</w:t>
            </w:r>
          </w:p>
          <w:p>
            <w:pPr>
              <w:bidi w:val="0"/>
              <w:rPr>
                <w:rFonts w:hint="default"/>
                <w:color w:val="auto"/>
                <w:highlight w:val="none"/>
                <w:lang w:val="en-US" w:eastAsia="zh-CN"/>
              </w:rPr>
            </w:pPr>
            <w:r>
              <w:rPr>
                <w:rFonts w:hint="eastAsia"/>
                <w:color w:val="auto"/>
                <w:highlight w:val="none"/>
                <w:lang w:val="en-US" w:eastAsia="zh-CN"/>
              </w:rPr>
              <w:t>本项目为改建项目，对项目改建前后污染物“三本账”核算情况见下表：</w:t>
            </w:r>
          </w:p>
          <w:p>
            <w:pPr>
              <w:pStyle w:val="35"/>
              <w:bidi w:val="0"/>
              <w:rPr>
                <w:rFonts w:hint="default"/>
                <w:color w:val="auto"/>
                <w:highlight w:val="none"/>
                <w:lang w:val="en-US" w:eastAsia="zh-CN"/>
              </w:rPr>
            </w:pPr>
            <w:r>
              <w:rPr>
                <w:rFonts w:hint="eastAsia"/>
                <w:color w:val="auto"/>
                <w:highlight w:val="none"/>
                <w:lang w:val="en-US" w:eastAsia="zh-CN"/>
              </w:rPr>
              <w:t>表4-12  项目改建前后污染物“三本账”核算一览表</w:t>
            </w:r>
          </w:p>
          <w:tbl>
            <w:tblPr>
              <w:tblStyle w:val="24"/>
              <w:tblW w:w="783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7"/>
              <w:gridCol w:w="1302"/>
              <w:gridCol w:w="814"/>
              <w:gridCol w:w="857"/>
              <w:gridCol w:w="940"/>
              <w:gridCol w:w="1032"/>
              <w:gridCol w:w="1222"/>
              <w:gridCol w:w="10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61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类别</w:t>
                  </w:r>
                </w:p>
              </w:tc>
              <w:tc>
                <w:tcPr>
                  <w:tcW w:w="130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污染物</w:t>
                  </w:r>
                  <w:r>
                    <w:rPr>
                      <w:rFonts w:hint="eastAsia" w:ascii="Times New Roman" w:hAnsi="Times New Roman" w:cs="Times New Roman"/>
                      <w:color w:val="auto"/>
                      <w:sz w:val="18"/>
                      <w:szCs w:val="18"/>
                      <w:highlight w:val="none"/>
                      <w:lang w:val="en-US" w:eastAsia="zh-CN"/>
                    </w:rPr>
                    <w:t>名称</w:t>
                  </w:r>
                </w:p>
              </w:tc>
              <w:tc>
                <w:tcPr>
                  <w:tcW w:w="81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现有</w:t>
                  </w:r>
                  <w:r>
                    <w:rPr>
                      <w:rFonts w:hint="default" w:ascii="Times New Roman" w:hAnsi="Times New Roman" w:cs="Times New Roman"/>
                      <w:color w:val="auto"/>
                      <w:sz w:val="18"/>
                      <w:szCs w:val="18"/>
                      <w:highlight w:val="none"/>
                    </w:rPr>
                    <w:t>项目排放量</w:t>
                  </w:r>
                </w:p>
              </w:tc>
              <w:tc>
                <w:tcPr>
                  <w:tcW w:w="179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改建工程</w:t>
                  </w:r>
                </w:p>
              </w:tc>
              <w:tc>
                <w:tcPr>
                  <w:tcW w:w="103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“以新带老”削减量</w:t>
                  </w:r>
                </w:p>
              </w:tc>
              <w:tc>
                <w:tcPr>
                  <w:tcW w:w="122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项目建成后全厂排放量</w:t>
                  </w:r>
                </w:p>
              </w:tc>
              <w:tc>
                <w:tcPr>
                  <w:tcW w:w="105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排放增减量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61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130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81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8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产生量</w:t>
                  </w:r>
                </w:p>
              </w:tc>
              <w:tc>
                <w:tcPr>
                  <w:tcW w:w="9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排放量</w:t>
                  </w:r>
                </w:p>
              </w:tc>
              <w:tc>
                <w:tcPr>
                  <w:tcW w:w="103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122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105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废水</w:t>
                  </w:r>
                </w:p>
              </w:tc>
              <w:tc>
                <w:tcPr>
                  <w:tcW w:w="13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废水量</w:t>
                  </w:r>
                  <w:r>
                    <w:rPr>
                      <w:rFonts w:hint="eastAsia" w:cs="Times New Roman"/>
                      <w:b w:val="0"/>
                      <w:bCs/>
                      <w:color w:val="auto"/>
                      <w:sz w:val="18"/>
                      <w:szCs w:val="18"/>
                      <w:highlight w:val="none"/>
                      <w:vertAlign w:val="baseline"/>
                      <w:lang w:val="en-US" w:eastAsia="zh-CN"/>
                    </w:rPr>
                    <w:t>（</w:t>
                  </w:r>
                  <w:r>
                    <w:rPr>
                      <w:rFonts w:hint="eastAsia" w:cs="Times New Roman"/>
                      <w:color w:val="auto"/>
                      <w:sz w:val="18"/>
                      <w:szCs w:val="18"/>
                      <w:highlight w:val="none"/>
                      <w:vertAlign w:val="baseline"/>
                      <w:lang w:val="en-US" w:eastAsia="zh-CN"/>
                    </w:rPr>
                    <w:t>t/a</w:t>
                  </w:r>
                  <w:r>
                    <w:rPr>
                      <w:rFonts w:hint="eastAsia" w:cs="Times New Roman"/>
                      <w:b w:val="0"/>
                      <w:bCs/>
                      <w:color w:val="auto"/>
                      <w:sz w:val="18"/>
                      <w:szCs w:val="18"/>
                      <w:highlight w:val="none"/>
                      <w:vertAlign w:val="baseline"/>
                      <w:lang w:val="en-US" w:eastAsia="zh-CN"/>
                    </w:rPr>
                    <w:t>）</w:t>
                  </w:r>
                </w:p>
              </w:tc>
              <w:tc>
                <w:tcPr>
                  <w:tcW w:w="8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w:t>
                  </w:r>
                </w:p>
              </w:tc>
              <w:tc>
                <w:tcPr>
                  <w:tcW w:w="8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616.8</w:t>
                  </w:r>
                </w:p>
              </w:tc>
              <w:tc>
                <w:tcPr>
                  <w:tcW w:w="9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w:t>
                  </w:r>
                </w:p>
              </w:tc>
              <w:tc>
                <w:tcPr>
                  <w:tcW w:w="10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w:t>
                  </w:r>
                </w:p>
              </w:tc>
              <w:tc>
                <w:tcPr>
                  <w:tcW w:w="122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w:t>
                  </w:r>
                </w:p>
              </w:tc>
              <w:tc>
                <w:tcPr>
                  <w:tcW w:w="10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一般</w:t>
                  </w:r>
                  <w:r>
                    <w:rPr>
                      <w:rFonts w:hint="default" w:ascii="Times New Roman" w:hAnsi="Times New Roman" w:cs="Times New Roman"/>
                      <w:color w:val="auto"/>
                      <w:sz w:val="18"/>
                      <w:szCs w:val="18"/>
                      <w:highlight w:val="none"/>
                    </w:rPr>
                    <w:t>固废</w:t>
                  </w:r>
                </w:p>
              </w:tc>
              <w:tc>
                <w:tcPr>
                  <w:tcW w:w="13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生活垃圾</w:t>
                  </w:r>
                  <w:r>
                    <w:rPr>
                      <w:rFonts w:hint="eastAsia" w:cs="Times New Roman"/>
                      <w:b w:val="0"/>
                      <w:bCs/>
                      <w:color w:val="auto"/>
                      <w:sz w:val="18"/>
                      <w:szCs w:val="18"/>
                      <w:highlight w:val="none"/>
                      <w:vertAlign w:val="baseline"/>
                      <w:lang w:val="en-US" w:eastAsia="zh-CN"/>
                    </w:rPr>
                    <w:t>（</w:t>
                  </w:r>
                  <w:r>
                    <w:rPr>
                      <w:rFonts w:hint="eastAsia" w:cs="Times New Roman"/>
                      <w:color w:val="auto"/>
                      <w:sz w:val="18"/>
                      <w:szCs w:val="18"/>
                      <w:highlight w:val="none"/>
                      <w:vertAlign w:val="baseline"/>
                      <w:lang w:val="en-US" w:eastAsia="zh-CN"/>
                    </w:rPr>
                    <w:t>t/a</w:t>
                  </w:r>
                  <w:r>
                    <w:rPr>
                      <w:rFonts w:hint="eastAsia" w:cs="Times New Roman"/>
                      <w:b w:val="0"/>
                      <w:bCs/>
                      <w:color w:val="auto"/>
                      <w:sz w:val="18"/>
                      <w:szCs w:val="18"/>
                      <w:highlight w:val="none"/>
                      <w:vertAlign w:val="baseline"/>
                      <w:lang w:val="en-US" w:eastAsia="zh-CN"/>
                    </w:rPr>
                    <w:t>）</w:t>
                  </w:r>
                </w:p>
              </w:tc>
              <w:tc>
                <w:tcPr>
                  <w:tcW w:w="8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w:t>
                  </w:r>
                </w:p>
              </w:tc>
              <w:tc>
                <w:tcPr>
                  <w:tcW w:w="8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1.65</w:t>
                  </w:r>
                </w:p>
              </w:tc>
              <w:tc>
                <w:tcPr>
                  <w:tcW w:w="94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0</w:t>
                  </w:r>
                </w:p>
              </w:tc>
              <w:tc>
                <w:tcPr>
                  <w:tcW w:w="103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0</w:t>
                  </w:r>
                </w:p>
              </w:tc>
              <w:tc>
                <w:tcPr>
                  <w:tcW w:w="122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0</w:t>
                  </w:r>
                </w:p>
              </w:tc>
              <w:tc>
                <w:tcPr>
                  <w:tcW w:w="1051"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13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废分子筛</w:t>
                  </w:r>
                  <w:r>
                    <w:rPr>
                      <w:rFonts w:hint="eastAsia" w:cs="Times New Roman"/>
                      <w:b w:val="0"/>
                      <w:bCs/>
                      <w:color w:val="auto"/>
                      <w:sz w:val="18"/>
                      <w:szCs w:val="18"/>
                      <w:highlight w:val="none"/>
                      <w:vertAlign w:val="baseline"/>
                      <w:lang w:val="en-US" w:eastAsia="zh-CN"/>
                    </w:rPr>
                    <w:t>（</w:t>
                  </w:r>
                  <w:r>
                    <w:rPr>
                      <w:rFonts w:hint="eastAsia" w:cs="Times New Roman"/>
                      <w:color w:val="auto"/>
                      <w:sz w:val="18"/>
                      <w:szCs w:val="18"/>
                      <w:highlight w:val="none"/>
                      <w:vertAlign w:val="baseline"/>
                      <w:lang w:val="en-US" w:eastAsia="zh-CN"/>
                    </w:rPr>
                    <w:t>t/a</w:t>
                  </w:r>
                  <w:r>
                    <w:rPr>
                      <w:rFonts w:hint="eastAsia" w:cs="Times New Roman"/>
                      <w:b w:val="0"/>
                      <w:bCs/>
                      <w:color w:val="auto"/>
                      <w:sz w:val="18"/>
                      <w:szCs w:val="18"/>
                      <w:highlight w:val="none"/>
                      <w:vertAlign w:val="baseline"/>
                      <w:lang w:val="en-US" w:eastAsia="zh-CN"/>
                    </w:rPr>
                    <w:t>）</w:t>
                  </w:r>
                </w:p>
              </w:tc>
              <w:tc>
                <w:tcPr>
                  <w:tcW w:w="8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w:t>
                  </w:r>
                </w:p>
              </w:tc>
              <w:tc>
                <w:tcPr>
                  <w:tcW w:w="8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12</w:t>
                  </w:r>
                </w:p>
              </w:tc>
              <w:tc>
                <w:tcPr>
                  <w:tcW w:w="94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0</w:t>
                  </w:r>
                </w:p>
              </w:tc>
              <w:tc>
                <w:tcPr>
                  <w:tcW w:w="103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0</w:t>
                  </w:r>
                </w:p>
              </w:tc>
              <w:tc>
                <w:tcPr>
                  <w:tcW w:w="122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0</w:t>
                  </w:r>
                </w:p>
              </w:tc>
              <w:tc>
                <w:tcPr>
                  <w:tcW w:w="1051"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13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废氧化铝</w:t>
                  </w:r>
                  <w:r>
                    <w:rPr>
                      <w:rFonts w:hint="eastAsia" w:cs="Times New Roman"/>
                      <w:b w:val="0"/>
                      <w:bCs/>
                      <w:color w:val="auto"/>
                      <w:sz w:val="18"/>
                      <w:szCs w:val="18"/>
                      <w:highlight w:val="none"/>
                      <w:vertAlign w:val="baseline"/>
                      <w:lang w:val="en-US" w:eastAsia="zh-CN"/>
                    </w:rPr>
                    <w:t>（</w:t>
                  </w:r>
                  <w:r>
                    <w:rPr>
                      <w:rFonts w:hint="eastAsia" w:cs="Times New Roman"/>
                      <w:color w:val="auto"/>
                      <w:sz w:val="18"/>
                      <w:szCs w:val="18"/>
                      <w:highlight w:val="none"/>
                      <w:vertAlign w:val="baseline"/>
                      <w:lang w:val="en-US" w:eastAsia="zh-CN"/>
                    </w:rPr>
                    <w:t>t/a</w:t>
                  </w:r>
                  <w:r>
                    <w:rPr>
                      <w:rFonts w:hint="eastAsia" w:cs="Times New Roman"/>
                      <w:b w:val="0"/>
                      <w:bCs/>
                      <w:color w:val="auto"/>
                      <w:sz w:val="18"/>
                      <w:szCs w:val="18"/>
                      <w:highlight w:val="none"/>
                      <w:vertAlign w:val="baseline"/>
                      <w:lang w:val="en-US" w:eastAsia="zh-CN"/>
                    </w:rPr>
                    <w:t>）</w:t>
                  </w:r>
                </w:p>
              </w:tc>
              <w:tc>
                <w:tcPr>
                  <w:tcW w:w="8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w:t>
                  </w:r>
                </w:p>
              </w:tc>
              <w:tc>
                <w:tcPr>
                  <w:tcW w:w="8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3.5</w:t>
                  </w:r>
                </w:p>
              </w:tc>
              <w:tc>
                <w:tcPr>
                  <w:tcW w:w="94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0</w:t>
                  </w:r>
                </w:p>
              </w:tc>
              <w:tc>
                <w:tcPr>
                  <w:tcW w:w="103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0</w:t>
                  </w:r>
                </w:p>
              </w:tc>
              <w:tc>
                <w:tcPr>
                  <w:tcW w:w="122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0</w:t>
                  </w:r>
                </w:p>
              </w:tc>
              <w:tc>
                <w:tcPr>
                  <w:tcW w:w="1051"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13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废滤芯</w:t>
                  </w:r>
                  <w:r>
                    <w:rPr>
                      <w:rFonts w:hint="eastAsia" w:cs="Times New Roman"/>
                      <w:b w:val="0"/>
                      <w:bCs/>
                      <w:color w:val="auto"/>
                      <w:sz w:val="18"/>
                      <w:szCs w:val="18"/>
                      <w:highlight w:val="none"/>
                      <w:vertAlign w:val="baseline"/>
                      <w:lang w:val="en-US" w:eastAsia="zh-CN"/>
                    </w:rPr>
                    <w:t>（</w:t>
                  </w:r>
                  <w:r>
                    <w:rPr>
                      <w:rFonts w:hint="eastAsia" w:cs="Times New Roman"/>
                      <w:color w:val="auto"/>
                      <w:sz w:val="18"/>
                      <w:szCs w:val="18"/>
                      <w:highlight w:val="none"/>
                      <w:vertAlign w:val="baseline"/>
                      <w:lang w:val="en-US" w:eastAsia="zh-CN"/>
                    </w:rPr>
                    <w:t>t/a</w:t>
                  </w:r>
                  <w:r>
                    <w:rPr>
                      <w:rFonts w:hint="eastAsia" w:cs="Times New Roman"/>
                      <w:b w:val="0"/>
                      <w:bCs/>
                      <w:color w:val="auto"/>
                      <w:sz w:val="18"/>
                      <w:szCs w:val="18"/>
                      <w:highlight w:val="none"/>
                      <w:vertAlign w:val="baseline"/>
                      <w:lang w:val="en-US" w:eastAsia="zh-CN"/>
                    </w:rPr>
                    <w:t>）</w:t>
                  </w:r>
                </w:p>
              </w:tc>
              <w:tc>
                <w:tcPr>
                  <w:tcW w:w="8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w:t>
                  </w:r>
                </w:p>
              </w:tc>
              <w:tc>
                <w:tcPr>
                  <w:tcW w:w="8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0.85</w:t>
                  </w:r>
                </w:p>
              </w:tc>
              <w:tc>
                <w:tcPr>
                  <w:tcW w:w="94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0</w:t>
                  </w:r>
                </w:p>
              </w:tc>
              <w:tc>
                <w:tcPr>
                  <w:tcW w:w="103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0</w:t>
                  </w:r>
                </w:p>
              </w:tc>
              <w:tc>
                <w:tcPr>
                  <w:tcW w:w="122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0</w:t>
                  </w:r>
                </w:p>
              </w:tc>
              <w:tc>
                <w:tcPr>
                  <w:tcW w:w="1051"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危险废物</w:t>
                  </w:r>
                </w:p>
              </w:tc>
              <w:tc>
                <w:tcPr>
                  <w:tcW w:w="13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废润滑油</w:t>
                  </w:r>
                  <w:r>
                    <w:rPr>
                      <w:rFonts w:hint="eastAsia" w:cs="Times New Roman"/>
                      <w:b w:val="0"/>
                      <w:bCs/>
                      <w:color w:val="auto"/>
                      <w:sz w:val="18"/>
                      <w:szCs w:val="18"/>
                      <w:highlight w:val="none"/>
                      <w:vertAlign w:val="baseline"/>
                      <w:lang w:val="en-US" w:eastAsia="zh-CN"/>
                    </w:rPr>
                    <w:t>（</w:t>
                  </w:r>
                  <w:r>
                    <w:rPr>
                      <w:rFonts w:hint="eastAsia" w:cs="Times New Roman"/>
                      <w:color w:val="auto"/>
                      <w:sz w:val="18"/>
                      <w:szCs w:val="18"/>
                      <w:highlight w:val="none"/>
                      <w:vertAlign w:val="baseline"/>
                      <w:lang w:val="en-US" w:eastAsia="zh-CN"/>
                    </w:rPr>
                    <w:t>t/a</w:t>
                  </w:r>
                  <w:r>
                    <w:rPr>
                      <w:rFonts w:hint="eastAsia" w:cs="Times New Roman"/>
                      <w:b w:val="0"/>
                      <w:bCs/>
                      <w:color w:val="auto"/>
                      <w:sz w:val="18"/>
                      <w:szCs w:val="18"/>
                      <w:highlight w:val="none"/>
                      <w:vertAlign w:val="baseline"/>
                      <w:lang w:val="en-US" w:eastAsia="zh-CN"/>
                    </w:rPr>
                    <w:t>）</w:t>
                  </w:r>
                </w:p>
              </w:tc>
              <w:tc>
                <w:tcPr>
                  <w:tcW w:w="8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w:t>
                  </w:r>
                </w:p>
              </w:tc>
              <w:tc>
                <w:tcPr>
                  <w:tcW w:w="8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eastAsia" w:cs="Times New Roman" w:eastAsiaTheme="minorEastAsia"/>
                      <w:color w:val="auto"/>
                      <w:spacing w:val="0"/>
                      <w:sz w:val="18"/>
                      <w:szCs w:val="18"/>
                      <w:highlight w:val="none"/>
                      <w:vertAlign w:val="baseline"/>
                      <w:lang w:val="en-US" w:eastAsia="zh-CN"/>
                    </w:rPr>
                    <w:t>0.7</w:t>
                  </w:r>
                </w:p>
              </w:tc>
              <w:tc>
                <w:tcPr>
                  <w:tcW w:w="94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w:t>
                  </w:r>
                </w:p>
              </w:tc>
              <w:tc>
                <w:tcPr>
                  <w:tcW w:w="103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w:t>
                  </w:r>
                </w:p>
              </w:tc>
              <w:tc>
                <w:tcPr>
                  <w:tcW w:w="122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w:t>
                  </w:r>
                </w:p>
              </w:tc>
              <w:tc>
                <w:tcPr>
                  <w:tcW w:w="1051"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color w:val="auto"/>
                      <w:sz w:val="18"/>
                      <w:szCs w:val="18"/>
                      <w:highlight w:val="none"/>
                      <w:lang w:val="en-US" w:eastAsia="zh-CN"/>
                    </w:rPr>
                  </w:pPr>
                </w:p>
              </w:tc>
              <w:tc>
                <w:tcPr>
                  <w:tcW w:w="13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废油桶</w:t>
                  </w:r>
                  <w:r>
                    <w:rPr>
                      <w:rFonts w:hint="eastAsia" w:cs="Times New Roman"/>
                      <w:b w:val="0"/>
                      <w:bCs/>
                      <w:color w:val="auto"/>
                      <w:sz w:val="18"/>
                      <w:szCs w:val="18"/>
                      <w:highlight w:val="none"/>
                      <w:vertAlign w:val="baseline"/>
                      <w:lang w:val="en-US" w:eastAsia="zh-CN"/>
                    </w:rPr>
                    <w:t>（</w:t>
                  </w:r>
                  <w:r>
                    <w:rPr>
                      <w:rFonts w:hint="eastAsia" w:cs="Times New Roman"/>
                      <w:color w:val="auto"/>
                      <w:sz w:val="18"/>
                      <w:szCs w:val="18"/>
                      <w:highlight w:val="none"/>
                      <w:vertAlign w:val="baseline"/>
                      <w:lang w:val="en-US" w:eastAsia="zh-CN"/>
                    </w:rPr>
                    <w:t>t/a</w:t>
                  </w:r>
                  <w:r>
                    <w:rPr>
                      <w:rFonts w:hint="eastAsia" w:cs="Times New Roman"/>
                      <w:b w:val="0"/>
                      <w:bCs/>
                      <w:color w:val="auto"/>
                      <w:sz w:val="18"/>
                      <w:szCs w:val="18"/>
                      <w:highlight w:val="none"/>
                      <w:vertAlign w:val="baseline"/>
                      <w:lang w:val="en-US" w:eastAsia="zh-CN"/>
                    </w:rPr>
                    <w:t>）</w:t>
                  </w:r>
                </w:p>
              </w:tc>
              <w:tc>
                <w:tcPr>
                  <w:tcW w:w="8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w:t>
                  </w:r>
                </w:p>
              </w:tc>
              <w:tc>
                <w:tcPr>
                  <w:tcW w:w="8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eastAsia" w:cs="Times New Roman" w:eastAsiaTheme="minorEastAsia"/>
                      <w:color w:val="auto"/>
                      <w:spacing w:val="0"/>
                      <w:sz w:val="18"/>
                      <w:szCs w:val="18"/>
                      <w:highlight w:val="none"/>
                      <w:vertAlign w:val="baseline"/>
                      <w:lang w:val="en-US" w:eastAsia="zh-CN"/>
                    </w:rPr>
                    <w:t>0.6</w:t>
                  </w:r>
                </w:p>
              </w:tc>
              <w:tc>
                <w:tcPr>
                  <w:tcW w:w="94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w:t>
                  </w:r>
                </w:p>
              </w:tc>
              <w:tc>
                <w:tcPr>
                  <w:tcW w:w="103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w:t>
                  </w:r>
                </w:p>
              </w:tc>
              <w:tc>
                <w:tcPr>
                  <w:tcW w:w="122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w:t>
                  </w:r>
                </w:p>
              </w:tc>
              <w:tc>
                <w:tcPr>
                  <w:tcW w:w="1051"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w:t>
                  </w:r>
                </w:p>
              </w:tc>
            </w:tr>
          </w:tbl>
          <w:p>
            <w:pPr>
              <w:bidi w:val="0"/>
              <w:ind w:left="0" w:leftChars="0" w:firstLine="0" w:firstLineChars="0"/>
              <w:jc w:val="left"/>
              <w:rPr>
                <w:rFonts w:hint="default"/>
                <w:color w:val="auto"/>
                <w:highlight w:val="none"/>
                <w:lang w:val="en-US" w:eastAsia="zh-CN"/>
              </w:rPr>
            </w:pPr>
          </w:p>
          <w:p>
            <w:pPr>
              <w:bidi w:val="0"/>
              <w:rPr>
                <w:rFonts w:hint="default" w:ascii="Times New Roman" w:hAnsi="Times New Roman" w:eastAsia="宋体" w:cstheme="minorBidi"/>
                <w:color w:val="auto"/>
                <w:kern w:val="2"/>
                <w:sz w:val="24"/>
                <w:szCs w:val="24"/>
                <w:highlight w:val="none"/>
                <w:lang w:val="en-US" w:eastAsia="zh-CN" w:bidi="ar-SA"/>
              </w:rPr>
            </w:pPr>
          </w:p>
          <w:p>
            <w:pPr>
              <w:bidi w:val="0"/>
              <w:rPr>
                <w:rFonts w:hint="default"/>
                <w:color w:val="auto"/>
                <w:highlight w:val="none"/>
                <w:lang w:val="en-US" w:eastAsia="zh-CN"/>
              </w:rPr>
            </w:pPr>
          </w:p>
          <w:p>
            <w:pPr>
              <w:bidi w:val="0"/>
              <w:rPr>
                <w:rFonts w:hint="default"/>
                <w:color w:val="auto"/>
                <w:highlight w:val="none"/>
                <w:lang w:val="en-US" w:eastAsia="zh-CN"/>
              </w:rPr>
            </w:pPr>
          </w:p>
          <w:p>
            <w:pPr>
              <w:bidi w:val="0"/>
              <w:rPr>
                <w:rFonts w:hint="default"/>
                <w:color w:val="auto"/>
                <w:highlight w:val="none"/>
                <w:lang w:val="en-US" w:eastAsia="zh-CN"/>
              </w:rPr>
            </w:pPr>
          </w:p>
          <w:p>
            <w:pPr>
              <w:bidi w:val="0"/>
              <w:rPr>
                <w:rFonts w:hint="default"/>
                <w:color w:val="auto"/>
                <w:highlight w:val="none"/>
                <w:lang w:val="en-US" w:eastAsia="zh-CN"/>
              </w:rPr>
            </w:pPr>
          </w:p>
          <w:p>
            <w:pPr>
              <w:bidi w:val="0"/>
              <w:rPr>
                <w:rFonts w:hint="default"/>
                <w:color w:val="auto"/>
                <w:highlight w:val="none"/>
                <w:lang w:val="en-US" w:eastAsia="zh-CN"/>
              </w:rPr>
            </w:pPr>
          </w:p>
          <w:p>
            <w:pPr>
              <w:bidi w:val="0"/>
              <w:rPr>
                <w:rFonts w:hint="default"/>
                <w:color w:val="auto"/>
                <w:highlight w:val="none"/>
                <w:lang w:val="en-US" w:eastAsia="zh-CN"/>
              </w:rPr>
            </w:pPr>
          </w:p>
          <w:p>
            <w:pPr>
              <w:tabs>
                <w:tab w:val="left" w:pos="383"/>
              </w:tabs>
              <w:bidi w:val="0"/>
              <w:ind w:left="0" w:leftChars="0" w:firstLine="0" w:firstLineChars="0"/>
              <w:jc w:val="left"/>
              <w:rPr>
                <w:rFonts w:hint="eastAsia"/>
                <w:color w:val="auto"/>
                <w:highlight w:val="none"/>
                <w:lang w:val="en-US" w:eastAsia="zh-CN"/>
              </w:rPr>
            </w:pPr>
          </w:p>
          <w:p>
            <w:pPr>
              <w:tabs>
                <w:tab w:val="left" w:pos="383"/>
              </w:tabs>
              <w:bidi w:val="0"/>
              <w:jc w:val="left"/>
              <w:rPr>
                <w:rFonts w:hint="default"/>
                <w:color w:val="auto"/>
                <w:highlight w:val="none"/>
                <w:lang w:val="en-US" w:eastAsia="zh-CN"/>
              </w:rPr>
            </w:pPr>
          </w:p>
        </w:tc>
      </w:tr>
    </w:tbl>
    <w:p>
      <w:pPr>
        <w:pStyle w:val="2"/>
        <w:bidi w:val="0"/>
        <w:rPr>
          <w:rFonts w:hint="default"/>
          <w:color w:val="auto"/>
          <w:highlight w:val="none"/>
          <w:lang w:val="en-US" w:eastAsia="zh-CN"/>
        </w:rPr>
      </w:pPr>
      <w:bookmarkStart w:id="247" w:name="_Toc27677"/>
      <w:r>
        <w:rPr>
          <w:rFonts w:hint="eastAsia"/>
          <w:color w:val="auto"/>
          <w:highlight w:val="none"/>
          <w:lang w:val="en-US" w:eastAsia="zh-CN"/>
        </w:rPr>
        <w:t>五、</w:t>
      </w:r>
      <w:r>
        <w:rPr>
          <w:rFonts w:hint="default"/>
          <w:color w:val="auto"/>
          <w:highlight w:val="none"/>
          <w:lang w:val="en-US" w:eastAsia="zh-CN"/>
        </w:rPr>
        <w:t>环境保护措施监督检查清</w:t>
      </w:r>
      <w:bookmarkEnd w:id="246"/>
      <w:r>
        <w:rPr>
          <w:rFonts w:hint="default"/>
          <w:color w:val="auto"/>
          <w:highlight w:val="none"/>
          <w:lang w:val="en-US" w:eastAsia="zh-CN"/>
        </w:rPr>
        <w:t>单</w:t>
      </w:r>
      <w:bookmarkEnd w:id="247"/>
    </w:p>
    <w:tbl>
      <w:tblPr>
        <w:tblStyle w:val="23"/>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225"/>
        <w:gridCol w:w="1501"/>
        <w:gridCol w:w="1195"/>
        <w:gridCol w:w="2873"/>
        <w:gridCol w:w="20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225" w:type="dxa"/>
            <w:tcBorders>
              <w:tl2br w:val="single" w:color="auto" w:sz="4" w:space="0"/>
            </w:tcBorders>
            <w:noWrap w:val="0"/>
            <w:vAlign w:val="center"/>
          </w:tcPr>
          <w:p>
            <w:pPr>
              <w:keepNext w:val="0"/>
              <w:keepLines w:val="0"/>
              <w:pageBreakBefore w:val="0"/>
              <w:kinsoku/>
              <w:wordWrap/>
              <w:topLinePunct w:val="0"/>
              <w:autoSpaceDE/>
              <w:autoSpaceDN/>
              <w:bidi w:val="0"/>
              <w:adjustRightInd w:val="0"/>
              <w:snapToGrid w:val="0"/>
              <w:spacing w:line="40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内容</w:t>
            </w:r>
          </w:p>
          <w:p>
            <w:pPr>
              <w:keepNext w:val="0"/>
              <w:keepLines w:val="0"/>
              <w:pageBreakBefore w:val="0"/>
              <w:kinsoku/>
              <w:wordWrap/>
              <w:topLinePunct w:val="0"/>
              <w:autoSpaceDE/>
              <w:autoSpaceDN/>
              <w:bidi w:val="0"/>
              <w:adjustRightInd w:val="0"/>
              <w:snapToGrid w:val="0"/>
              <w:spacing w:line="400" w:lineRule="exact"/>
              <w:ind w:left="0" w:leftChars="0" w:right="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要素</w:t>
            </w:r>
          </w:p>
        </w:tc>
        <w:tc>
          <w:tcPr>
            <w:tcW w:w="1501" w:type="dxa"/>
            <w:noWrap w:val="0"/>
            <w:vAlign w:val="center"/>
          </w:tcPr>
          <w:p>
            <w:pPr>
              <w:keepNext w:val="0"/>
              <w:keepLines w:val="0"/>
              <w:pageBreakBefore w:val="0"/>
              <w:kinsoku/>
              <w:wordWrap/>
              <w:topLinePunct w:val="0"/>
              <w:autoSpaceDE/>
              <w:autoSpaceDN/>
              <w:bidi w:val="0"/>
              <w:adjustRightInd w:val="0"/>
              <w:snapToGrid w:val="0"/>
              <w:spacing w:line="40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排放口（编号、名称）/污染源</w:t>
            </w:r>
          </w:p>
        </w:tc>
        <w:tc>
          <w:tcPr>
            <w:tcW w:w="1195" w:type="dxa"/>
            <w:noWrap w:val="0"/>
            <w:vAlign w:val="center"/>
          </w:tcPr>
          <w:p>
            <w:pPr>
              <w:keepNext w:val="0"/>
              <w:keepLines w:val="0"/>
              <w:pageBreakBefore w:val="0"/>
              <w:kinsoku/>
              <w:wordWrap/>
              <w:topLinePunct w:val="0"/>
              <w:autoSpaceDE/>
              <w:autoSpaceDN/>
              <w:bidi w:val="0"/>
              <w:adjustRightInd w:val="0"/>
              <w:snapToGrid w:val="0"/>
              <w:spacing w:line="40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污染物项目</w:t>
            </w:r>
          </w:p>
        </w:tc>
        <w:tc>
          <w:tcPr>
            <w:tcW w:w="2873" w:type="dxa"/>
            <w:noWrap w:val="0"/>
            <w:vAlign w:val="center"/>
          </w:tcPr>
          <w:p>
            <w:pPr>
              <w:keepNext w:val="0"/>
              <w:keepLines w:val="0"/>
              <w:pageBreakBefore w:val="0"/>
              <w:kinsoku/>
              <w:wordWrap/>
              <w:topLinePunct w:val="0"/>
              <w:autoSpaceDE/>
              <w:autoSpaceDN/>
              <w:bidi w:val="0"/>
              <w:adjustRightInd w:val="0"/>
              <w:snapToGrid w:val="0"/>
              <w:spacing w:line="40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环境保护措施</w:t>
            </w:r>
          </w:p>
        </w:tc>
        <w:tc>
          <w:tcPr>
            <w:tcW w:w="2006" w:type="dxa"/>
            <w:noWrap w:val="0"/>
            <w:vAlign w:val="center"/>
          </w:tcPr>
          <w:p>
            <w:pPr>
              <w:keepNext w:val="0"/>
              <w:keepLines w:val="0"/>
              <w:pageBreakBefore w:val="0"/>
              <w:kinsoku/>
              <w:wordWrap/>
              <w:topLinePunct w:val="0"/>
              <w:autoSpaceDE/>
              <w:autoSpaceDN/>
              <w:bidi w:val="0"/>
              <w:adjustRightInd w:val="0"/>
              <w:snapToGrid w:val="0"/>
              <w:spacing w:line="40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76" w:hRule="atLeast"/>
          <w:jc w:val="center"/>
        </w:trPr>
        <w:tc>
          <w:tcPr>
            <w:tcW w:w="1225" w:type="dxa"/>
            <w:noWrap w:val="0"/>
            <w:vAlign w:val="center"/>
          </w:tcPr>
          <w:p>
            <w:pPr>
              <w:keepNext w:val="0"/>
              <w:keepLines w:val="0"/>
              <w:pageBreakBefore w:val="0"/>
              <w:kinsoku/>
              <w:wordWrap/>
              <w:topLinePunct w:val="0"/>
              <w:autoSpaceDE/>
              <w:autoSpaceDN/>
              <w:bidi w:val="0"/>
              <w:adjustRightInd w:val="0"/>
              <w:snapToGrid w:val="0"/>
              <w:spacing w:line="400" w:lineRule="exact"/>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大气环境</w:t>
            </w:r>
          </w:p>
        </w:tc>
        <w:tc>
          <w:tcPr>
            <w:tcW w:w="7575" w:type="dxa"/>
            <w:gridSpan w:val="4"/>
            <w:shd w:val="clear" w:color="auto" w:fill="auto"/>
            <w:noWrap w:val="0"/>
            <w:vAlign w:val="center"/>
          </w:tcPr>
          <w:p>
            <w:pPr>
              <w:keepNext w:val="0"/>
              <w:keepLines w:val="0"/>
              <w:pageBreakBefore w:val="0"/>
              <w:kinsoku/>
              <w:wordWrap/>
              <w:topLinePunct w:val="0"/>
              <w:autoSpaceDE/>
              <w:autoSpaceDN/>
              <w:bidi w:val="0"/>
              <w:adjustRightInd w:val="0"/>
              <w:snapToGrid w:val="0"/>
              <w:spacing w:line="40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本项目运营过程中产生的废气主要为污氮（主要成分为氮气，含少量氧气、二氧化碳等），为空气组分，不属于大气污染物，不含其他有毒有害物质，</w:t>
            </w:r>
            <w:r>
              <w:rPr>
                <w:rFonts w:hint="eastAsia" w:cs="Times New Roman"/>
                <w:color w:val="auto"/>
                <w:sz w:val="21"/>
                <w:szCs w:val="21"/>
                <w:highlight w:val="none"/>
                <w:lang w:val="en-US" w:eastAsia="zh-CN"/>
              </w:rPr>
              <w:t>直接</w:t>
            </w:r>
            <w:r>
              <w:rPr>
                <w:rFonts w:hint="default" w:ascii="Times New Roman" w:hAnsi="Times New Roman" w:eastAsia="宋体" w:cs="Times New Roman"/>
                <w:color w:val="auto"/>
                <w:sz w:val="21"/>
                <w:szCs w:val="21"/>
                <w:highlight w:val="none"/>
                <w:lang w:val="en-US" w:eastAsia="zh-CN"/>
              </w:rPr>
              <w:t>排放至大气环境，对周边环境空气影响较小。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76" w:hRule="atLeast"/>
          <w:jc w:val="center"/>
        </w:trPr>
        <w:tc>
          <w:tcPr>
            <w:tcW w:w="1225" w:type="dxa"/>
            <w:vMerge w:val="restart"/>
            <w:noWrap w:val="0"/>
            <w:vAlign w:val="center"/>
          </w:tcPr>
          <w:p>
            <w:pPr>
              <w:keepNext w:val="0"/>
              <w:keepLines w:val="0"/>
              <w:pageBreakBefore w:val="0"/>
              <w:kinsoku/>
              <w:wordWrap/>
              <w:topLinePunct w:val="0"/>
              <w:autoSpaceDE/>
              <w:autoSpaceDN/>
              <w:bidi w:val="0"/>
              <w:adjustRightInd w:val="0"/>
              <w:snapToGrid w:val="0"/>
              <w:spacing w:line="40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地表水环境</w:t>
            </w:r>
          </w:p>
        </w:tc>
        <w:tc>
          <w:tcPr>
            <w:tcW w:w="1501" w:type="dxa"/>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生活污水</w:t>
            </w:r>
          </w:p>
        </w:tc>
        <w:tc>
          <w:tcPr>
            <w:tcW w:w="1195" w:type="dxa"/>
            <w:noWrap w:val="0"/>
            <w:vAlign w:val="center"/>
          </w:tcPr>
          <w:p>
            <w:pPr>
              <w:keepNext w:val="0"/>
              <w:keepLines w:val="0"/>
              <w:pageBreakBefore w:val="0"/>
              <w:kinsoku/>
              <w:wordWrap/>
              <w:topLinePunct w:val="0"/>
              <w:autoSpaceDE/>
              <w:autoSpaceDN/>
              <w:bidi w:val="0"/>
              <w:spacing w:line="400" w:lineRule="exact"/>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pH、SS、COD、BOD</w:t>
            </w:r>
            <w:r>
              <w:rPr>
                <w:rFonts w:hint="eastAsia" w:cs="Times New Roman"/>
                <w:color w:val="auto"/>
                <w:kern w:val="0"/>
                <w:sz w:val="21"/>
                <w:szCs w:val="21"/>
                <w:highlight w:val="none"/>
                <w:vertAlign w:val="subscript"/>
                <w:lang w:val="en-US" w:eastAsia="zh-CN"/>
              </w:rPr>
              <w:t>5</w:t>
            </w:r>
            <w:r>
              <w:rPr>
                <w:rFonts w:hint="eastAsia" w:cs="Times New Roman"/>
                <w:color w:val="auto"/>
                <w:kern w:val="0"/>
                <w:sz w:val="21"/>
                <w:szCs w:val="21"/>
                <w:highlight w:val="none"/>
                <w:lang w:val="en-US" w:eastAsia="zh-CN"/>
              </w:rPr>
              <w:t>、NH</w:t>
            </w:r>
            <w:r>
              <w:rPr>
                <w:rFonts w:hint="eastAsia" w:cs="Times New Roman"/>
                <w:color w:val="auto"/>
                <w:kern w:val="0"/>
                <w:sz w:val="21"/>
                <w:szCs w:val="21"/>
                <w:highlight w:val="none"/>
                <w:vertAlign w:val="subscript"/>
                <w:lang w:val="en-US" w:eastAsia="zh-CN"/>
              </w:rPr>
              <w:t>3</w:t>
            </w:r>
            <w:r>
              <w:rPr>
                <w:rFonts w:hint="eastAsia" w:cs="Times New Roman"/>
                <w:color w:val="auto"/>
                <w:kern w:val="0"/>
                <w:sz w:val="21"/>
                <w:szCs w:val="21"/>
                <w:highlight w:val="none"/>
                <w:lang w:val="en-US" w:eastAsia="zh-CN"/>
              </w:rPr>
              <w:t>-N、TP等</w:t>
            </w:r>
          </w:p>
        </w:tc>
        <w:tc>
          <w:tcPr>
            <w:tcW w:w="2873" w:type="dxa"/>
            <w:noWrap w:val="0"/>
            <w:vAlign w:val="center"/>
          </w:tcPr>
          <w:p>
            <w:pPr>
              <w:keepNext w:val="0"/>
              <w:keepLines w:val="0"/>
              <w:pageBreakBefore w:val="0"/>
              <w:kinsoku/>
              <w:wordWrap/>
              <w:topLinePunct w:val="0"/>
              <w:autoSpaceDE/>
              <w:autoSpaceDN/>
              <w:bidi w:val="0"/>
              <w:adjustRightInd w:val="0"/>
              <w:snapToGrid w:val="0"/>
              <w:spacing w:line="400" w:lineRule="exact"/>
              <w:ind w:left="0" w:right="0" w:firstLine="0" w:firstLineChars="0"/>
              <w:jc w:val="center"/>
              <w:textAlignment w:val="auto"/>
              <w:rPr>
                <w:rFonts w:hint="default" w:ascii="Times New Roman" w:hAnsi="Times New Roman" w:eastAsia="宋体" w:cs="Times New Roman"/>
                <w:bCs/>
                <w:color w:val="auto"/>
                <w:sz w:val="21"/>
                <w:szCs w:val="21"/>
                <w:highlight w:val="none"/>
                <w:lang w:val="en-US" w:eastAsia="zh-CN" w:bidi="ar"/>
              </w:rPr>
            </w:pPr>
            <w:r>
              <w:rPr>
                <w:rFonts w:hint="default" w:ascii="Times New Roman" w:hAnsi="Times New Roman" w:eastAsia="宋体" w:cs="Times New Roman"/>
                <w:bCs/>
                <w:color w:val="auto"/>
                <w:sz w:val="21"/>
                <w:szCs w:val="21"/>
                <w:highlight w:val="none"/>
                <w:lang w:val="en-US" w:eastAsia="zh-CN" w:bidi="ar"/>
              </w:rPr>
              <w:t>生活污水经收集后进入厂区生活污水处理站进行处理，处理达标后回用于绿化浇洒，不外排。</w:t>
            </w:r>
          </w:p>
        </w:tc>
        <w:tc>
          <w:tcPr>
            <w:tcW w:w="2006" w:type="dxa"/>
            <w:noWrap w:val="0"/>
            <w:vAlign w:val="center"/>
          </w:tcPr>
          <w:p>
            <w:pPr>
              <w:keepNext w:val="0"/>
              <w:keepLines w:val="0"/>
              <w:pageBreakBefore w:val="0"/>
              <w:kinsoku/>
              <w:wordWrap/>
              <w:topLinePunct w:val="0"/>
              <w:autoSpaceDE/>
              <w:autoSpaceDN/>
              <w:bidi w:val="0"/>
              <w:adjustRightInd w:val="0"/>
              <w:snapToGrid w:val="0"/>
              <w:spacing w:line="40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bidi="ar"/>
              </w:rPr>
              <w:t>《城市污水再生利用 城市杂用水水质》（GB/T18920-2020）表1中“城市绿化、道路清扫、消防、建筑施工”限值要求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7" w:hRule="atLeast"/>
          <w:jc w:val="center"/>
        </w:trPr>
        <w:tc>
          <w:tcPr>
            <w:tcW w:w="1225" w:type="dxa"/>
            <w:vMerge w:val="continue"/>
            <w:noWrap w:val="0"/>
            <w:vAlign w:val="center"/>
          </w:tcPr>
          <w:p>
            <w:pPr>
              <w:keepNext w:val="0"/>
              <w:keepLines w:val="0"/>
              <w:pageBreakBefore w:val="0"/>
              <w:kinsoku/>
              <w:wordWrap/>
              <w:topLinePunct w:val="0"/>
              <w:autoSpaceDE/>
              <w:autoSpaceDN/>
              <w:bidi w:val="0"/>
              <w:adjustRightInd w:val="0"/>
              <w:snapToGrid w:val="0"/>
              <w:spacing w:line="40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501" w:type="dxa"/>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生产废水</w:t>
            </w:r>
          </w:p>
        </w:tc>
        <w:tc>
          <w:tcPr>
            <w:tcW w:w="1195" w:type="dxa"/>
            <w:noWrap w:val="0"/>
            <w:vAlign w:val="center"/>
          </w:tcPr>
          <w:p>
            <w:pPr>
              <w:keepNext w:val="0"/>
              <w:keepLines w:val="0"/>
              <w:pageBreakBefore w:val="0"/>
              <w:kinsoku/>
              <w:wordWrap/>
              <w:topLinePunct w:val="0"/>
              <w:autoSpaceDE/>
              <w:autoSpaceDN/>
              <w:bidi w:val="0"/>
              <w:spacing w:line="40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cs="Times New Roman"/>
                <w:color w:val="auto"/>
                <w:kern w:val="0"/>
                <w:sz w:val="21"/>
                <w:szCs w:val="21"/>
                <w:highlight w:val="none"/>
                <w:lang w:val="en-US" w:eastAsia="zh-CN"/>
              </w:rPr>
              <w:t>SS、盐类等</w:t>
            </w:r>
          </w:p>
        </w:tc>
        <w:tc>
          <w:tcPr>
            <w:tcW w:w="287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项目生产废水主要为循环冷却系统</w:t>
            </w:r>
            <w:r>
              <w:rPr>
                <w:rFonts w:hint="eastAsia" w:cs="Times New Roman"/>
                <w:color w:val="auto"/>
                <w:kern w:val="2"/>
                <w:sz w:val="21"/>
                <w:szCs w:val="21"/>
                <w:highlight w:val="none"/>
                <w:lang w:val="en-US" w:eastAsia="zh-CN" w:bidi="ar-SA"/>
              </w:rPr>
              <w:t>循环水池检修</w:t>
            </w:r>
            <w:r>
              <w:rPr>
                <w:rFonts w:hint="eastAsia" w:ascii="Times New Roman" w:hAnsi="Times New Roman" w:eastAsia="宋体" w:cs="Times New Roman"/>
                <w:color w:val="auto"/>
                <w:kern w:val="2"/>
                <w:sz w:val="21"/>
                <w:szCs w:val="21"/>
                <w:highlight w:val="none"/>
                <w:lang w:val="en-US" w:eastAsia="zh-CN" w:bidi="ar-SA"/>
              </w:rPr>
              <w:t>排污水，该废水经污水管道排入厂区</w:t>
            </w:r>
            <w:r>
              <w:rPr>
                <w:rFonts w:hint="eastAsia" w:cs="Times New Roman"/>
                <w:color w:val="auto"/>
                <w:kern w:val="2"/>
                <w:sz w:val="21"/>
                <w:szCs w:val="21"/>
                <w:highlight w:val="none"/>
                <w:lang w:val="en-US" w:eastAsia="zh-CN" w:bidi="ar-SA"/>
              </w:rPr>
              <w:t>生产废水深度水处理站</w:t>
            </w:r>
            <w:r>
              <w:rPr>
                <w:rFonts w:hint="eastAsia" w:ascii="Times New Roman" w:hAnsi="Times New Roman" w:eastAsia="宋体" w:cs="Times New Roman"/>
                <w:color w:val="auto"/>
                <w:kern w:val="2"/>
                <w:sz w:val="21"/>
                <w:szCs w:val="21"/>
                <w:highlight w:val="none"/>
                <w:lang w:val="en-US" w:eastAsia="zh-CN" w:bidi="ar-SA"/>
              </w:rPr>
              <w:t>处理达标后回用于易门铜业有限公司生产过程，不外排。</w:t>
            </w:r>
          </w:p>
        </w:tc>
        <w:tc>
          <w:tcPr>
            <w:tcW w:w="2006"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《城市污水再生利用 工业用水水质》（GB/T19923-2024）表1中“直流冷却水、洗涤用水”标准</w:t>
            </w:r>
            <w:r>
              <w:rPr>
                <w:rFonts w:hint="default" w:ascii="Times New Roman" w:hAnsi="Times New Roman" w:eastAsia="宋体" w:cs="Times New Roman"/>
                <w:color w:val="auto"/>
                <w:kern w:val="2"/>
                <w:sz w:val="21"/>
                <w:szCs w:val="21"/>
                <w:highlight w:val="none"/>
                <w:lang w:val="en-US" w:eastAsia="zh-CN" w:bidi="ar-SA"/>
              </w:rPr>
              <w:t>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65" w:hRule="atLeast"/>
          <w:jc w:val="center"/>
        </w:trPr>
        <w:tc>
          <w:tcPr>
            <w:tcW w:w="1225" w:type="dxa"/>
            <w:noWrap w:val="0"/>
            <w:vAlign w:val="center"/>
          </w:tcPr>
          <w:p>
            <w:pPr>
              <w:keepNext w:val="0"/>
              <w:keepLines w:val="0"/>
              <w:pageBreakBefore w:val="0"/>
              <w:kinsoku/>
              <w:wordWrap/>
              <w:topLinePunct w:val="0"/>
              <w:autoSpaceDE/>
              <w:autoSpaceDN/>
              <w:bidi w:val="0"/>
              <w:adjustRightInd w:val="0"/>
              <w:snapToGrid w:val="0"/>
              <w:spacing w:line="40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1501" w:type="dxa"/>
            <w:noWrap w:val="0"/>
            <w:vAlign w:val="center"/>
          </w:tcPr>
          <w:p>
            <w:pPr>
              <w:keepNext w:val="0"/>
              <w:keepLines w:val="0"/>
              <w:pageBreakBefore w:val="0"/>
              <w:kinsoku/>
              <w:wordWrap/>
              <w:topLinePunct w:val="0"/>
              <w:autoSpaceDE/>
              <w:autoSpaceDN/>
              <w:bidi w:val="0"/>
              <w:spacing w:line="400" w:lineRule="exact"/>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设备</w:t>
            </w:r>
            <w:r>
              <w:rPr>
                <w:rFonts w:hint="eastAsia" w:cs="Times New Roman"/>
                <w:color w:val="auto"/>
                <w:sz w:val="21"/>
                <w:szCs w:val="21"/>
                <w:highlight w:val="none"/>
                <w:lang w:val="en-US" w:eastAsia="zh-CN"/>
              </w:rPr>
              <w:t>噪声</w:t>
            </w:r>
          </w:p>
        </w:tc>
        <w:tc>
          <w:tcPr>
            <w:tcW w:w="1195" w:type="dxa"/>
            <w:noWrap w:val="0"/>
            <w:vAlign w:val="center"/>
          </w:tcPr>
          <w:p>
            <w:pPr>
              <w:keepNext w:val="0"/>
              <w:keepLines w:val="0"/>
              <w:pageBreakBefore w:val="0"/>
              <w:kinsoku/>
              <w:wordWrap/>
              <w:topLinePunct w:val="0"/>
              <w:autoSpaceDE/>
              <w:autoSpaceDN/>
              <w:bidi w:val="0"/>
              <w:adjustRightInd w:val="0"/>
              <w:snapToGrid w:val="0"/>
              <w:spacing w:line="400" w:lineRule="exact"/>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噪声dB（A）</w:t>
            </w:r>
          </w:p>
        </w:tc>
        <w:tc>
          <w:tcPr>
            <w:tcW w:w="2873" w:type="dxa"/>
            <w:noWrap w:val="0"/>
            <w:vAlign w:val="center"/>
          </w:tcPr>
          <w:p>
            <w:pPr>
              <w:keepNext w:val="0"/>
              <w:keepLines w:val="0"/>
              <w:pageBreakBefore w:val="0"/>
              <w:kinsoku/>
              <w:wordWrap/>
              <w:topLinePunct w:val="0"/>
              <w:autoSpaceDE/>
              <w:autoSpaceDN/>
              <w:bidi w:val="0"/>
              <w:spacing w:line="400" w:lineRule="exact"/>
              <w:ind w:left="0" w:right="0" w:firstLine="0" w:firstLineChars="0"/>
              <w:jc w:val="left"/>
              <w:textAlignment w:val="auto"/>
              <w:rPr>
                <w:rFonts w:hint="default" w:ascii="Times New Roman" w:hAnsi="Times New Roman" w:eastAsia="宋体" w:cs="Times New Roman"/>
                <w:b/>
                <w:bCs/>
                <w:snapToGrid/>
                <w:color w:val="auto"/>
                <w:kern w:val="2"/>
                <w:sz w:val="21"/>
                <w:szCs w:val="21"/>
                <w:highlight w:val="none"/>
              </w:rPr>
            </w:pPr>
            <w:r>
              <w:rPr>
                <w:rFonts w:hint="default" w:ascii="Times New Roman" w:hAnsi="Times New Roman" w:eastAsia="宋体" w:cs="Times New Roman"/>
                <w:b/>
                <w:bCs/>
                <w:snapToGrid/>
                <w:color w:val="auto"/>
                <w:kern w:val="2"/>
                <w:sz w:val="21"/>
                <w:szCs w:val="21"/>
                <w:highlight w:val="none"/>
              </w:rPr>
              <w:t>1、现有</w:t>
            </w:r>
            <w:r>
              <w:rPr>
                <w:rFonts w:hint="eastAsia" w:cs="Times New Roman"/>
                <w:b/>
                <w:bCs/>
                <w:snapToGrid/>
                <w:color w:val="auto"/>
                <w:kern w:val="2"/>
                <w:sz w:val="21"/>
                <w:szCs w:val="21"/>
                <w:highlight w:val="none"/>
                <w:lang w:val="en-US" w:eastAsia="zh-CN"/>
              </w:rPr>
              <w:t>项目已采取的</w:t>
            </w:r>
            <w:r>
              <w:rPr>
                <w:rFonts w:hint="default" w:ascii="Times New Roman" w:hAnsi="Times New Roman" w:eastAsia="宋体" w:cs="Times New Roman"/>
                <w:b/>
                <w:bCs/>
                <w:snapToGrid/>
                <w:color w:val="auto"/>
                <w:kern w:val="2"/>
                <w:sz w:val="21"/>
                <w:szCs w:val="21"/>
                <w:highlight w:val="none"/>
              </w:rPr>
              <w:t>降噪措施：</w:t>
            </w:r>
          </w:p>
          <w:p>
            <w:pPr>
              <w:keepNext w:val="0"/>
              <w:keepLines w:val="0"/>
              <w:pageBreakBefore w:val="0"/>
              <w:kinsoku/>
              <w:wordWrap/>
              <w:topLinePunct w:val="0"/>
              <w:autoSpaceDE/>
              <w:autoSpaceDN/>
              <w:bidi w:val="0"/>
              <w:spacing w:line="400" w:lineRule="exact"/>
              <w:ind w:left="0" w:right="0" w:firstLine="0" w:firstLineChars="0"/>
              <w:jc w:val="left"/>
              <w:textAlignment w:val="auto"/>
              <w:rPr>
                <w:rFonts w:hint="default" w:ascii="Times New Roman" w:hAnsi="Times New Roman" w:eastAsia="宋体" w:cs="Times New Roman"/>
                <w:snapToGrid/>
                <w:color w:val="auto"/>
                <w:kern w:val="2"/>
                <w:sz w:val="21"/>
                <w:szCs w:val="21"/>
                <w:highlight w:val="none"/>
              </w:rPr>
            </w:pPr>
            <w:r>
              <w:rPr>
                <w:rFonts w:hint="default" w:ascii="Times New Roman" w:hAnsi="Times New Roman" w:eastAsia="宋体" w:cs="Times New Roman"/>
                <w:snapToGrid/>
                <w:color w:val="auto"/>
                <w:kern w:val="2"/>
                <w:sz w:val="21"/>
                <w:szCs w:val="21"/>
                <w:highlight w:val="none"/>
              </w:rPr>
              <w:t>（1）选用低噪声设备、基础</w:t>
            </w:r>
            <w:r>
              <w:rPr>
                <w:rFonts w:hint="eastAsia" w:cs="Times New Roman"/>
                <w:snapToGrid/>
                <w:color w:val="auto"/>
                <w:kern w:val="2"/>
                <w:sz w:val="21"/>
                <w:szCs w:val="21"/>
                <w:highlight w:val="none"/>
                <w:lang w:eastAsia="zh-CN"/>
              </w:rPr>
              <w:t>减振</w:t>
            </w:r>
            <w:r>
              <w:rPr>
                <w:rFonts w:hint="default" w:ascii="Times New Roman" w:hAnsi="Times New Roman" w:eastAsia="宋体" w:cs="Times New Roman"/>
                <w:snapToGrid/>
                <w:color w:val="auto"/>
                <w:kern w:val="2"/>
                <w:sz w:val="21"/>
                <w:szCs w:val="21"/>
                <w:highlight w:val="none"/>
              </w:rPr>
              <w:t>；</w:t>
            </w:r>
          </w:p>
          <w:p>
            <w:pPr>
              <w:keepNext w:val="0"/>
              <w:keepLines w:val="0"/>
              <w:pageBreakBefore w:val="0"/>
              <w:kinsoku/>
              <w:wordWrap/>
              <w:topLinePunct w:val="0"/>
              <w:autoSpaceDE/>
              <w:autoSpaceDN/>
              <w:bidi w:val="0"/>
              <w:spacing w:line="400" w:lineRule="exact"/>
              <w:ind w:left="0" w:right="0" w:firstLine="0" w:firstLineChars="0"/>
              <w:jc w:val="left"/>
              <w:textAlignment w:val="auto"/>
              <w:rPr>
                <w:rFonts w:hint="default" w:ascii="Times New Roman" w:hAnsi="Times New Roman" w:eastAsia="宋体" w:cs="Times New Roman"/>
                <w:snapToGrid/>
                <w:color w:val="auto"/>
                <w:kern w:val="2"/>
                <w:sz w:val="21"/>
                <w:szCs w:val="21"/>
                <w:highlight w:val="none"/>
              </w:rPr>
            </w:pPr>
            <w:r>
              <w:rPr>
                <w:rFonts w:hint="default" w:ascii="Times New Roman" w:hAnsi="Times New Roman" w:eastAsia="宋体" w:cs="Times New Roman"/>
                <w:snapToGrid/>
                <w:color w:val="auto"/>
                <w:kern w:val="2"/>
                <w:sz w:val="21"/>
                <w:szCs w:val="21"/>
                <w:highlight w:val="none"/>
              </w:rPr>
              <w:t>（2）设置隔声门，加装隔声窗；（3）安装进风消声器及排风消声器；</w:t>
            </w:r>
          </w:p>
          <w:p>
            <w:pPr>
              <w:keepNext w:val="0"/>
              <w:keepLines w:val="0"/>
              <w:pageBreakBefore w:val="0"/>
              <w:kinsoku/>
              <w:wordWrap/>
              <w:topLinePunct w:val="0"/>
              <w:autoSpaceDE/>
              <w:autoSpaceDN/>
              <w:bidi w:val="0"/>
              <w:spacing w:line="400" w:lineRule="exact"/>
              <w:ind w:left="0" w:right="0" w:firstLine="0" w:firstLineChars="0"/>
              <w:jc w:val="left"/>
              <w:textAlignment w:val="auto"/>
              <w:rPr>
                <w:rFonts w:hint="default" w:ascii="Times New Roman" w:hAnsi="Times New Roman" w:eastAsia="宋体" w:cs="Times New Roman"/>
                <w:snapToGrid/>
                <w:color w:val="auto"/>
                <w:kern w:val="2"/>
                <w:sz w:val="21"/>
                <w:szCs w:val="21"/>
                <w:highlight w:val="none"/>
              </w:rPr>
            </w:pPr>
            <w:r>
              <w:rPr>
                <w:rFonts w:hint="default" w:ascii="Times New Roman" w:hAnsi="Times New Roman" w:eastAsia="宋体" w:cs="Times New Roman"/>
                <w:snapToGrid/>
                <w:color w:val="auto"/>
                <w:kern w:val="2"/>
                <w:sz w:val="21"/>
                <w:szCs w:val="21"/>
                <w:highlight w:val="none"/>
              </w:rPr>
              <w:t>（4）设置隔声墙；</w:t>
            </w:r>
          </w:p>
          <w:p>
            <w:pPr>
              <w:keepNext w:val="0"/>
              <w:keepLines w:val="0"/>
              <w:pageBreakBefore w:val="0"/>
              <w:kinsoku/>
              <w:wordWrap/>
              <w:topLinePunct w:val="0"/>
              <w:autoSpaceDE/>
              <w:autoSpaceDN/>
              <w:bidi w:val="0"/>
              <w:spacing w:line="400" w:lineRule="exact"/>
              <w:ind w:left="0" w:right="0" w:firstLine="0" w:firstLineChars="0"/>
              <w:jc w:val="left"/>
              <w:textAlignment w:val="auto"/>
              <w:rPr>
                <w:rFonts w:hint="default" w:ascii="Times New Roman" w:hAnsi="Times New Roman" w:eastAsia="宋体" w:cs="Times New Roman"/>
                <w:snapToGrid/>
                <w:color w:val="auto"/>
                <w:kern w:val="2"/>
                <w:sz w:val="21"/>
                <w:szCs w:val="21"/>
                <w:highlight w:val="none"/>
              </w:rPr>
            </w:pPr>
            <w:r>
              <w:rPr>
                <w:rFonts w:hint="default" w:ascii="Times New Roman" w:hAnsi="Times New Roman" w:eastAsia="宋体" w:cs="Times New Roman"/>
                <w:snapToGrid/>
                <w:color w:val="auto"/>
                <w:kern w:val="2"/>
                <w:sz w:val="21"/>
                <w:szCs w:val="21"/>
                <w:highlight w:val="none"/>
              </w:rPr>
              <w:t>（5）设备排放口安装排气放空消声器；</w:t>
            </w:r>
          </w:p>
          <w:p>
            <w:pPr>
              <w:keepNext w:val="0"/>
              <w:keepLines w:val="0"/>
              <w:pageBreakBefore w:val="0"/>
              <w:kinsoku/>
              <w:wordWrap/>
              <w:topLinePunct w:val="0"/>
              <w:autoSpaceDE/>
              <w:autoSpaceDN/>
              <w:bidi w:val="0"/>
              <w:spacing w:line="400" w:lineRule="exact"/>
              <w:ind w:left="0" w:right="0" w:firstLine="0" w:firstLineChars="0"/>
              <w:jc w:val="left"/>
              <w:textAlignment w:val="auto"/>
              <w:rPr>
                <w:rFonts w:hint="default" w:ascii="Times New Roman" w:hAnsi="Times New Roman" w:eastAsia="宋体" w:cs="Times New Roman"/>
                <w:snapToGrid/>
                <w:color w:val="auto"/>
                <w:kern w:val="2"/>
                <w:sz w:val="21"/>
                <w:szCs w:val="21"/>
                <w:highlight w:val="none"/>
              </w:rPr>
            </w:pPr>
            <w:r>
              <w:rPr>
                <w:rFonts w:hint="default" w:ascii="Times New Roman" w:hAnsi="Times New Roman" w:eastAsia="宋体" w:cs="Times New Roman"/>
                <w:b/>
                <w:bCs/>
                <w:snapToGrid/>
                <w:color w:val="auto"/>
                <w:kern w:val="2"/>
                <w:sz w:val="21"/>
                <w:szCs w:val="21"/>
                <w:highlight w:val="none"/>
              </w:rPr>
              <w:t>2、本次改建</w:t>
            </w:r>
            <w:r>
              <w:rPr>
                <w:rFonts w:hint="eastAsia" w:cs="Times New Roman"/>
                <w:b/>
                <w:bCs/>
                <w:snapToGrid/>
                <w:color w:val="auto"/>
                <w:kern w:val="2"/>
                <w:sz w:val="21"/>
                <w:szCs w:val="21"/>
                <w:highlight w:val="none"/>
                <w:lang w:val="en-US" w:eastAsia="zh-CN"/>
              </w:rPr>
              <w:t>项目</w:t>
            </w:r>
            <w:r>
              <w:rPr>
                <w:rFonts w:hint="default" w:ascii="Times New Roman" w:hAnsi="Times New Roman" w:eastAsia="宋体" w:cs="Times New Roman"/>
                <w:b/>
                <w:bCs/>
                <w:snapToGrid/>
                <w:color w:val="auto"/>
                <w:kern w:val="2"/>
                <w:sz w:val="21"/>
                <w:szCs w:val="21"/>
                <w:highlight w:val="none"/>
              </w:rPr>
              <w:t>拟新增</w:t>
            </w:r>
            <w:r>
              <w:rPr>
                <w:rFonts w:hint="eastAsia" w:cs="Times New Roman"/>
                <w:b/>
                <w:bCs/>
                <w:snapToGrid/>
                <w:color w:val="auto"/>
                <w:kern w:val="2"/>
                <w:sz w:val="21"/>
                <w:szCs w:val="21"/>
                <w:highlight w:val="none"/>
                <w:lang w:val="en-US" w:eastAsia="zh-CN"/>
              </w:rPr>
              <w:t>的</w:t>
            </w:r>
            <w:r>
              <w:rPr>
                <w:rFonts w:hint="default" w:ascii="Times New Roman" w:hAnsi="Times New Roman" w:eastAsia="宋体" w:cs="Times New Roman"/>
                <w:b/>
                <w:bCs/>
                <w:snapToGrid/>
                <w:color w:val="auto"/>
                <w:kern w:val="2"/>
                <w:sz w:val="21"/>
                <w:szCs w:val="21"/>
                <w:highlight w:val="none"/>
              </w:rPr>
              <w:t>降噪措施：</w:t>
            </w:r>
          </w:p>
          <w:p>
            <w:pPr>
              <w:keepNext w:val="0"/>
              <w:keepLines w:val="0"/>
              <w:pageBreakBefore w:val="0"/>
              <w:kinsoku/>
              <w:wordWrap/>
              <w:topLinePunct w:val="0"/>
              <w:autoSpaceDE/>
              <w:autoSpaceDN/>
              <w:bidi w:val="0"/>
              <w:spacing w:line="400" w:lineRule="exact"/>
              <w:ind w:left="0" w:right="0" w:firstLine="0" w:firstLineChars="0"/>
              <w:jc w:val="left"/>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（1）在声源处抑制噪声</w:t>
            </w:r>
          </w:p>
          <w:p>
            <w:pPr>
              <w:keepNext w:val="0"/>
              <w:keepLines w:val="0"/>
              <w:pageBreakBefore w:val="0"/>
              <w:kinsoku/>
              <w:wordWrap/>
              <w:topLinePunct w:val="0"/>
              <w:autoSpaceDE/>
              <w:autoSpaceDN/>
              <w:bidi w:val="0"/>
              <w:spacing w:line="400" w:lineRule="exact"/>
              <w:ind w:left="0" w:right="0" w:firstLine="0" w:firstLineChars="0"/>
              <w:jc w:val="left"/>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尽量选用高效低噪设备；对于超过单机噪声允许标准的设备安装减震基础，布置在房间之内，利用墙壁隔声，同时采用阻尼材料，对机壳、风管、机罩等金属结构涂敷一层阻尼材料，抑制振动；对于小型噪声设备在进气口或排气口上设置消声器进行治理。选用较高级数的消声塔，主管道设置隔声层。</w:t>
            </w:r>
          </w:p>
          <w:p>
            <w:pPr>
              <w:keepNext w:val="0"/>
              <w:keepLines w:val="0"/>
              <w:pageBreakBefore w:val="0"/>
              <w:kinsoku/>
              <w:wordWrap/>
              <w:topLinePunct w:val="0"/>
              <w:autoSpaceDE/>
              <w:autoSpaceDN/>
              <w:bidi w:val="0"/>
              <w:spacing w:line="400" w:lineRule="exact"/>
              <w:ind w:left="0" w:right="0" w:firstLine="0" w:firstLineChars="0"/>
              <w:jc w:val="left"/>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（2）对声传播途径进行控制</w:t>
            </w:r>
          </w:p>
          <w:p>
            <w:pPr>
              <w:keepNext w:val="0"/>
              <w:keepLines w:val="0"/>
              <w:pageBreakBefore w:val="0"/>
              <w:kinsoku/>
              <w:wordWrap/>
              <w:topLinePunct w:val="0"/>
              <w:autoSpaceDE/>
              <w:autoSpaceDN/>
              <w:bidi w:val="0"/>
              <w:spacing w:line="400" w:lineRule="exact"/>
              <w:ind w:left="0" w:right="0" w:firstLine="0" w:firstLineChars="0"/>
              <w:jc w:val="left"/>
              <w:textAlignment w:val="auto"/>
              <w:rPr>
                <w:rFonts w:hint="default" w:ascii="Times New Roman" w:hAnsi="Times New Roman" w:eastAsia="宋体" w:cs="Times New Roman"/>
                <w:snapToGrid/>
                <w:color w:val="auto"/>
                <w:kern w:val="2"/>
                <w:sz w:val="21"/>
                <w:szCs w:val="21"/>
                <w:highlight w:val="none"/>
              </w:rPr>
            </w:pPr>
            <w:r>
              <w:rPr>
                <w:rFonts w:hint="default" w:ascii="Times New Roman" w:hAnsi="Times New Roman" w:eastAsia="宋体" w:cs="Times New Roman"/>
                <w:snapToGrid/>
                <w:color w:val="auto"/>
                <w:kern w:val="2"/>
                <w:sz w:val="21"/>
                <w:szCs w:val="21"/>
                <w:highlight w:val="none"/>
                <w:lang w:val="en-US" w:eastAsia="zh-CN"/>
              </w:rPr>
              <w:t>高噪声设备建在室内，加厚砖墙，安装隔声效果好的门窗，减少门窗的开启面积。对于强烈振动的设备、管道与基础、支架、建筑物及其他设备之间采用柔性连接或支撑等措施；新增消声器2台。</w:t>
            </w:r>
          </w:p>
        </w:tc>
        <w:tc>
          <w:tcPr>
            <w:tcW w:w="2006" w:type="dxa"/>
            <w:noWrap w:val="0"/>
            <w:vAlign w:val="center"/>
          </w:tcPr>
          <w:p>
            <w:pPr>
              <w:keepNext w:val="0"/>
              <w:keepLines w:val="0"/>
              <w:pageBreakBefore w:val="0"/>
              <w:kinsoku/>
              <w:wordWrap/>
              <w:topLinePunct w:val="0"/>
              <w:autoSpaceDE/>
              <w:autoSpaceDN/>
              <w:bidi w:val="0"/>
              <w:adjustRightInd w:val="0"/>
              <w:snapToGrid w:val="0"/>
              <w:spacing w:line="400" w:lineRule="exact"/>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《工业企业厂界环境噪声排放标准》（GB12348-2008）</w:t>
            </w:r>
            <w:r>
              <w:rPr>
                <w:rFonts w:hint="eastAsia" w:cs="Times New Roman"/>
                <w:color w:val="auto"/>
                <w:kern w:val="0"/>
                <w:sz w:val="21"/>
                <w:szCs w:val="21"/>
                <w:highlight w:val="none"/>
                <w:lang w:val="en-US" w:eastAsia="zh-CN"/>
              </w:rPr>
              <w:t>3</w:t>
            </w:r>
            <w:r>
              <w:rPr>
                <w:rFonts w:hint="default" w:ascii="Times New Roman" w:hAnsi="Times New Roman" w:eastAsia="宋体" w:cs="Times New Roman"/>
                <w:color w:val="auto"/>
                <w:kern w:val="0"/>
                <w:sz w:val="21"/>
                <w:szCs w:val="21"/>
                <w:highlight w:val="none"/>
                <w:lang w:val="en-US" w:eastAsia="zh-CN"/>
              </w:rPr>
              <w:t>类区标准</w:t>
            </w:r>
          </w:p>
          <w:p>
            <w:pPr>
              <w:keepNext w:val="0"/>
              <w:keepLines w:val="0"/>
              <w:pageBreakBefore w:val="0"/>
              <w:kinsoku/>
              <w:wordWrap/>
              <w:topLinePunct w:val="0"/>
              <w:autoSpaceDE/>
              <w:autoSpaceDN/>
              <w:bidi w:val="0"/>
              <w:adjustRightInd w:val="0"/>
              <w:snapToGrid w:val="0"/>
              <w:spacing w:line="400" w:lineRule="exact"/>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highlight w:val="none"/>
                <w:lang w:val="en-US" w:eastAsia="zh-CN"/>
              </w:rPr>
              <w:t>（噪声排放执行标准与现有项目相同）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225" w:type="dxa"/>
            <w:noWrap w:val="0"/>
            <w:vAlign w:val="center"/>
          </w:tcPr>
          <w:p>
            <w:pPr>
              <w:keepNext w:val="0"/>
              <w:keepLines w:val="0"/>
              <w:pageBreakBefore w:val="0"/>
              <w:kinsoku/>
              <w:wordWrap/>
              <w:topLinePunct w:val="0"/>
              <w:autoSpaceDE/>
              <w:autoSpaceDN/>
              <w:bidi w:val="0"/>
              <w:adjustRightInd w:val="0"/>
              <w:snapToGrid w:val="0"/>
              <w:spacing w:line="40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电磁辐射</w:t>
            </w:r>
          </w:p>
        </w:tc>
        <w:tc>
          <w:tcPr>
            <w:tcW w:w="1501" w:type="dxa"/>
            <w:noWrap w:val="0"/>
            <w:vAlign w:val="center"/>
          </w:tcPr>
          <w:p>
            <w:pPr>
              <w:keepNext w:val="0"/>
              <w:keepLines w:val="0"/>
              <w:pageBreakBefore w:val="0"/>
              <w:kinsoku/>
              <w:wordWrap/>
              <w:topLinePunct w:val="0"/>
              <w:autoSpaceDE/>
              <w:autoSpaceDN/>
              <w:bidi w:val="0"/>
              <w:adjustRightInd w:val="0"/>
              <w:snapToGrid w:val="0"/>
              <w:spacing w:line="40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95" w:type="dxa"/>
            <w:noWrap w:val="0"/>
            <w:vAlign w:val="center"/>
          </w:tcPr>
          <w:p>
            <w:pPr>
              <w:keepNext w:val="0"/>
              <w:keepLines w:val="0"/>
              <w:pageBreakBefore w:val="0"/>
              <w:kinsoku/>
              <w:wordWrap/>
              <w:topLinePunct w:val="0"/>
              <w:autoSpaceDE/>
              <w:autoSpaceDN/>
              <w:bidi w:val="0"/>
              <w:adjustRightInd w:val="0"/>
              <w:snapToGrid w:val="0"/>
              <w:spacing w:line="40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873" w:type="dxa"/>
            <w:noWrap w:val="0"/>
            <w:vAlign w:val="center"/>
          </w:tcPr>
          <w:p>
            <w:pPr>
              <w:keepNext w:val="0"/>
              <w:keepLines w:val="0"/>
              <w:pageBreakBefore w:val="0"/>
              <w:kinsoku/>
              <w:wordWrap/>
              <w:topLinePunct w:val="0"/>
              <w:autoSpaceDE/>
              <w:autoSpaceDN/>
              <w:bidi w:val="0"/>
              <w:adjustRightInd w:val="0"/>
              <w:snapToGrid w:val="0"/>
              <w:spacing w:line="40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006" w:type="dxa"/>
            <w:noWrap w:val="0"/>
            <w:vAlign w:val="center"/>
          </w:tcPr>
          <w:p>
            <w:pPr>
              <w:keepNext w:val="0"/>
              <w:keepLines w:val="0"/>
              <w:pageBreakBefore w:val="0"/>
              <w:kinsoku/>
              <w:wordWrap/>
              <w:topLinePunct w:val="0"/>
              <w:autoSpaceDE/>
              <w:autoSpaceDN/>
              <w:bidi w:val="0"/>
              <w:adjustRightInd w:val="0"/>
              <w:snapToGrid w:val="0"/>
              <w:spacing w:line="40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25" w:type="dxa"/>
            <w:vMerge w:val="restart"/>
            <w:noWrap w:val="0"/>
            <w:vAlign w:val="center"/>
          </w:tcPr>
          <w:p>
            <w:pPr>
              <w:keepNext w:val="0"/>
              <w:keepLines w:val="0"/>
              <w:pageBreakBefore w:val="0"/>
              <w:kinsoku/>
              <w:wordWrap/>
              <w:topLinePunct w:val="0"/>
              <w:autoSpaceDE/>
              <w:autoSpaceDN/>
              <w:bidi w:val="0"/>
              <w:adjustRightInd w:val="0"/>
              <w:snapToGrid w:val="0"/>
              <w:spacing w:line="40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tc>
        <w:tc>
          <w:tcPr>
            <w:tcW w:w="1501" w:type="dxa"/>
            <w:noWrap w:val="0"/>
            <w:vAlign w:val="center"/>
          </w:tcPr>
          <w:p>
            <w:pPr>
              <w:keepNext w:val="0"/>
              <w:keepLines w:val="0"/>
              <w:pageBreakBefore w:val="0"/>
              <w:tabs>
                <w:tab w:val="left" w:pos="540"/>
                <w:tab w:val="left" w:pos="851"/>
                <w:tab w:val="left" w:pos="994"/>
                <w:tab w:val="left" w:pos="1260"/>
                <w:tab w:val="left" w:pos="3108"/>
                <w:tab w:val="left" w:pos="3150"/>
              </w:tabs>
              <w:kinsoku/>
              <w:wordWrap/>
              <w:topLinePunct w:val="0"/>
              <w:autoSpaceDE/>
              <w:autoSpaceDN/>
              <w:bidi w:val="0"/>
              <w:spacing w:line="40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生活垃圾</w:t>
            </w:r>
          </w:p>
        </w:tc>
        <w:tc>
          <w:tcPr>
            <w:tcW w:w="1195" w:type="dxa"/>
            <w:noWrap w:val="0"/>
            <w:vAlign w:val="center"/>
          </w:tcPr>
          <w:p>
            <w:pPr>
              <w:keepNext w:val="0"/>
              <w:keepLines w:val="0"/>
              <w:pageBreakBefore w:val="0"/>
              <w:kinsoku/>
              <w:wordWrap/>
              <w:topLinePunct w:val="0"/>
              <w:autoSpaceDE/>
              <w:autoSpaceDN/>
              <w:bidi w:val="0"/>
              <w:adjustRightInd w:val="0"/>
              <w:snapToGrid w:val="0"/>
              <w:spacing w:line="400" w:lineRule="exact"/>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一般固废</w:t>
            </w:r>
          </w:p>
        </w:tc>
        <w:tc>
          <w:tcPr>
            <w:tcW w:w="2873" w:type="dxa"/>
            <w:noWrap w:val="0"/>
            <w:vAlign w:val="center"/>
          </w:tcPr>
          <w:p>
            <w:pPr>
              <w:keepNext w:val="0"/>
              <w:keepLines w:val="0"/>
              <w:pageBreakBefore w:val="0"/>
              <w:kinsoku/>
              <w:wordWrap/>
              <w:topLinePunct w:val="0"/>
              <w:autoSpaceDE/>
              <w:autoSpaceDN/>
              <w:bidi w:val="0"/>
              <w:adjustRightInd w:val="0"/>
              <w:snapToGrid w:val="0"/>
              <w:spacing w:line="40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集中收集后定期外运至</w:t>
            </w:r>
            <w:r>
              <w:rPr>
                <w:rFonts w:hint="eastAsia" w:cs="Times New Roman"/>
                <w:color w:val="auto"/>
                <w:sz w:val="21"/>
                <w:szCs w:val="21"/>
                <w:highlight w:val="none"/>
                <w:lang w:val="en-US" w:eastAsia="zh-CN"/>
              </w:rPr>
              <w:t>工业园区</w:t>
            </w:r>
            <w:r>
              <w:rPr>
                <w:rFonts w:hint="default" w:ascii="Times New Roman" w:hAnsi="Times New Roman" w:eastAsia="宋体" w:cs="Times New Roman"/>
                <w:color w:val="auto"/>
                <w:sz w:val="21"/>
                <w:szCs w:val="21"/>
                <w:highlight w:val="none"/>
                <w:lang w:val="en-US" w:eastAsia="zh-CN"/>
              </w:rPr>
              <w:t>生活垃圾集中收集点，由环卫部门集中处理</w:t>
            </w:r>
          </w:p>
        </w:tc>
        <w:tc>
          <w:tcPr>
            <w:tcW w:w="2006" w:type="dxa"/>
            <w:noWrap w:val="0"/>
            <w:vAlign w:val="center"/>
          </w:tcPr>
          <w:p>
            <w:pPr>
              <w:keepNext w:val="0"/>
              <w:keepLines w:val="0"/>
              <w:pageBreakBefore w:val="0"/>
              <w:kinsoku/>
              <w:wordWrap/>
              <w:topLinePunct w:val="0"/>
              <w:autoSpaceDE/>
              <w:autoSpaceDN/>
              <w:bidi w:val="0"/>
              <w:adjustRightInd w:val="0"/>
              <w:snapToGrid w:val="0"/>
              <w:spacing w:line="40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处置率100%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225" w:type="dxa"/>
            <w:vMerge w:val="continue"/>
            <w:noWrap w:val="0"/>
            <w:vAlign w:val="center"/>
          </w:tcPr>
          <w:p>
            <w:pPr>
              <w:keepNext w:val="0"/>
              <w:keepLines w:val="0"/>
              <w:pageBreakBefore w:val="0"/>
              <w:kinsoku/>
              <w:wordWrap/>
              <w:topLinePunct w:val="0"/>
              <w:autoSpaceDE/>
              <w:autoSpaceDN/>
              <w:bidi w:val="0"/>
              <w:adjustRightInd w:val="0"/>
              <w:snapToGrid w:val="0"/>
              <w:spacing w:line="40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501" w:type="dxa"/>
            <w:shd w:val="clear" w:color="auto" w:fill="auto"/>
            <w:noWrap w:val="0"/>
            <w:vAlign w:val="center"/>
          </w:tcPr>
          <w:p>
            <w:pPr>
              <w:keepNext w:val="0"/>
              <w:keepLines w:val="0"/>
              <w:pageBreakBefore w:val="0"/>
              <w:tabs>
                <w:tab w:val="left" w:pos="540"/>
                <w:tab w:val="left" w:pos="851"/>
                <w:tab w:val="left" w:pos="994"/>
                <w:tab w:val="left" w:pos="1260"/>
                <w:tab w:val="left" w:pos="3108"/>
                <w:tab w:val="left" w:pos="3150"/>
              </w:tabs>
              <w:kinsoku/>
              <w:wordWrap/>
              <w:topLinePunct w:val="0"/>
              <w:autoSpaceDE/>
              <w:autoSpaceDN/>
              <w:bidi w:val="0"/>
              <w:spacing w:line="40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废分子筛</w:t>
            </w:r>
          </w:p>
        </w:tc>
        <w:tc>
          <w:tcPr>
            <w:tcW w:w="1195" w:type="dxa"/>
            <w:noWrap w:val="0"/>
            <w:vAlign w:val="center"/>
          </w:tcPr>
          <w:p>
            <w:pPr>
              <w:keepNext w:val="0"/>
              <w:keepLines w:val="0"/>
              <w:pageBreakBefore w:val="0"/>
              <w:kinsoku/>
              <w:wordWrap/>
              <w:topLinePunct w:val="0"/>
              <w:autoSpaceDE/>
              <w:autoSpaceDN/>
              <w:bidi w:val="0"/>
              <w:adjustRightInd w:val="0"/>
              <w:snapToGrid w:val="0"/>
              <w:spacing w:line="40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一般固废</w:t>
            </w:r>
          </w:p>
        </w:tc>
        <w:tc>
          <w:tcPr>
            <w:tcW w:w="2873" w:type="dxa"/>
            <w:noWrap w:val="0"/>
            <w:vAlign w:val="center"/>
          </w:tcPr>
          <w:p>
            <w:pPr>
              <w:keepNext w:val="0"/>
              <w:keepLines w:val="0"/>
              <w:pageBreakBefore w:val="0"/>
              <w:kinsoku/>
              <w:wordWrap/>
              <w:topLinePunct w:val="0"/>
              <w:autoSpaceDE/>
              <w:autoSpaceDN/>
              <w:bidi w:val="0"/>
              <w:adjustRightInd w:val="0"/>
              <w:snapToGrid w:val="0"/>
              <w:spacing w:line="40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由厂家</w:t>
            </w:r>
            <w:r>
              <w:rPr>
                <w:rFonts w:hint="default" w:ascii="Times New Roman" w:hAnsi="Times New Roman" w:eastAsia="宋体" w:cs="Times New Roman"/>
                <w:color w:val="auto"/>
                <w:sz w:val="21"/>
                <w:szCs w:val="21"/>
                <w:highlight w:val="none"/>
                <w:lang w:val="en-US" w:eastAsia="zh-CN"/>
              </w:rPr>
              <w:t>自行带走</w:t>
            </w:r>
            <w:r>
              <w:rPr>
                <w:rFonts w:hint="default" w:ascii="Times New Roman" w:hAnsi="Times New Roman" w:eastAsia="宋体" w:cs="Times New Roman"/>
                <w:color w:val="auto"/>
                <w:sz w:val="21"/>
                <w:szCs w:val="21"/>
                <w:highlight w:val="none"/>
                <w:lang w:val="en-US"/>
              </w:rPr>
              <w:t>处置</w:t>
            </w:r>
            <w:r>
              <w:rPr>
                <w:rFonts w:hint="default" w:ascii="Times New Roman" w:hAnsi="Times New Roman" w:eastAsia="宋体" w:cs="Times New Roman"/>
                <w:color w:val="auto"/>
                <w:sz w:val="21"/>
                <w:szCs w:val="21"/>
                <w:highlight w:val="none"/>
                <w:lang w:val="en-US" w:eastAsia="zh-CN"/>
              </w:rPr>
              <w:t>，不在厂区内贮存</w:t>
            </w:r>
          </w:p>
        </w:tc>
        <w:tc>
          <w:tcPr>
            <w:tcW w:w="2006" w:type="dxa"/>
            <w:noWrap w:val="0"/>
            <w:vAlign w:val="center"/>
          </w:tcPr>
          <w:p>
            <w:pPr>
              <w:keepNext w:val="0"/>
              <w:keepLines w:val="0"/>
              <w:pageBreakBefore w:val="0"/>
              <w:kinsoku/>
              <w:wordWrap/>
              <w:topLinePunct w:val="0"/>
              <w:autoSpaceDE/>
              <w:autoSpaceDN/>
              <w:bidi w:val="0"/>
              <w:adjustRightInd w:val="0"/>
              <w:snapToGrid w:val="0"/>
              <w:spacing w:line="40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处置率100%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41" w:hRule="atLeast"/>
          <w:jc w:val="center"/>
        </w:trPr>
        <w:tc>
          <w:tcPr>
            <w:tcW w:w="1225" w:type="dxa"/>
            <w:vMerge w:val="continue"/>
            <w:noWrap w:val="0"/>
            <w:vAlign w:val="center"/>
          </w:tcPr>
          <w:p>
            <w:pPr>
              <w:keepNext w:val="0"/>
              <w:keepLines w:val="0"/>
              <w:pageBreakBefore w:val="0"/>
              <w:kinsoku/>
              <w:wordWrap/>
              <w:topLinePunct w:val="0"/>
              <w:autoSpaceDE/>
              <w:autoSpaceDN/>
              <w:bidi w:val="0"/>
              <w:adjustRightInd w:val="0"/>
              <w:snapToGrid w:val="0"/>
              <w:spacing w:line="40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501" w:type="dxa"/>
            <w:shd w:val="clear" w:color="auto" w:fill="auto"/>
            <w:noWrap w:val="0"/>
            <w:vAlign w:val="center"/>
          </w:tcPr>
          <w:p>
            <w:pPr>
              <w:keepNext w:val="0"/>
              <w:keepLines w:val="0"/>
              <w:pageBreakBefore w:val="0"/>
              <w:tabs>
                <w:tab w:val="left" w:pos="540"/>
                <w:tab w:val="left" w:pos="851"/>
                <w:tab w:val="left" w:pos="994"/>
                <w:tab w:val="left" w:pos="1260"/>
                <w:tab w:val="left" w:pos="3108"/>
                <w:tab w:val="left" w:pos="3150"/>
              </w:tabs>
              <w:kinsoku/>
              <w:wordWrap/>
              <w:topLinePunct w:val="0"/>
              <w:autoSpaceDE/>
              <w:autoSpaceDN/>
              <w:bidi w:val="0"/>
              <w:spacing w:line="40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w:t>
            </w:r>
            <w:r>
              <w:rPr>
                <w:rFonts w:hint="eastAsia" w:cs="Times New Roman"/>
                <w:color w:val="auto"/>
                <w:sz w:val="21"/>
                <w:szCs w:val="21"/>
                <w:highlight w:val="none"/>
                <w:lang w:val="en-US" w:eastAsia="zh-CN"/>
              </w:rPr>
              <w:t>氧化铝</w:t>
            </w:r>
          </w:p>
        </w:tc>
        <w:tc>
          <w:tcPr>
            <w:tcW w:w="1195" w:type="dxa"/>
            <w:noWrap w:val="0"/>
            <w:vAlign w:val="center"/>
          </w:tcPr>
          <w:p>
            <w:pPr>
              <w:keepNext w:val="0"/>
              <w:keepLines w:val="0"/>
              <w:pageBreakBefore w:val="0"/>
              <w:kinsoku/>
              <w:wordWrap/>
              <w:topLinePunct w:val="0"/>
              <w:autoSpaceDE/>
              <w:autoSpaceDN/>
              <w:bidi w:val="0"/>
              <w:adjustRightInd w:val="0"/>
              <w:snapToGrid w:val="0"/>
              <w:spacing w:line="40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一般固废</w:t>
            </w:r>
          </w:p>
        </w:tc>
        <w:tc>
          <w:tcPr>
            <w:tcW w:w="2873" w:type="dxa"/>
            <w:noWrap w:val="0"/>
            <w:vAlign w:val="center"/>
          </w:tcPr>
          <w:p>
            <w:pPr>
              <w:keepNext w:val="0"/>
              <w:keepLines w:val="0"/>
              <w:pageBreakBefore w:val="0"/>
              <w:kinsoku/>
              <w:wordWrap/>
              <w:topLinePunct w:val="0"/>
              <w:autoSpaceDE/>
              <w:autoSpaceDN/>
              <w:bidi w:val="0"/>
              <w:adjustRightInd w:val="0"/>
              <w:snapToGrid w:val="0"/>
              <w:spacing w:line="40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rPr>
              <w:t>由厂家</w:t>
            </w:r>
            <w:r>
              <w:rPr>
                <w:rFonts w:hint="default" w:ascii="Times New Roman" w:hAnsi="Times New Roman" w:eastAsia="宋体" w:cs="Times New Roman"/>
                <w:color w:val="auto"/>
                <w:sz w:val="21"/>
                <w:szCs w:val="21"/>
                <w:highlight w:val="none"/>
                <w:lang w:val="en-US" w:eastAsia="zh-CN"/>
              </w:rPr>
              <w:t>自行带走</w:t>
            </w:r>
            <w:r>
              <w:rPr>
                <w:rFonts w:hint="default" w:ascii="Times New Roman" w:hAnsi="Times New Roman" w:eastAsia="宋体" w:cs="Times New Roman"/>
                <w:color w:val="auto"/>
                <w:sz w:val="21"/>
                <w:szCs w:val="21"/>
                <w:highlight w:val="none"/>
                <w:lang w:val="en-US"/>
              </w:rPr>
              <w:t>处置</w:t>
            </w:r>
            <w:r>
              <w:rPr>
                <w:rFonts w:hint="default" w:ascii="Times New Roman" w:hAnsi="Times New Roman" w:eastAsia="宋体" w:cs="Times New Roman"/>
                <w:color w:val="auto"/>
                <w:sz w:val="21"/>
                <w:szCs w:val="21"/>
                <w:highlight w:val="none"/>
                <w:lang w:val="en-US" w:eastAsia="zh-CN"/>
              </w:rPr>
              <w:t>，不在厂区内贮存</w:t>
            </w:r>
          </w:p>
        </w:tc>
        <w:tc>
          <w:tcPr>
            <w:tcW w:w="2006" w:type="dxa"/>
            <w:noWrap w:val="0"/>
            <w:vAlign w:val="center"/>
          </w:tcPr>
          <w:p>
            <w:pPr>
              <w:keepNext w:val="0"/>
              <w:keepLines w:val="0"/>
              <w:pageBreakBefore w:val="0"/>
              <w:kinsoku/>
              <w:wordWrap/>
              <w:topLinePunct w:val="0"/>
              <w:autoSpaceDE/>
              <w:autoSpaceDN/>
              <w:bidi w:val="0"/>
              <w:adjustRightInd w:val="0"/>
              <w:snapToGrid w:val="0"/>
              <w:spacing w:line="40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处置率100%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8" w:hRule="atLeast"/>
          <w:jc w:val="center"/>
        </w:trPr>
        <w:tc>
          <w:tcPr>
            <w:tcW w:w="1225" w:type="dxa"/>
            <w:vMerge w:val="continue"/>
            <w:noWrap w:val="0"/>
            <w:vAlign w:val="center"/>
          </w:tcPr>
          <w:p>
            <w:pPr>
              <w:keepNext w:val="0"/>
              <w:keepLines w:val="0"/>
              <w:pageBreakBefore w:val="0"/>
              <w:kinsoku/>
              <w:wordWrap/>
              <w:topLinePunct w:val="0"/>
              <w:autoSpaceDE/>
              <w:autoSpaceDN/>
              <w:bidi w:val="0"/>
              <w:adjustRightInd w:val="0"/>
              <w:snapToGrid w:val="0"/>
              <w:spacing w:line="40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501" w:type="dxa"/>
            <w:shd w:val="clear" w:color="auto" w:fill="auto"/>
            <w:noWrap w:val="0"/>
            <w:vAlign w:val="center"/>
          </w:tcPr>
          <w:p>
            <w:pPr>
              <w:keepNext w:val="0"/>
              <w:keepLines w:val="0"/>
              <w:pageBreakBefore w:val="0"/>
              <w:tabs>
                <w:tab w:val="left" w:pos="540"/>
                <w:tab w:val="left" w:pos="851"/>
                <w:tab w:val="left" w:pos="994"/>
                <w:tab w:val="left" w:pos="1260"/>
                <w:tab w:val="left" w:pos="3108"/>
                <w:tab w:val="left" w:pos="3150"/>
              </w:tabs>
              <w:kinsoku/>
              <w:wordWrap/>
              <w:topLinePunct w:val="0"/>
              <w:autoSpaceDE/>
              <w:autoSpaceDN/>
              <w:bidi w:val="0"/>
              <w:spacing w:line="40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废滤芯</w:t>
            </w:r>
          </w:p>
        </w:tc>
        <w:tc>
          <w:tcPr>
            <w:tcW w:w="1195" w:type="dxa"/>
            <w:noWrap w:val="0"/>
            <w:vAlign w:val="center"/>
          </w:tcPr>
          <w:p>
            <w:pPr>
              <w:keepNext w:val="0"/>
              <w:keepLines w:val="0"/>
              <w:pageBreakBefore w:val="0"/>
              <w:kinsoku/>
              <w:wordWrap/>
              <w:topLinePunct w:val="0"/>
              <w:autoSpaceDE/>
              <w:autoSpaceDN/>
              <w:bidi w:val="0"/>
              <w:adjustRightInd w:val="0"/>
              <w:snapToGrid w:val="0"/>
              <w:spacing w:line="40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一般固废</w:t>
            </w:r>
          </w:p>
        </w:tc>
        <w:tc>
          <w:tcPr>
            <w:tcW w:w="2873" w:type="dxa"/>
            <w:noWrap w:val="0"/>
            <w:vAlign w:val="center"/>
          </w:tcPr>
          <w:p>
            <w:pPr>
              <w:keepNext w:val="0"/>
              <w:keepLines w:val="0"/>
              <w:pageBreakBefore w:val="0"/>
              <w:kinsoku/>
              <w:wordWrap/>
              <w:topLinePunct w:val="0"/>
              <w:autoSpaceDE/>
              <w:autoSpaceDN/>
              <w:bidi w:val="0"/>
              <w:adjustRightInd w:val="0"/>
              <w:snapToGrid w:val="0"/>
              <w:spacing w:line="40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rPr>
              <w:t>由厂家</w:t>
            </w:r>
            <w:r>
              <w:rPr>
                <w:rFonts w:hint="default" w:ascii="Times New Roman" w:hAnsi="Times New Roman" w:eastAsia="宋体" w:cs="Times New Roman"/>
                <w:color w:val="auto"/>
                <w:sz w:val="21"/>
                <w:szCs w:val="21"/>
                <w:highlight w:val="none"/>
                <w:lang w:val="en-US" w:eastAsia="zh-CN"/>
              </w:rPr>
              <w:t>自行带走</w:t>
            </w:r>
            <w:r>
              <w:rPr>
                <w:rFonts w:hint="default" w:ascii="Times New Roman" w:hAnsi="Times New Roman" w:eastAsia="宋体" w:cs="Times New Roman"/>
                <w:color w:val="auto"/>
                <w:sz w:val="21"/>
                <w:szCs w:val="21"/>
                <w:highlight w:val="none"/>
                <w:lang w:val="en-US"/>
              </w:rPr>
              <w:t>处置</w:t>
            </w:r>
            <w:r>
              <w:rPr>
                <w:rFonts w:hint="default" w:ascii="Times New Roman" w:hAnsi="Times New Roman" w:eastAsia="宋体" w:cs="Times New Roman"/>
                <w:color w:val="auto"/>
                <w:sz w:val="21"/>
                <w:szCs w:val="21"/>
                <w:highlight w:val="none"/>
                <w:lang w:val="en-US" w:eastAsia="zh-CN"/>
              </w:rPr>
              <w:t>，不在厂区内贮存</w:t>
            </w:r>
          </w:p>
        </w:tc>
        <w:tc>
          <w:tcPr>
            <w:tcW w:w="2006" w:type="dxa"/>
            <w:noWrap w:val="0"/>
            <w:vAlign w:val="center"/>
          </w:tcPr>
          <w:p>
            <w:pPr>
              <w:keepNext w:val="0"/>
              <w:keepLines w:val="0"/>
              <w:pageBreakBefore w:val="0"/>
              <w:kinsoku/>
              <w:wordWrap/>
              <w:topLinePunct w:val="0"/>
              <w:autoSpaceDE/>
              <w:autoSpaceDN/>
              <w:bidi w:val="0"/>
              <w:adjustRightInd w:val="0"/>
              <w:snapToGrid w:val="0"/>
              <w:spacing w:line="40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处置率100%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25" w:type="dxa"/>
            <w:vMerge w:val="continue"/>
            <w:noWrap w:val="0"/>
            <w:vAlign w:val="center"/>
          </w:tcPr>
          <w:p>
            <w:pPr>
              <w:keepNext w:val="0"/>
              <w:keepLines w:val="0"/>
              <w:pageBreakBefore w:val="0"/>
              <w:kinsoku/>
              <w:wordWrap/>
              <w:topLinePunct w:val="0"/>
              <w:autoSpaceDE/>
              <w:autoSpaceDN/>
              <w:bidi w:val="0"/>
              <w:adjustRightInd w:val="0"/>
              <w:snapToGrid w:val="0"/>
              <w:spacing w:line="40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501" w:type="dxa"/>
            <w:noWrap w:val="0"/>
            <w:vAlign w:val="center"/>
          </w:tcPr>
          <w:p>
            <w:pPr>
              <w:keepNext w:val="0"/>
              <w:keepLines w:val="0"/>
              <w:pageBreakBefore w:val="0"/>
              <w:tabs>
                <w:tab w:val="left" w:pos="540"/>
                <w:tab w:val="left" w:pos="851"/>
                <w:tab w:val="left" w:pos="994"/>
                <w:tab w:val="left" w:pos="1260"/>
                <w:tab w:val="left" w:pos="3108"/>
                <w:tab w:val="left" w:pos="3150"/>
              </w:tabs>
              <w:kinsoku/>
              <w:wordWrap/>
              <w:topLinePunct w:val="0"/>
              <w:autoSpaceDE/>
              <w:autoSpaceDN/>
              <w:bidi w:val="0"/>
              <w:spacing w:line="40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废润滑油</w:t>
            </w:r>
          </w:p>
        </w:tc>
        <w:tc>
          <w:tcPr>
            <w:tcW w:w="1195" w:type="dxa"/>
            <w:noWrap w:val="0"/>
            <w:vAlign w:val="center"/>
          </w:tcPr>
          <w:p>
            <w:pPr>
              <w:keepNext w:val="0"/>
              <w:keepLines w:val="0"/>
              <w:pageBreakBefore w:val="0"/>
              <w:tabs>
                <w:tab w:val="left" w:pos="540"/>
                <w:tab w:val="left" w:pos="851"/>
                <w:tab w:val="left" w:pos="994"/>
                <w:tab w:val="left" w:pos="1260"/>
                <w:tab w:val="left" w:pos="3108"/>
                <w:tab w:val="left" w:pos="3150"/>
              </w:tabs>
              <w:kinsoku/>
              <w:wordWrap/>
              <w:topLinePunct w:val="0"/>
              <w:autoSpaceDE/>
              <w:autoSpaceDN/>
              <w:bidi w:val="0"/>
              <w:spacing w:line="400" w:lineRule="exact"/>
              <w:ind w:left="0" w:right="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w:t>
            </w:r>
          </w:p>
        </w:tc>
        <w:tc>
          <w:tcPr>
            <w:tcW w:w="2873" w:type="dxa"/>
            <w:vMerge w:val="restart"/>
            <w:noWrap w:val="0"/>
            <w:vAlign w:val="center"/>
          </w:tcPr>
          <w:p>
            <w:pPr>
              <w:keepNext w:val="0"/>
              <w:keepLines w:val="0"/>
              <w:pageBreakBefore w:val="0"/>
              <w:tabs>
                <w:tab w:val="left" w:pos="540"/>
                <w:tab w:val="left" w:pos="851"/>
                <w:tab w:val="left" w:pos="994"/>
                <w:tab w:val="left" w:pos="1260"/>
                <w:tab w:val="left" w:pos="3108"/>
                <w:tab w:val="left" w:pos="3150"/>
              </w:tabs>
              <w:kinsoku/>
              <w:wordWrap/>
              <w:topLinePunct w:val="0"/>
              <w:autoSpaceDE/>
              <w:autoSpaceDN/>
              <w:bidi w:val="0"/>
              <w:spacing w:line="40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依托易门铜业有限公司已建</w:t>
            </w:r>
            <w:r>
              <w:rPr>
                <w:rFonts w:hint="eastAsia" w:cs="Times New Roman"/>
                <w:color w:val="auto"/>
                <w:sz w:val="21"/>
                <w:szCs w:val="21"/>
                <w:highlight w:val="none"/>
                <w:lang w:val="en-US" w:eastAsia="zh-CN"/>
              </w:rPr>
              <w:t>5#危险废物贮存库</w:t>
            </w:r>
            <w:r>
              <w:rPr>
                <w:rFonts w:hint="default" w:ascii="Times New Roman" w:hAnsi="Times New Roman" w:eastAsia="宋体" w:cs="Times New Roman"/>
                <w:color w:val="auto"/>
                <w:sz w:val="21"/>
                <w:szCs w:val="21"/>
                <w:highlight w:val="none"/>
                <w:lang w:val="en-US" w:eastAsia="zh-CN"/>
              </w:rPr>
              <w:t>进行暂存，然后委托云南广莱再生资源回收有限公司定期进行清运处置</w:t>
            </w:r>
          </w:p>
        </w:tc>
        <w:tc>
          <w:tcPr>
            <w:tcW w:w="2006" w:type="dxa"/>
            <w:noWrap w:val="0"/>
            <w:vAlign w:val="center"/>
          </w:tcPr>
          <w:p>
            <w:pPr>
              <w:keepNext w:val="0"/>
              <w:keepLines w:val="0"/>
              <w:pageBreakBefore w:val="0"/>
              <w:kinsoku/>
              <w:wordWrap/>
              <w:topLinePunct w:val="0"/>
              <w:autoSpaceDE/>
              <w:autoSpaceDN/>
              <w:bidi w:val="0"/>
              <w:adjustRightInd w:val="0"/>
              <w:snapToGrid w:val="0"/>
              <w:spacing w:line="40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处置率100%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25" w:type="dxa"/>
            <w:vMerge w:val="continue"/>
            <w:noWrap w:val="0"/>
            <w:vAlign w:val="center"/>
          </w:tcPr>
          <w:p>
            <w:pPr>
              <w:keepNext w:val="0"/>
              <w:keepLines w:val="0"/>
              <w:pageBreakBefore w:val="0"/>
              <w:kinsoku/>
              <w:wordWrap/>
              <w:topLinePunct w:val="0"/>
              <w:autoSpaceDE/>
              <w:autoSpaceDN/>
              <w:bidi w:val="0"/>
              <w:adjustRightInd w:val="0"/>
              <w:snapToGrid w:val="0"/>
              <w:spacing w:line="40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501" w:type="dxa"/>
            <w:noWrap w:val="0"/>
            <w:vAlign w:val="center"/>
          </w:tcPr>
          <w:p>
            <w:pPr>
              <w:keepNext w:val="0"/>
              <w:keepLines w:val="0"/>
              <w:pageBreakBefore w:val="0"/>
              <w:tabs>
                <w:tab w:val="left" w:pos="540"/>
                <w:tab w:val="left" w:pos="851"/>
                <w:tab w:val="left" w:pos="994"/>
                <w:tab w:val="left" w:pos="1260"/>
                <w:tab w:val="left" w:pos="3108"/>
                <w:tab w:val="left" w:pos="3150"/>
              </w:tabs>
              <w:kinsoku/>
              <w:wordWrap/>
              <w:topLinePunct w:val="0"/>
              <w:autoSpaceDE/>
              <w:autoSpaceDN/>
              <w:bidi w:val="0"/>
              <w:spacing w:line="40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废油桶</w:t>
            </w:r>
          </w:p>
        </w:tc>
        <w:tc>
          <w:tcPr>
            <w:tcW w:w="1195" w:type="dxa"/>
            <w:noWrap w:val="0"/>
            <w:vAlign w:val="center"/>
          </w:tcPr>
          <w:p>
            <w:pPr>
              <w:keepNext w:val="0"/>
              <w:keepLines w:val="0"/>
              <w:pageBreakBefore w:val="0"/>
              <w:tabs>
                <w:tab w:val="left" w:pos="540"/>
                <w:tab w:val="left" w:pos="851"/>
                <w:tab w:val="left" w:pos="994"/>
                <w:tab w:val="left" w:pos="1260"/>
                <w:tab w:val="left" w:pos="3108"/>
                <w:tab w:val="left" w:pos="3150"/>
              </w:tabs>
              <w:kinsoku/>
              <w:wordWrap/>
              <w:topLinePunct w:val="0"/>
              <w:autoSpaceDE/>
              <w:autoSpaceDN/>
              <w:bidi w:val="0"/>
              <w:spacing w:line="400" w:lineRule="exact"/>
              <w:ind w:left="0" w:right="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w:t>
            </w:r>
          </w:p>
        </w:tc>
        <w:tc>
          <w:tcPr>
            <w:tcW w:w="2873" w:type="dxa"/>
            <w:vMerge w:val="continue"/>
            <w:noWrap w:val="0"/>
            <w:vAlign w:val="center"/>
          </w:tcPr>
          <w:p>
            <w:pPr>
              <w:keepNext w:val="0"/>
              <w:keepLines w:val="0"/>
              <w:pageBreakBefore w:val="0"/>
              <w:tabs>
                <w:tab w:val="left" w:pos="540"/>
                <w:tab w:val="left" w:pos="851"/>
                <w:tab w:val="left" w:pos="994"/>
                <w:tab w:val="left" w:pos="1260"/>
                <w:tab w:val="left" w:pos="3108"/>
                <w:tab w:val="left" w:pos="3150"/>
              </w:tabs>
              <w:kinsoku/>
              <w:wordWrap/>
              <w:topLinePunct w:val="0"/>
              <w:autoSpaceDE/>
              <w:autoSpaceDN/>
              <w:bidi w:val="0"/>
              <w:spacing w:line="40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006" w:type="dxa"/>
            <w:noWrap w:val="0"/>
            <w:vAlign w:val="center"/>
          </w:tcPr>
          <w:p>
            <w:pPr>
              <w:keepNext w:val="0"/>
              <w:keepLines w:val="0"/>
              <w:pageBreakBefore w:val="0"/>
              <w:kinsoku/>
              <w:wordWrap/>
              <w:topLinePunct w:val="0"/>
              <w:autoSpaceDE/>
              <w:autoSpaceDN/>
              <w:bidi w:val="0"/>
              <w:adjustRightInd w:val="0"/>
              <w:snapToGrid w:val="0"/>
              <w:spacing w:line="40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处置率100%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76" w:hRule="atLeast"/>
          <w:jc w:val="center"/>
        </w:trPr>
        <w:tc>
          <w:tcPr>
            <w:tcW w:w="1225" w:type="dxa"/>
            <w:noWrap w:val="0"/>
            <w:vAlign w:val="center"/>
          </w:tcPr>
          <w:p>
            <w:pPr>
              <w:keepNext w:val="0"/>
              <w:keepLines w:val="0"/>
              <w:pageBreakBefore w:val="0"/>
              <w:kinsoku/>
              <w:wordWrap/>
              <w:topLinePunct w:val="0"/>
              <w:autoSpaceDE/>
              <w:autoSpaceDN/>
              <w:bidi w:val="0"/>
              <w:adjustRightInd w:val="0"/>
              <w:snapToGrid w:val="0"/>
              <w:spacing w:line="40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土壤及地下水污染防治措施</w:t>
            </w:r>
          </w:p>
        </w:tc>
        <w:tc>
          <w:tcPr>
            <w:tcW w:w="7575" w:type="dxa"/>
            <w:gridSpan w:val="4"/>
            <w:noWrap w:val="0"/>
            <w:vAlign w:val="center"/>
          </w:tcPr>
          <w:p>
            <w:pPr>
              <w:keepNext w:val="0"/>
              <w:keepLines w:val="0"/>
              <w:pageBreakBefore w:val="0"/>
              <w:kinsoku/>
              <w:wordWrap/>
              <w:overflowPunct/>
              <w:topLinePunct w:val="0"/>
              <w:autoSpaceDE/>
              <w:autoSpaceDN/>
              <w:bidi w:val="0"/>
              <w:adjustRightInd w:val="0"/>
              <w:snapToGrid w:val="0"/>
              <w:spacing w:line="40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厂区道路划分为简单防渗区，制氧车间划分为一般防渗区，危险废物贮存库为重点防渗区，已按照相关要求</w:t>
            </w:r>
            <w:r>
              <w:rPr>
                <w:rFonts w:hint="default" w:ascii="Times New Roman" w:hAnsi="Times New Roman" w:eastAsia="宋体" w:cs="Times New Roman"/>
                <w:color w:val="auto"/>
                <w:sz w:val="21"/>
                <w:szCs w:val="21"/>
                <w:highlight w:val="none"/>
                <w:lang w:val="en-US" w:eastAsia="zh-CN"/>
              </w:rPr>
              <w:t>采取相应的</w:t>
            </w:r>
            <w:r>
              <w:rPr>
                <w:rFonts w:hint="eastAsia" w:cs="Times New Roman"/>
                <w:color w:val="auto"/>
                <w:sz w:val="21"/>
                <w:szCs w:val="21"/>
                <w:highlight w:val="none"/>
                <w:lang w:val="en-US" w:eastAsia="zh-CN"/>
              </w:rPr>
              <w:t>分区</w:t>
            </w:r>
            <w:r>
              <w:rPr>
                <w:rFonts w:hint="default" w:ascii="Times New Roman" w:hAnsi="Times New Roman" w:eastAsia="宋体" w:cs="Times New Roman"/>
                <w:color w:val="auto"/>
                <w:sz w:val="21"/>
                <w:szCs w:val="21"/>
                <w:highlight w:val="none"/>
                <w:lang w:val="en-US" w:eastAsia="zh-CN"/>
              </w:rPr>
              <w:t>防渗措施</w:t>
            </w:r>
            <w:r>
              <w:rPr>
                <w:rFonts w:hint="eastAsia" w:cs="Times New Roman"/>
                <w:color w:val="auto"/>
                <w:sz w:val="21"/>
                <w:szCs w:val="21"/>
                <w:highlight w:val="none"/>
                <w:lang w:val="en-US" w:eastAsia="zh-CN"/>
              </w:rPr>
              <w:t>。经采取上述污染防治措施后可有效防止各类污染物下渗，项目建设不会对地下水、土壤造成污染。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4" w:hRule="atLeast"/>
          <w:jc w:val="center"/>
        </w:trPr>
        <w:tc>
          <w:tcPr>
            <w:tcW w:w="1225" w:type="dxa"/>
            <w:noWrap w:val="0"/>
            <w:vAlign w:val="center"/>
          </w:tcPr>
          <w:p>
            <w:pPr>
              <w:keepNext w:val="0"/>
              <w:keepLines w:val="0"/>
              <w:pageBreakBefore w:val="0"/>
              <w:kinsoku/>
              <w:wordWrap/>
              <w:topLinePunct w:val="0"/>
              <w:autoSpaceDE/>
              <w:autoSpaceDN/>
              <w:bidi w:val="0"/>
              <w:adjustRightInd w:val="0"/>
              <w:snapToGrid w:val="0"/>
              <w:spacing w:line="40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生态保护措施</w:t>
            </w:r>
          </w:p>
        </w:tc>
        <w:tc>
          <w:tcPr>
            <w:tcW w:w="7575" w:type="dxa"/>
            <w:gridSpan w:val="4"/>
            <w:noWrap w:val="0"/>
            <w:vAlign w:val="center"/>
          </w:tcPr>
          <w:p>
            <w:pPr>
              <w:keepNext w:val="0"/>
              <w:keepLines w:val="0"/>
              <w:pageBreakBefore w:val="0"/>
              <w:kinsoku/>
              <w:wordWrap/>
              <w:overflowPunct/>
              <w:topLinePunct w:val="0"/>
              <w:autoSpaceDE/>
              <w:autoSpaceDN/>
              <w:bidi w:val="0"/>
              <w:adjustRightInd w:val="0"/>
              <w:snapToGrid w:val="0"/>
              <w:spacing w:line="40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1225" w:type="dxa"/>
            <w:noWrap w:val="0"/>
            <w:vAlign w:val="center"/>
          </w:tcPr>
          <w:p>
            <w:pPr>
              <w:keepNext w:val="0"/>
              <w:keepLines w:val="0"/>
              <w:pageBreakBefore w:val="0"/>
              <w:kinsoku/>
              <w:wordWrap/>
              <w:topLinePunct w:val="0"/>
              <w:autoSpaceDE/>
              <w:autoSpaceDN/>
              <w:bidi w:val="0"/>
              <w:adjustRightInd w:val="0"/>
              <w:snapToGrid w:val="0"/>
              <w:spacing w:line="400" w:lineRule="exact"/>
              <w:ind w:left="0" w:right="0" w:firstLine="0" w:firstLineChars="0"/>
              <w:jc w:val="center"/>
              <w:textAlignment w:val="auto"/>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环境风险防范措施</w:t>
            </w:r>
          </w:p>
        </w:tc>
        <w:tc>
          <w:tcPr>
            <w:tcW w:w="7575" w:type="dxa"/>
            <w:gridSpan w:val="4"/>
            <w:noWrap w:val="0"/>
            <w:vAlign w:val="center"/>
          </w:tcPr>
          <w:p>
            <w:pPr>
              <w:keepNext w:val="0"/>
              <w:keepLines w:val="0"/>
              <w:pageBreakBefore w:val="0"/>
              <w:kinsoku/>
              <w:wordWrap/>
              <w:overflowPunct/>
              <w:topLinePunct w:val="0"/>
              <w:autoSpaceDE/>
              <w:autoSpaceDN/>
              <w:bidi w:val="0"/>
              <w:adjustRightInd w:val="0"/>
              <w:snapToGrid w:val="0"/>
              <w:spacing w:line="400" w:lineRule="exact"/>
              <w:ind w:left="0" w:leftChars="0" w:right="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（1）废润滑油</w:t>
            </w:r>
            <w:r>
              <w:rPr>
                <w:rFonts w:hint="eastAsia" w:cs="Times New Roman"/>
                <w:color w:val="auto"/>
                <w:sz w:val="21"/>
                <w:szCs w:val="21"/>
                <w:highlight w:val="none"/>
                <w:lang w:val="en-US" w:eastAsia="zh-CN"/>
              </w:rPr>
              <w:t>泄漏</w:t>
            </w:r>
            <w:r>
              <w:rPr>
                <w:rFonts w:hint="default" w:ascii="Times New Roman" w:hAnsi="Times New Roman" w:eastAsia="宋体" w:cs="Times New Roman"/>
                <w:color w:val="auto"/>
                <w:sz w:val="21"/>
                <w:szCs w:val="21"/>
                <w:highlight w:val="none"/>
                <w:lang w:val="en-US" w:eastAsia="zh-CN"/>
              </w:rPr>
              <w:t xml:space="preserve">事故风险防范措施 </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废润滑油发生风险事故为泄漏污染地表水、地下水及土壤环境事故，提出的风险防范措施为：设立三级应急防控体系，具体如下： </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一级防控措施：贮存区建立不低于15cm高的围堰，并进行防渗处理。 </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二级防控措施：易门铜业有限公司已设置容积为1900m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的事故水池，用于临时贮存消防废水及泄漏物料。项目废润滑油的最大暂存量为0.7t，考虑最不利情况，即废润滑油全部泄漏，泄漏量为0.7t，处理事故所产生的事故废水量一般小于20m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 xml:space="preserve">，因此，易门铜业有限公司已设置的事故水池完全可以满足项目需求。 </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三级防控措施：事故水池拦截。操作员在接到生产事故警报时必须立即将全厂雨水总排放口排放切换至事故水池。污染物一旦流入雨水系统，事故水池接纳污染废水，用于各单元在紧急或事故情形下污染废水的临时储存。事后对事故水池中废水进行处理后回用。</w:t>
            </w:r>
          </w:p>
          <w:p>
            <w:pPr>
              <w:keepNext w:val="0"/>
              <w:keepLines w:val="0"/>
              <w:pageBreakBefore w:val="0"/>
              <w:kinsoku/>
              <w:wordWrap/>
              <w:overflowPunct/>
              <w:topLinePunct w:val="0"/>
              <w:autoSpaceDE/>
              <w:autoSpaceDN/>
              <w:bidi w:val="0"/>
              <w:adjustRightInd w:val="0"/>
              <w:snapToGrid w:val="0"/>
              <w:spacing w:line="400" w:lineRule="exact"/>
              <w:ind w:left="0" w:leftChars="0" w:right="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（2）燃烧、爆炸事故风险防范措施（摘录自项目“安评”）</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1）有火灾危险场所的建（构）筑物的结构形式及其选用的材料，必须符合防火要求。对于火灾危险的区域，应综合考虑防火措施和报警系统，合理选择和配备消防器材。</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2）各建（构）筑物内应设置疏散标志，其安全出口设置应符合《建筑设计防火规范（2018年版）》（GB50016-2014）的规定。</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3）制氧装置区域应采用不发火花地面。</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4）氧气平衡罐、氧气管道处及制氧厂房均采取防雷、防静电接地系统，以防受雷电或静电危害而引发火灾爆炸事故。</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5）电器设备、电缆应按有关规定采取阻火措施。</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防容器爆炸：设计或采购的压力容器应为有资质的单位设计或制造的，符合《固定式压力容器安全技术监察规程》（TSG21-2016）、《压力容器》系列标准（GB/T150.1~GB/T150.4-2024）等相关标准要求的合格产品；设计安全阀、压力表等安全附件；制定温度、压力等工艺参数指标及超压安全泄放联锁等。</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7）防管道爆炸：工业管道在设计时应按《工业管道安全技术规程》（TSG31-2025）以及即将实施的国家标准《压力管道规范 第1部分：工业管道》（GB/T 20801.1-2025，2026年5月1日实施）的有关规定执行；设计安全阀、压力表等安全附件；制定温度、压力等工艺参数指标及超压安全泄放联锁等。</w:t>
            </w:r>
          </w:p>
          <w:p>
            <w:pPr>
              <w:keepNext w:val="0"/>
              <w:keepLines w:val="0"/>
              <w:pageBreakBefore w:val="0"/>
              <w:kinsoku/>
              <w:wordWrap/>
              <w:overflowPunct/>
              <w:topLinePunct w:val="0"/>
              <w:autoSpaceDE/>
              <w:autoSpaceDN/>
              <w:bidi w:val="0"/>
              <w:adjustRightInd w:val="0"/>
              <w:snapToGrid w:val="0"/>
              <w:spacing w:line="400" w:lineRule="exact"/>
              <w:ind w:left="0" w:leftChars="0" w:right="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（3）中毒、窒息事故风险防范措施（摘录自项目“安评”）</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1）总平面设计时按《工业企业总平面设计规范》（GB50187-2012）的要求并结合当地气象条件，使作业场所具有良好的自然通风条件。</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2）在进入吸附塔、氧气平衡罐内受限空间作业前，应先进行置换处理，经采样分析氧气浓度合格后，方可进入，同时应有监护和必要的应急防护措施。</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3）在下一步的设计中，应按照《个体防护装备配备规范 第1部分：总则》（GB39800.1-2020）、《个体防护装备配备规范 第2部分：石油、化工、天然气》（GB39800.2-2020）等国家相关规范的要求为作业人员配备劳动防护用品。</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4）车间内应设置事故柜和常备一定数量的救护用具及药品。</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5）在工作场所醒目位置设置警示标识和中文警示说明。警示说明应当载明产生高浓度氧中毒、氮气窒息危害的种类、后果、预防以及应急救治措施等内容并经常监督检查。</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6）根据厂区情况、人员分布、附近居民分布等，将风向标设置于各类人员便于看到的位置，确保人员相对集中的区域能够在室外观察到风向标、确定风向。</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7）为避免氧气、氮气泄漏危害作业人员，按《石油化工可燃气体和有毒气体检测报警设计标准》（GB/T50493-2019）第6.1.3条的要求，环境氧气探测器的安装高度宜距地坪或楼地板1.5m~2.0m。</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8）氧气站的氧气、氮气等放散管应引至室外安全处，放散管口距地面不得低于4.5m。</w:t>
            </w:r>
          </w:p>
          <w:p>
            <w:pPr>
              <w:keepNext w:val="0"/>
              <w:keepLines w:val="0"/>
              <w:pageBreakBefore w:val="0"/>
              <w:kinsoku/>
              <w:wordWrap/>
              <w:overflowPunct/>
              <w:topLinePunct w:val="0"/>
              <w:autoSpaceDE/>
              <w:autoSpaceDN/>
              <w:bidi w:val="0"/>
              <w:adjustRightInd w:val="0"/>
              <w:snapToGrid w:val="0"/>
              <w:spacing w:line="400" w:lineRule="exact"/>
              <w:ind w:left="0" w:leftChars="0" w:right="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（4）气体泄漏风险防范措施（摘录自项目“安评”）</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1）采用密闭化、连续化、自动化生产。设计符合功能安全等级要求的安全报警及联锁、紧急停车系统，防止因参数失控或超压导致的泄漏。</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2）管道、阀门、法兰及吸附塔、真空泵、氧气缓冲罐等均按要求进行选型，防止超压、泄漏。</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3）对氧气管道、法兰、阀门，按照规范要求</w:t>
            </w:r>
            <w:r>
              <w:rPr>
                <w:rFonts w:hint="eastAsia" w:cs="Times New Roman"/>
                <w:color w:val="auto"/>
                <w:sz w:val="21"/>
                <w:szCs w:val="21"/>
                <w:highlight w:val="none"/>
                <w:lang w:val="en-US" w:eastAsia="zh-CN"/>
              </w:rPr>
              <w:t>选择</w:t>
            </w:r>
            <w:r>
              <w:rPr>
                <w:rFonts w:hint="default" w:ascii="Times New Roman" w:hAnsi="Times New Roman" w:eastAsia="宋体" w:cs="Times New Roman"/>
                <w:color w:val="auto"/>
                <w:sz w:val="21"/>
                <w:szCs w:val="21"/>
                <w:highlight w:val="none"/>
                <w:lang w:val="en-US" w:eastAsia="zh-CN"/>
              </w:rPr>
              <w:t>密封性能好的专用阀门，并配以耐温密封材料和零泄漏设计，防止泄漏事故的发生。阀门材质等于或高于相应管线。</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4）在设备和管线的排放口加装盲板、丝堵、管帽、双阀等措施，减少泄漏的可能性。采样口设置密闭取样器。</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5）设备及管道走向的布置在经济性的原则下，尽量进行柔性设计，以减少设备管口的受力，防止法兰泄漏。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02" w:hRule="atLeast"/>
          <w:jc w:val="center"/>
        </w:trPr>
        <w:tc>
          <w:tcPr>
            <w:tcW w:w="1225" w:type="dxa"/>
            <w:noWrap w:val="0"/>
            <w:vAlign w:val="center"/>
          </w:tcPr>
          <w:p>
            <w:pPr>
              <w:keepNext w:val="0"/>
              <w:keepLines w:val="0"/>
              <w:pageBreakBefore w:val="0"/>
              <w:kinsoku/>
              <w:wordWrap/>
              <w:topLinePunct w:val="0"/>
              <w:autoSpaceDE/>
              <w:autoSpaceDN/>
              <w:bidi w:val="0"/>
              <w:adjustRightInd w:val="0"/>
              <w:snapToGrid w:val="0"/>
              <w:spacing w:line="400" w:lineRule="exact"/>
              <w:ind w:left="0" w:right="0" w:firstLine="0" w:firstLineChars="0"/>
              <w:jc w:val="center"/>
              <w:textAlignment w:val="auto"/>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其他环境管</w:t>
            </w:r>
          </w:p>
          <w:p>
            <w:pPr>
              <w:keepNext w:val="0"/>
              <w:keepLines w:val="0"/>
              <w:pageBreakBefore w:val="0"/>
              <w:kinsoku/>
              <w:wordWrap/>
              <w:topLinePunct w:val="0"/>
              <w:autoSpaceDE/>
              <w:autoSpaceDN/>
              <w:bidi w:val="0"/>
              <w:adjustRightInd w:val="0"/>
              <w:snapToGrid w:val="0"/>
              <w:spacing w:line="400" w:lineRule="exact"/>
              <w:ind w:left="0" w:right="0" w:firstLine="0" w:firstLineChars="0"/>
              <w:jc w:val="center"/>
              <w:textAlignment w:val="auto"/>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理要求</w:t>
            </w:r>
          </w:p>
        </w:tc>
        <w:tc>
          <w:tcPr>
            <w:tcW w:w="7575" w:type="dxa"/>
            <w:gridSpan w:val="4"/>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right="0" w:firstLine="210" w:firstLineChars="100"/>
              <w:jc w:val="left"/>
              <w:textAlignment w:val="auto"/>
              <w:rPr>
                <w:rFonts w:hint="eastAsia" w:ascii="黑体" w:hAnsi="黑体" w:eastAsia="黑体" w:cs="黑体"/>
                <w:b w:val="0"/>
                <w:bCs w:val="0"/>
                <w:color w:val="auto"/>
                <w:sz w:val="21"/>
                <w:szCs w:val="21"/>
                <w:highlight w:val="none"/>
              </w:rPr>
            </w:pPr>
            <w:r>
              <w:rPr>
                <w:rFonts w:hint="eastAsia" w:ascii="黑体" w:hAnsi="黑体" w:eastAsia="黑体" w:cs="黑体"/>
                <w:color w:val="auto"/>
                <w:kern w:val="0"/>
                <w:sz w:val="21"/>
                <w:szCs w:val="21"/>
                <w:highlight w:val="none"/>
                <w:lang w:val="en-US" w:eastAsia="zh-CN" w:bidi="ar"/>
              </w:rPr>
              <w:t>1、环境管理</w:t>
            </w:r>
            <w:r>
              <w:rPr>
                <w:rFonts w:hint="eastAsia" w:ascii="黑体" w:hAnsi="黑体" w:eastAsia="黑体" w:cs="黑体"/>
                <w:b w:val="0"/>
                <w:bCs w:val="0"/>
                <w:color w:val="auto"/>
                <w:kern w:val="0"/>
                <w:sz w:val="21"/>
                <w:szCs w:val="21"/>
                <w:highlight w:val="none"/>
                <w:lang w:bidi="ar"/>
              </w:rPr>
              <w:t xml:space="preserve"> </w:t>
            </w:r>
          </w:p>
          <w:p>
            <w:pPr>
              <w:pStyle w:val="31"/>
              <w:keepNext w:val="0"/>
              <w:keepLines w:val="0"/>
              <w:pageBreakBefore w:val="0"/>
              <w:widowControl w:val="0"/>
              <w:kinsoku/>
              <w:wordWrap/>
              <w:overflowPunct/>
              <w:topLinePunct w:val="0"/>
              <w:autoSpaceDE w:val="0"/>
              <w:autoSpaceDN w:val="0"/>
              <w:bidi w:val="0"/>
              <w:adjustRightInd w:val="0"/>
              <w:snapToGrid/>
              <w:spacing w:line="400" w:lineRule="exact"/>
              <w:ind w:firstLine="480"/>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制定</w:t>
            </w:r>
            <w:r>
              <w:rPr>
                <w:rFonts w:hint="eastAsia" w:cs="Times New Roman"/>
                <w:color w:val="auto"/>
                <w:sz w:val="21"/>
                <w:szCs w:val="21"/>
                <w:highlight w:val="none"/>
                <w:lang w:eastAsia="zh-CN"/>
              </w:rPr>
              <w:t>各项</w:t>
            </w:r>
            <w:r>
              <w:rPr>
                <w:rFonts w:hint="default" w:ascii="Times New Roman" w:hAnsi="Times New Roman" w:eastAsia="宋体" w:cs="Times New Roman"/>
                <w:color w:val="auto"/>
                <w:sz w:val="21"/>
                <w:szCs w:val="21"/>
                <w:highlight w:val="none"/>
              </w:rPr>
              <w:t>环保设施操作规程，定期维修制度，使各项环保设施在生产过程中处于良好</w:t>
            </w:r>
            <w:r>
              <w:rPr>
                <w:rFonts w:hint="eastAsia" w:cs="Times New Roman"/>
                <w:color w:val="auto"/>
                <w:sz w:val="21"/>
                <w:szCs w:val="21"/>
                <w:highlight w:val="none"/>
                <w:lang w:eastAsia="zh-CN"/>
              </w:rPr>
              <w:t>地</w:t>
            </w:r>
            <w:r>
              <w:rPr>
                <w:rFonts w:hint="default" w:ascii="Times New Roman" w:hAnsi="Times New Roman" w:eastAsia="宋体" w:cs="Times New Roman"/>
                <w:color w:val="auto"/>
                <w:sz w:val="21"/>
                <w:szCs w:val="21"/>
                <w:highlight w:val="none"/>
              </w:rPr>
              <w:t>运行状态</w:t>
            </w:r>
            <w:r>
              <w:rPr>
                <w:rFonts w:hint="eastAsia" w:ascii="Times New Roman" w:hAnsi="Times New Roman" w:eastAsia="宋体" w:cs="Times New Roman"/>
                <w:color w:val="auto"/>
                <w:sz w:val="21"/>
                <w:szCs w:val="21"/>
                <w:highlight w:val="none"/>
                <w:lang w:eastAsia="zh-CN"/>
              </w:rPr>
              <w:t>；</w:t>
            </w:r>
          </w:p>
          <w:p>
            <w:pPr>
              <w:pStyle w:val="31"/>
              <w:keepNext w:val="0"/>
              <w:keepLines w:val="0"/>
              <w:pageBreakBefore w:val="0"/>
              <w:widowControl w:val="0"/>
              <w:kinsoku/>
              <w:wordWrap/>
              <w:overflowPunct/>
              <w:topLinePunct w:val="0"/>
              <w:autoSpaceDE w:val="0"/>
              <w:autoSpaceDN w:val="0"/>
              <w:bidi w:val="0"/>
              <w:adjustRightInd w:val="0"/>
              <w:snapToGrid/>
              <w:spacing w:line="400" w:lineRule="exact"/>
              <w:ind w:firstLine="480"/>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加强对环保设施的运行管理，如环保设施出现故障，应立即停产检查，严禁非正常排放</w:t>
            </w:r>
            <w:r>
              <w:rPr>
                <w:rFonts w:hint="eastAsia" w:ascii="Times New Roman" w:hAnsi="Times New Roman" w:eastAsia="宋体" w:cs="Times New Roman"/>
                <w:color w:val="auto"/>
                <w:sz w:val="21"/>
                <w:szCs w:val="21"/>
                <w:highlight w:val="none"/>
                <w:lang w:eastAsia="zh-CN"/>
              </w:rPr>
              <w:t>；</w:t>
            </w:r>
          </w:p>
          <w:p>
            <w:pPr>
              <w:pStyle w:val="31"/>
              <w:keepNext w:val="0"/>
              <w:keepLines w:val="0"/>
              <w:pageBreakBefore w:val="0"/>
              <w:widowControl w:val="0"/>
              <w:kinsoku/>
              <w:wordWrap/>
              <w:overflowPunct/>
              <w:topLinePunct w:val="0"/>
              <w:autoSpaceDE w:val="0"/>
              <w:autoSpaceDN w:val="0"/>
              <w:bidi w:val="0"/>
              <w:adjustRightInd w:val="0"/>
              <w:snapToGrid/>
              <w:spacing w:line="400" w:lineRule="exact"/>
              <w:ind w:firstLine="480"/>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严格按照</w:t>
            </w:r>
            <w:r>
              <w:rPr>
                <w:rFonts w:hint="eastAsia" w:cs="Times New Roman"/>
                <w:color w:val="auto"/>
                <w:sz w:val="21"/>
                <w:szCs w:val="21"/>
                <w:highlight w:val="none"/>
                <w:lang w:val="en-US" w:eastAsia="zh-CN"/>
              </w:rPr>
              <w:t>道路</w:t>
            </w:r>
            <w:r>
              <w:rPr>
                <w:rFonts w:hint="default" w:ascii="Times New Roman" w:hAnsi="Times New Roman" w:eastAsia="宋体" w:cs="Times New Roman"/>
                <w:color w:val="auto"/>
                <w:sz w:val="21"/>
                <w:szCs w:val="21"/>
                <w:highlight w:val="none"/>
              </w:rPr>
              <w:t>环境整治及提升人居环境的要求，加强道路清扫、洒水控尘，确保达到环境卫生管理要求</w:t>
            </w:r>
            <w:r>
              <w:rPr>
                <w:rFonts w:hint="eastAsia" w:ascii="Times New Roman" w:hAnsi="Times New Roman" w:eastAsia="宋体" w:cs="Times New Roman"/>
                <w:color w:val="auto"/>
                <w:sz w:val="21"/>
                <w:szCs w:val="21"/>
                <w:highlight w:val="none"/>
                <w:lang w:eastAsia="zh-CN"/>
              </w:rPr>
              <w:t>；</w:t>
            </w:r>
          </w:p>
          <w:p>
            <w:pPr>
              <w:pStyle w:val="31"/>
              <w:keepNext w:val="0"/>
              <w:keepLines w:val="0"/>
              <w:pageBreakBefore w:val="0"/>
              <w:widowControl w:val="0"/>
              <w:kinsoku/>
              <w:wordWrap/>
              <w:overflowPunct/>
              <w:topLinePunct w:val="0"/>
              <w:autoSpaceDE w:val="0"/>
              <w:autoSpaceDN w:val="0"/>
              <w:bidi w:val="0"/>
              <w:adjustRightInd w:val="0"/>
              <w:snapToGrid/>
              <w:spacing w:line="400" w:lineRule="exact"/>
              <w:ind w:firstLine="480"/>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加强环境监测工作，并注意做好记录，不得弄虚作假；监测中如发现异常情况应及时向有关部门通报，及时采取应急措施，防止事故排放</w:t>
            </w:r>
            <w:r>
              <w:rPr>
                <w:rFonts w:hint="eastAsia" w:ascii="Times New Roman" w:hAnsi="Times New Roman" w:eastAsia="宋体" w:cs="Times New Roman"/>
                <w:color w:val="auto"/>
                <w:sz w:val="21"/>
                <w:szCs w:val="21"/>
                <w:highlight w:val="none"/>
                <w:lang w:eastAsia="zh-CN"/>
              </w:rPr>
              <w:t>；</w:t>
            </w:r>
          </w:p>
          <w:p>
            <w:pPr>
              <w:pStyle w:val="31"/>
              <w:keepNext w:val="0"/>
              <w:keepLines w:val="0"/>
              <w:pageBreakBefore w:val="0"/>
              <w:widowControl w:val="0"/>
              <w:kinsoku/>
              <w:wordWrap/>
              <w:overflowPunct/>
              <w:topLinePunct w:val="0"/>
              <w:autoSpaceDE w:val="0"/>
              <w:autoSpaceDN w:val="0"/>
              <w:bidi w:val="0"/>
              <w:adjustRightInd w:val="0"/>
              <w:snapToGrid/>
              <w:spacing w:line="400" w:lineRule="exact"/>
              <w:ind w:firstLine="480"/>
              <w:textAlignment w:val="auto"/>
              <w:rPr>
                <w:rFonts w:hint="eastAsia" w:ascii="黑体" w:hAnsi="黑体" w:eastAsia="黑体" w:cs="黑体"/>
                <w:color w:val="auto"/>
                <w:kern w:val="0"/>
                <w:sz w:val="21"/>
                <w:szCs w:val="21"/>
                <w:highlight w:val="none"/>
                <w:lang w:val="en-US" w:eastAsia="zh-CN" w:bidi="ar"/>
              </w:rPr>
            </w:pP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严格落实各类固体废物堆存措施，不得随意放置、丢弃、转移。</w:t>
            </w:r>
          </w:p>
          <w:p>
            <w:pPr>
              <w:keepNext w:val="0"/>
              <w:keepLines w:val="0"/>
              <w:pageBreakBefore w:val="0"/>
              <w:widowControl/>
              <w:kinsoku/>
              <w:wordWrap/>
              <w:overflowPunct/>
              <w:topLinePunct w:val="0"/>
              <w:autoSpaceDE/>
              <w:autoSpaceDN/>
              <w:bidi w:val="0"/>
              <w:adjustRightInd/>
              <w:snapToGrid/>
              <w:spacing w:line="400" w:lineRule="exact"/>
              <w:ind w:left="0" w:right="0" w:firstLine="210" w:firstLineChars="1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黑体" w:hAnsi="黑体" w:eastAsia="黑体" w:cs="黑体"/>
                <w:color w:val="auto"/>
                <w:kern w:val="0"/>
                <w:sz w:val="21"/>
                <w:szCs w:val="21"/>
                <w:highlight w:val="none"/>
                <w:lang w:val="en-US" w:eastAsia="zh-CN" w:bidi="ar"/>
              </w:rPr>
              <w:t>2、排污许可</w:t>
            </w:r>
          </w:p>
          <w:p>
            <w:pPr>
              <w:pStyle w:val="31"/>
              <w:keepNext w:val="0"/>
              <w:keepLines w:val="0"/>
              <w:pageBreakBefore w:val="0"/>
              <w:kinsoku/>
              <w:wordWrap/>
              <w:topLinePunct w:val="0"/>
              <w:bidi w:val="0"/>
              <w:spacing w:line="400" w:lineRule="exact"/>
              <w:ind w:firstLine="48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本项目位于易门铜业有限公司既有厂区内，属于易门铜业有限公司制氧系统技术改造节能项目。项目改建完成后不再单独办理排污登记手续，直接纳入易门铜业有限公司全厂排污许可进行管理。</w:t>
            </w:r>
          </w:p>
          <w:p>
            <w:pPr>
              <w:keepNext w:val="0"/>
              <w:keepLines w:val="0"/>
              <w:pageBreakBefore w:val="0"/>
              <w:widowControl/>
              <w:kinsoku/>
              <w:wordWrap/>
              <w:overflowPunct/>
              <w:topLinePunct w:val="0"/>
              <w:autoSpaceDE/>
              <w:autoSpaceDN/>
              <w:bidi w:val="0"/>
              <w:adjustRightInd/>
              <w:snapToGrid/>
              <w:spacing w:line="400" w:lineRule="exact"/>
              <w:ind w:left="0" w:right="0" w:firstLine="210" w:firstLineChars="100"/>
              <w:jc w:val="left"/>
              <w:textAlignment w:val="auto"/>
              <w:rPr>
                <w:rFonts w:hint="default" w:ascii="Times New Roman" w:hAnsi="Times New Roman" w:eastAsia="宋体" w:cs="Times New Roman"/>
                <w:color w:val="auto"/>
                <w:sz w:val="21"/>
                <w:szCs w:val="21"/>
                <w:highlight w:val="none"/>
                <w:lang w:val="en-US" w:eastAsia="zh-CN"/>
              </w:rPr>
            </w:pPr>
            <w:r>
              <w:rPr>
                <w:rFonts w:hint="eastAsia" w:ascii="黑体" w:hAnsi="黑体" w:eastAsia="黑体" w:cs="黑体"/>
                <w:color w:val="auto"/>
                <w:kern w:val="0"/>
                <w:sz w:val="21"/>
                <w:szCs w:val="21"/>
                <w:highlight w:val="none"/>
                <w:lang w:val="en-US" w:eastAsia="zh-CN" w:bidi="ar"/>
              </w:rPr>
              <w:t>3、环境监测</w:t>
            </w:r>
          </w:p>
          <w:p>
            <w:pPr>
              <w:pStyle w:val="31"/>
              <w:keepNext w:val="0"/>
              <w:keepLines w:val="0"/>
              <w:pageBreakBefore w:val="0"/>
              <w:kinsoku/>
              <w:wordWrap/>
              <w:topLinePunct w:val="0"/>
              <w:bidi w:val="0"/>
              <w:spacing w:line="400" w:lineRule="exact"/>
              <w:ind w:firstLine="48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按照《排污单位自行监测技术指南 总则》（HJ819-2017）</w:t>
            </w:r>
            <w:r>
              <w:rPr>
                <w:rFonts w:hint="eastAsia" w:cs="Times New Roman"/>
                <w:color w:val="auto"/>
                <w:sz w:val="21"/>
                <w:szCs w:val="21"/>
                <w:highlight w:val="none"/>
                <w:lang w:val="en-US" w:eastAsia="zh-CN"/>
              </w:rPr>
              <w:t>及</w:t>
            </w:r>
            <w:r>
              <w:rPr>
                <w:rFonts w:hint="default" w:ascii="Times New Roman" w:hAnsi="Times New Roman" w:eastAsia="宋体" w:cs="Times New Roman"/>
                <w:color w:val="auto"/>
                <w:sz w:val="21"/>
                <w:szCs w:val="21"/>
                <w:highlight w:val="none"/>
                <w:lang w:val="en-US" w:eastAsia="zh-CN"/>
              </w:rPr>
              <w:t>《排污许可证申请与核发技术规范</w:t>
            </w:r>
            <w:r>
              <w:rPr>
                <w:rFonts w:hint="eastAsia" w:cs="Times New Roman"/>
                <w:color w:val="auto"/>
                <w:sz w:val="21"/>
                <w:szCs w:val="21"/>
                <w:highlight w:val="none"/>
                <w:lang w:val="en-US" w:eastAsia="zh-CN"/>
              </w:rPr>
              <w:t xml:space="preserve"> 总则</w:t>
            </w:r>
            <w:r>
              <w:rPr>
                <w:rFonts w:hint="default" w:ascii="Times New Roman" w:hAnsi="Times New Roman" w:eastAsia="宋体" w:cs="Times New Roman"/>
                <w:color w:val="auto"/>
                <w:sz w:val="21"/>
                <w:szCs w:val="21"/>
                <w:highlight w:val="none"/>
                <w:lang w:val="en-US" w:eastAsia="zh-CN"/>
              </w:rPr>
              <w:t>》（HJ</w:t>
            </w:r>
            <w:r>
              <w:rPr>
                <w:rFonts w:hint="eastAsia" w:cs="Times New Roman"/>
                <w:color w:val="auto"/>
                <w:sz w:val="21"/>
                <w:szCs w:val="21"/>
                <w:highlight w:val="none"/>
                <w:lang w:val="en-US" w:eastAsia="zh-CN"/>
              </w:rPr>
              <w:t>942</w:t>
            </w:r>
            <w:r>
              <w:rPr>
                <w:rFonts w:hint="default" w:ascii="Times New Roman" w:hAnsi="Times New Roman" w:eastAsia="宋体" w:cs="Times New Roman"/>
                <w:color w:val="auto"/>
                <w:sz w:val="21"/>
                <w:szCs w:val="21"/>
                <w:highlight w:val="none"/>
                <w:lang w:val="en-US" w:eastAsia="zh-CN"/>
              </w:rPr>
              <w:t>-2018）</w:t>
            </w:r>
            <w:r>
              <w:rPr>
                <w:rFonts w:hint="eastAsia" w:cs="Times New Roman"/>
                <w:color w:val="auto"/>
                <w:sz w:val="21"/>
                <w:szCs w:val="21"/>
                <w:highlight w:val="none"/>
                <w:lang w:val="en-US" w:eastAsia="zh-CN"/>
              </w:rPr>
              <w:t>、《</w:t>
            </w:r>
            <w:r>
              <w:rPr>
                <w:rFonts w:hint="eastAsia" w:cs="Times New Roman"/>
                <w:color w:val="auto"/>
                <w:sz w:val="21"/>
                <w:szCs w:val="21"/>
                <w:highlight w:val="none"/>
                <w:lang w:val="en-US" w:eastAsia="zh-CN"/>
              </w:rPr>
              <w:fldChar w:fldCharType="begin"/>
            </w:r>
            <w:r>
              <w:rPr>
                <w:rFonts w:hint="eastAsia" w:cs="Times New Roman"/>
                <w:color w:val="auto"/>
                <w:sz w:val="21"/>
                <w:szCs w:val="21"/>
                <w:highlight w:val="none"/>
                <w:lang w:val="en-US" w:eastAsia="zh-CN"/>
              </w:rPr>
              <w:instrText xml:space="preserve"> HYPERLINK "https://www.eiacloud.com/hpyzs/lawsRegulations/searchDetail?modelName=%E6%8E%92%E6%B1%A1%E5%90%8D%E5%BD%95&amp;id=e761714886c545a1a62dc02423b8273f" \t "https://www.eiacloud.com/hpyzs/category/_blank" </w:instrText>
            </w:r>
            <w:r>
              <w:rPr>
                <w:rFonts w:hint="eastAsia" w:cs="Times New Roman"/>
                <w:color w:val="auto"/>
                <w:sz w:val="21"/>
                <w:szCs w:val="21"/>
                <w:highlight w:val="none"/>
                <w:lang w:val="en-US" w:eastAsia="zh-CN"/>
              </w:rPr>
              <w:fldChar w:fldCharType="separate"/>
            </w:r>
            <w:r>
              <w:rPr>
                <w:rFonts w:hint="eastAsia" w:cs="Times New Roman"/>
                <w:color w:val="auto"/>
                <w:sz w:val="21"/>
                <w:szCs w:val="21"/>
                <w:highlight w:val="none"/>
                <w:lang w:val="en-US" w:eastAsia="zh-CN"/>
              </w:rPr>
              <w:t>排污单位自行监测技术指南 有色金属工业</w:t>
            </w:r>
            <w:r>
              <w:rPr>
                <w:rFonts w:hint="eastAsia" w:cs="Times New Roman"/>
                <w:color w:val="auto"/>
                <w:sz w:val="21"/>
                <w:szCs w:val="21"/>
                <w:highlight w:val="none"/>
                <w:lang w:val="en-US" w:eastAsia="zh-CN"/>
              </w:rPr>
              <w:fldChar w:fldCharType="end"/>
            </w:r>
            <w:r>
              <w:rPr>
                <w:rFonts w:hint="eastAsia" w:cs="Times New Roman"/>
                <w:color w:val="auto"/>
                <w:sz w:val="21"/>
                <w:szCs w:val="21"/>
                <w:highlight w:val="none"/>
                <w:lang w:val="en-US" w:eastAsia="zh-CN"/>
              </w:rPr>
              <w:t>》（HJ989-2018）、《</w:t>
            </w:r>
            <w:r>
              <w:rPr>
                <w:rFonts w:hint="eastAsia" w:cs="Times New Roman"/>
                <w:color w:val="auto"/>
                <w:sz w:val="21"/>
                <w:szCs w:val="21"/>
                <w:highlight w:val="none"/>
                <w:lang w:val="en-US" w:eastAsia="zh-CN"/>
              </w:rPr>
              <w:fldChar w:fldCharType="begin"/>
            </w:r>
            <w:r>
              <w:rPr>
                <w:rFonts w:hint="eastAsia" w:cs="Times New Roman"/>
                <w:color w:val="auto"/>
                <w:sz w:val="21"/>
                <w:szCs w:val="21"/>
                <w:highlight w:val="none"/>
                <w:lang w:val="en-US" w:eastAsia="zh-CN"/>
              </w:rPr>
              <w:instrText xml:space="preserve"> HYPERLINK "https://www.eiacloud.com/hpyzs/lawsRegulations/searchDetail?modelName=%E6%8E%92%E6%B1%A1%E5%90%8D%E5%BD%95&amp;id=18f0fe3136b84205ac328b6e3506f8fa" \t "https://www.eiacloud.com/hpyzs/category/_blank" </w:instrText>
            </w:r>
            <w:r>
              <w:rPr>
                <w:rFonts w:hint="eastAsia" w:cs="Times New Roman"/>
                <w:color w:val="auto"/>
                <w:sz w:val="21"/>
                <w:szCs w:val="21"/>
                <w:highlight w:val="none"/>
                <w:lang w:val="en-US" w:eastAsia="zh-CN"/>
              </w:rPr>
              <w:fldChar w:fldCharType="separate"/>
            </w:r>
            <w:r>
              <w:rPr>
                <w:rFonts w:hint="eastAsia" w:cs="Times New Roman"/>
                <w:color w:val="auto"/>
                <w:sz w:val="21"/>
                <w:szCs w:val="21"/>
                <w:highlight w:val="none"/>
                <w:lang w:val="en-US" w:eastAsia="zh-CN"/>
              </w:rPr>
              <w:t>排污许可证申请与核发技术规范 有色金属工业—铜冶炼</w:t>
            </w:r>
            <w:r>
              <w:rPr>
                <w:rFonts w:hint="eastAsia" w:cs="Times New Roman"/>
                <w:color w:val="auto"/>
                <w:sz w:val="21"/>
                <w:szCs w:val="21"/>
                <w:highlight w:val="none"/>
                <w:lang w:val="en-US" w:eastAsia="zh-CN"/>
              </w:rPr>
              <w:fldChar w:fldCharType="end"/>
            </w:r>
            <w:r>
              <w:rPr>
                <w:rFonts w:hint="eastAsia" w:cs="Times New Roman"/>
                <w:color w:val="auto"/>
                <w:sz w:val="21"/>
                <w:szCs w:val="21"/>
                <w:highlight w:val="none"/>
                <w:lang w:val="en-US" w:eastAsia="zh-CN"/>
              </w:rPr>
              <w:t>》（HJ863.3-2017）等</w:t>
            </w:r>
            <w:r>
              <w:rPr>
                <w:rFonts w:hint="default" w:ascii="Times New Roman" w:hAnsi="Times New Roman" w:eastAsia="宋体" w:cs="Times New Roman"/>
                <w:color w:val="auto"/>
                <w:sz w:val="21"/>
                <w:szCs w:val="21"/>
                <w:highlight w:val="none"/>
                <w:lang w:val="en-US" w:eastAsia="zh-CN"/>
              </w:rPr>
              <w:t>相关要求，建设单位应委托有资质的监测单位对项目进行运营期环境监测及竣工</w:t>
            </w:r>
            <w:r>
              <w:rPr>
                <w:rFonts w:hint="eastAsia" w:cs="Times New Roman"/>
                <w:color w:val="auto"/>
                <w:sz w:val="21"/>
                <w:szCs w:val="21"/>
                <w:highlight w:val="none"/>
                <w:lang w:val="en-US" w:eastAsia="zh-CN"/>
              </w:rPr>
              <w:t>环境保护</w:t>
            </w:r>
            <w:r>
              <w:rPr>
                <w:rFonts w:hint="default" w:ascii="Times New Roman" w:hAnsi="Times New Roman" w:eastAsia="宋体" w:cs="Times New Roman"/>
                <w:color w:val="auto"/>
                <w:sz w:val="21"/>
                <w:szCs w:val="21"/>
                <w:highlight w:val="none"/>
                <w:lang w:val="en-US" w:eastAsia="zh-CN"/>
              </w:rPr>
              <w:t>验收监测，监测计划如下：</w:t>
            </w:r>
          </w:p>
          <w:p>
            <w:pPr>
              <w:pStyle w:val="35"/>
              <w:keepNext w:val="0"/>
              <w:keepLines w:val="0"/>
              <w:pageBreakBefore w:val="0"/>
              <w:kinsoku/>
              <w:wordWrap/>
              <w:topLinePunct w:val="0"/>
              <w:bidi w:val="0"/>
              <w:spacing w:line="400" w:lineRule="exact"/>
              <w:textAlignment w:val="auto"/>
              <w:rPr>
                <w:rFonts w:hint="default"/>
                <w:color w:val="auto"/>
                <w:highlight w:val="none"/>
                <w:lang w:val="en-US" w:eastAsia="zh-CN"/>
              </w:rPr>
            </w:pPr>
            <w:r>
              <w:rPr>
                <w:rFonts w:hint="eastAsia"/>
                <w:color w:val="auto"/>
                <w:highlight w:val="none"/>
                <w:lang w:val="en-US" w:eastAsia="zh-CN"/>
              </w:rPr>
              <w:t>表5-1  运营期环境监测计划一览表</w:t>
            </w:r>
          </w:p>
          <w:tbl>
            <w:tblPr>
              <w:tblStyle w:val="24"/>
              <w:tblW w:w="737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9"/>
              <w:gridCol w:w="2100"/>
              <w:gridCol w:w="1238"/>
              <w:gridCol w:w="1038"/>
              <w:gridCol w:w="20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949"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监测项目</w:t>
                  </w:r>
                </w:p>
              </w:tc>
              <w:tc>
                <w:tcPr>
                  <w:tcW w:w="210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监测</w:t>
                  </w:r>
                  <w:r>
                    <w:rPr>
                      <w:rFonts w:hint="eastAsia" w:cs="Times New Roman" w:eastAsiaTheme="minorEastAsia"/>
                      <w:color w:val="auto"/>
                      <w:sz w:val="18"/>
                      <w:szCs w:val="18"/>
                      <w:highlight w:val="none"/>
                      <w:lang w:val="en-US" w:eastAsia="zh-CN"/>
                    </w:rPr>
                    <w:t>点位</w:t>
                  </w:r>
                </w:p>
              </w:tc>
              <w:tc>
                <w:tcPr>
                  <w:tcW w:w="123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监测参数</w:t>
                  </w:r>
                </w:p>
              </w:tc>
              <w:tc>
                <w:tcPr>
                  <w:tcW w:w="103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最低监测频率</w:t>
                  </w:r>
                </w:p>
              </w:tc>
              <w:tc>
                <w:tcPr>
                  <w:tcW w:w="205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949"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噪声</w:t>
                  </w:r>
                </w:p>
              </w:tc>
              <w:tc>
                <w:tcPr>
                  <w:tcW w:w="210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eastAsia"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pacing w:val="0"/>
                      <w:sz w:val="18"/>
                      <w:szCs w:val="18"/>
                      <w:highlight w:val="none"/>
                      <w:vertAlign w:val="baseline"/>
                      <w:lang w:val="en-US" w:eastAsia="zh-CN"/>
                    </w:rPr>
                    <w:t>易门铜业有限公司厂界四周</w:t>
                  </w:r>
                  <w:r>
                    <w:rPr>
                      <w:rFonts w:hint="eastAsia" w:cs="Times New Roman" w:eastAsiaTheme="minorEastAsia"/>
                      <w:color w:val="auto"/>
                      <w:spacing w:val="0"/>
                      <w:sz w:val="18"/>
                      <w:szCs w:val="18"/>
                      <w:highlight w:val="none"/>
                      <w:vertAlign w:val="baseline"/>
                      <w:lang w:val="en-US" w:eastAsia="zh-CN"/>
                    </w:rPr>
                    <w:t>（东、南、西、北侧）</w:t>
                  </w:r>
                  <w:r>
                    <w:rPr>
                      <w:rFonts w:hint="default" w:ascii="Times New Roman" w:hAnsi="Times New Roman" w:cs="Times New Roman" w:eastAsiaTheme="minorEastAsia"/>
                      <w:color w:val="auto"/>
                      <w:spacing w:val="0"/>
                      <w:sz w:val="18"/>
                      <w:szCs w:val="18"/>
                      <w:highlight w:val="none"/>
                      <w:vertAlign w:val="baseline"/>
                      <w:lang w:val="en-US" w:eastAsia="zh-CN"/>
                    </w:rPr>
                    <w:t>外1m，高度1m</w:t>
                  </w:r>
                </w:p>
              </w:tc>
              <w:tc>
                <w:tcPr>
                  <w:tcW w:w="123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pacing w:val="0"/>
                      <w:sz w:val="18"/>
                      <w:szCs w:val="18"/>
                      <w:highlight w:val="none"/>
                      <w:vertAlign w:val="baseline"/>
                      <w:lang w:val="en-US" w:eastAsia="zh-CN"/>
                    </w:rPr>
                    <w:t>等效连续A声级</w:t>
                  </w:r>
                </w:p>
              </w:tc>
              <w:tc>
                <w:tcPr>
                  <w:tcW w:w="103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pacing w:val="0"/>
                      <w:sz w:val="18"/>
                      <w:szCs w:val="18"/>
                      <w:highlight w:val="none"/>
                      <w:vertAlign w:val="baseline"/>
                      <w:lang w:val="en-US" w:eastAsia="zh-CN"/>
                    </w:rPr>
                    <w:t>1次/季度</w:t>
                  </w:r>
                </w:p>
              </w:tc>
              <w:tc>
                <w:tcPr>
                  <w:tcW w:w="205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《工业企业厂界环境噪声排放标准》（GB12348-2008）</w:t>
                  </w:r>
                  <w:r>
                    <w:rPr>
                      <w:rFonts w:hint="eastAsia" w:cs="Times New Roman" w:eastAsiaTheme="minorEastAsia"/>
                      <w:color w:val="auto"/>
                      <w:sz w:val="18"/>
                      <w:szCs w:val="18"/>
                      <w:highlight w:val="none"/>
                      <w:lang w:val="en-US" w:eastAsia="zh-CN"/>
                    </w:rPr>
                    <w:t>3</w:t>
                  </w:r>
                  <w:r>
                    <w:rPr>
                      <w:rFonts w:hint="default" w:ascii="Times New Roman" w:hAnsi="Times New Roman" w:cs="Times New Roman" w:eastAsiaTheme="minorEastAsia"/>
                      <w:color w:val="auto"/>
                      <w:sz w:val="18"/>
                      <w:szCs w:val="18"/>
                      <w:highlight w:val="none"/>
                      <w:lang w:val="en-US" w:eastAsia="zh-CN"/>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376" w:type="dxa"/>
                  <w:gridSpan w:val="5"/>
                  <w:tcBorders>
                    <w:tl2br w:val="nil"/>
                    <w:tr2bl w:val="nil"/>
                  </w:tcBorders>
                  <w:vAlign w:val="center"/>
                </w:tcPr>
                <w:p>
                  <w:pPr>
                    <w:pStyle w:val="34"/>
                    <w:bidi w:val="0"/>
                    <w:jc w:val="both"/>
                    <w:rPr>
                      <w:rFonts w:hint="default" w:ascii="Times New Roman" w:hAnsi="Times New Roman" w:cs="Times New Roman" w:eastAsiaTheme="minorEastAsia"/>
                      <w:color w:val="auto"/>
                      <w:szCs w:val="18"/>
                      <w:highlight w:val="none"/>
                      <w:lang w:val="en-US" w:eastAsia="zh-CN"/>
                    </w:rPr>
                  </w:pPr>
                  <w:r>
                    <w:rPr>
                      <w:rFonts w:hint="eastAsia"/>
                      <w:color w:val="auto"/>
                      <w:highlight w:val="none"/>
                      <w:lang w:val="en-US" w:eastAsia="zh-CN"/>
                    </w:rPr>
                    <w:t>备注：本项目不再单独制定噪声监测计划，按照全厂现有噪声监测计划进行监测。</w:t>
                  </w:r>
                </w:p>
              </w:tc>
            </w:tr>
          </w:tbl>
          <w:p>
            <w:pPr>
              <w:pStyle w:val="35"/>
              <w:keepNext w:val="0"/>
              <w:keepLines w:val="0"/>
              <w:pageBreakBefore w:val="0"/>
              <w:widowControl w:val="0"/>
              <w:kinsoku/>
              <w:wordWrap/>
              <w:overflowPunct/>
              <w:topLinePunct w:val="0"/>
              <w:autoSpaceDE/>
              <w:autoSpaceDN/>
              <w:bidi w:val="0"/>
              <w:adjustRightInd/>
              <w:snapToGrid/>
              <w:spacing w:before="157" w:beforeLines="50" w:line="400" w:lineRule="exact"/>
              <w:textAlignment w:val="auto"/>
              <w:rPr>
                <w:rFonts w:hint="default"/>
                <w:color w:val="auto"/>
                <w:highlight w:val="none"/>
                <w:lang w:val="en-US" w:eastAsia="zh-CN"/>
              </w:rPr>
            </w:pPr>
            <w:r>
              <w:rPr>
                <w:rFonts w:hint="eastAsia"/>
                <w:color w:val="auto"/>
                <w:highlight w:val="none"/>
                <w:lang w:val="en-US" w:eastAsia="zh-CN"/>
              </w:rPr>
              <w:t>表5-2  竣工环保验收监测一览表</w:t>
            </w:r>
          </w:p>
          <w:tbl>
            <w:tblPr>
              <w:tblStyle w:val="24"/>
              <w:tblW w:w="737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4"/>
              <w:gridCol w:w="1287"/>
              <w:gridCol w:w="1655"/>
              <w:gridCol w:w="1188"/>
              <w:gridCol w:w="22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98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监测项目</w:t>
                  </w:r>
                </w:p>
              </w:tc>
              <w:tc>
                <w:tcPr>
                  <w:tcW w:w="128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监测</w:t>
                  </w:r>
                  <w:r>
                    <w:rPr>
                      <w:rFonts w:hint="eastAsia" w:cs="Times New Roman" w:eastAsiaTheme="minorEastAsia"/>
                      <w:color w:val="auto"/>
                      <w:sz w:val="18"/>
                      <w:szCs w:val="18"/>
                      <w:highlight w:val="none"/>
                      <w:lang w:val="en-US" w:eastAsia="zh-CN"/>
                    </w:rPr>
                    <w:t>点位</w:t>
                  </w:r>
                </w:p>
              </w:tc>
              <w:tc>
                <w:tcPr>
                  <w:tcW w:w="1655"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监测参数</w:t>
                  </w:r>
                </w:p>
              </w:tc>
              <w:tc>
                <w:tcPr>
                  <w:tcW w:w="118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最低监测频率</w:t>
                  </w:r>
                </w:p>
              </w:tc>
              <w:tc>
                <w:tcPr>
                  <w:tcW w:w="226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98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噪声</w:t>
                  </w:r>
                </w:p>
              </w:tc>
              <w:tc>
                <w:tcPr>
                  <w:tcW w:w="128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eastAsia"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pacing w:val="0"/>
                      <w:sz w:val="18"/>
                      <w:szCs w:val="18"/>
                      <w:highlight w:val="none"/>
                      <w:vertAlign w:val="baseline"/>
                      <w:lang w:val="en-US" w:eastAsia="zh-CN"/>
                    </w:rPr>
                    <w:t>易门铜业有限公司厂界四周</w:t>
                  </w:r>
                  <w:r>
                    <w:rPr>
                      <w:rFonts w:hint="eastAsia" w:cs="Times New Roman" w:eastAsiaTheme="minorEastAsia"/>
                      <w:color w:val="auto"/>
                      <w:spacing w:val="0"/>
                      <w:sz w:val="18"/>
                      <w:szCs w:val="18"/>
                      <w:highlight w:val="none"/>
                      <w:vertAlign w:val="baseline"/>
                      <w:lang w:val="en-US" w:eastAsia="zh-CN"/>
                    </w:rPr>
                    <w:t>（东、南、西、北侧）</w:t>
                  </w:r>
                  <w:r>
                    <w:rPr>
                      <w:rFonts w:hint="default" w:ascii="Times New Roman" w:hAnsi="Times New Roman" w:cs="Times New Roman" w:eastAsiaTheme="minorEastAsia"/>
                      <w:color w:val="auto"/>
                      <w:spacing w:val="0"/>
                      <w:sz w:val="18"/>
                      <w:szCs w:val="18"/>
                      <w:highlight w:val="none"/>
                      <w:vertAlign w:val="baseline"/>
                      <w:lang w:val="en-US" w:eastAsia="zh-CN"/>
                    </w:rPr>
                    <w:t>外1m，高度1m</w:t>
                  </w:r>
                </w:p>
              </w:tc>
              <w:tc>
                <w:tcPr>
                  <w:tcW w:w="1655"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pacing w:val="0"/>
                      <w:sz w:val="18"/>
                      <w:szCs w:val="18"/>
                      <w:highlight w:val="none"/>
                      <w:vertAlign w:val="baseline"/>
                      <w:lang w:val="en-US" w:eastAsia="zh-CN"/>
                    </w:rPr>
                    <w:t>等效连续A声级</w:t>
                  </w:r>
                </w:p>
              </w:tc>
              <w:tc>
                <w:tcPr>
                  <w:tcW w:w="118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 xml:space="preserve">连续监测 </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2天，</w:t>
                  </w:r>
                  <w:r>
                    <w:rPr>
                      <w:rFonts w:hint="eastAsia" w:cs="Times New Roman" w:eastAsiaTheme="minorEastAsia"/>
                      <w:color w:val="auto"/>
                      <w:sz w:val="18"/>
                      <w:szCs w:val="18"/>
                      <w:highlight w:val="none"/>
                      <w:lang w:val="en-US" w:eastAsia="zh-CN"/>
                    </w:rPr>
                    <w:t>每天</w:t>
                  </w:r>
                  <w:r>
                    <w:rPr>
                      <w:rFonts w:hint="default" w:ascii="Times New Roman" w:hAnsi="Times New Roman" w:cs="Times New Roman" w:eastAsiaTheme="minorEastAsia"/>
                      <w:color w:val="auto"/>
                      <w:sz w:val="18"/>
                      <w:szCs w:val="18"/>
                      <w:highlight w:val="none"/>
                      <w:lang w:val="en-US" w:eastAsia="zh-CN"/>
                    </w:rPr>
                    <w:t>昼、夜各监测1次</w:t>
                  </w:r>
                </w:p>
              </w:tc>
              <w:tc>
                <w:tcPr>
                  <w:tcW w:w="226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《工业企业厂界环境噪声排放标准》（GB12348-2008）</w:t>
                  </w:r>
                  <w:r>
                    <w:rPr>
                      <w:rFonts w:hint="eastAsia" w:cs="Times New Roman" w:eastAsiaTheme="minorEastAsia"/>
                      <w:color w:val="auto"/>
                      <w:sz w:val="18"/>
                      <w:szCs w:val="18"/>
                      <w:highlight w:val="none"/>
                      <w:lang w:val="en-US" w:eastAsia="zh-CN"/>
                    </w:rPr>
                    <w:t>3</w:t>
                  </w:r>
                  <w:r>
                    <w:rPr>
                      <w:rFonts w:hint="default" w:ascii="Times New Roman" w:hAnsi="Times New Roman" w:cs="Times New Roman" w:eastAsiaTheme="minorEastAsia"/>
                      <w:color w:val="auto"/>
                      <w:sz w:val="18"/>
                      <w:szCs w:val="18"/>
                      <w:highlight w:val="none"/>
                      <w:lang w:val="en-US" w:eastAsia="zh-CN"/>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376" w:type="dxa"/>
                  <w:gridSpan w:val="5"/>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备注：本项目运营期不新增生活污水，生产废水产生量与现有项目相比变化不大（新增0.3m</w:t>
                  </w:r>
                  <w:r>
                    <w:rPr>
                      <w:rFonts w:hint="eastAsia" w:cs="Times New Roman" w:eastAsiaTheme="minorEastAsia"/>
                      <w:color w:val="auto"/>
                      <w:sz w:val="18"/>
                      <w:szCs w:val="18"/>
                      <w:highlight w:val="none"/>
                      <w:vertAlign w:val="superscript"/>
                      <w:lang w:val="en-US" w:eastAsia="zh-CN"/>
                    </w:rPr>
                    <w:t>3</w:t>
                  </w:r>
                  <w:r>
                    <w:rPr>
                      <w:rFonts w:hint="eastAsia" w:cs="Times New Roman" w:eastAsiaTheme="minorEastAsia"/>
                      <w:color w:val="auto"/>
                      <w:sz w:val="18"/>
                      <w:szCs w:val="18"/>
                      <w:highlight w:val="none"/>
                      <w:lang w:val="en-US" w:eastAsia="zh-CN"/>
                    </w:rPr>
                    <w:t>/d），废水水质基本相同，新增废水不会对生产废水深度水处理站出口水质造成冲击，因此，改建项目废水不纳入本次竣工环境保护验收监测。</w:t>
                  </w:r>
                </w:p>
              </w:tc>
            </w:tr>
          </w:tbl>
          <w:p>
            <w:pPr>
              <w:pStyle w:val="31"/>
              <w:keepNext w:val="0"/>
              <w:keepLines w:val="0"/>
              <w:pageBreakBefore w:val="0"/>
              <w:widowControl w:val="0"/>
              <w:kinsoku/>
              <w:wordWrap/>
              <w:overflowPunct/>
              <w:topLinePunct w:val="0"/>
              <w:autoSpaceDE w:val="0"/>
              <w:autoSpaceDN w:val="0"/>
              <w:bidi w:val="0"/>
              <w:adjustRightInd w:val="0"/>
              <w:snapToGrid/>
              <w:spacing w:beforeLines="0" w:line="400" w:lineRule="exact"/>
              <w:ind w:left="0" w:leftChars="0" w:firstLine="210" w:firstLineChars="100"/>
              <w:textAlignment w:val="auto"/>
              <w:rPr>
                <w:rFonts w:hint="eastAsia" w:ascii="黑体" w:hAnsi="黑体" w:eastAsia="黑体" w:cs="黑体"/>
                <w:color w:val="auto"/>
                <w:kern w:val="0"/>
                <w:sz w:val="21"/>
                <w:szCs w:val="21"/>
                <w:highlight w:val="none"/>
                <w:lang w:val="en-US" w:eastAsia="zh-CN" w:bidi="ar"/>
              </w:rPr>
            </w:pPr>
            <w:r>
              <w:rPr>
                <w:rFonts w:hint="eastAsia" w:ascii="黑体" w:hAnsi="黑体" w:eastAsia="黑体" w:cs="黑体"/>
                <w:color w:val="auto"/>
                <w:kern w:val="0"/>
                <w:sz w:val="21"/>
                <w:szCs w:val="21"/>
                <w:highlight w:val="none"/>
                <w:lang w:val="en-US" w:eastAsia="zh-CN" w:bidi="ar"/>
              </w:rPr>
              <w:t>4、环境保护竣工验收</w:t>
            </w:r>
          </w:p>
          <w:p>
            <w:pPr>
              <w:pStyle w:val="31"/>
              <w:keepNext w:val="0"/>
              <w:keepLines w:val="0"/>
              <w:pageBreakBefore w:val="0"/>
              <w:kinsoku/>
              <w:wordWrap/>
              <w:topLinePunct w:val="0"/>
              <w:bidi w:val="0"/>
              <w:spacing w:line="400" w:lineRule="exact"/>
              <w:ind w:firstLine="480"/>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根据《建设项目竣工环境保护验收暂行办法》国环规环评</w:t>
            </w:r>
            <w:r>
              <w:rPr>
                <w:rFonts w:hint="eastAsia" w:cs="Times New Roman"/>
                <w:color w:val="auto"/>
                <w:sz w:val="21"/>
                <w:szCs w:val="21"/>
                <w:highlight w:val="none"/>
                <w:lang w:val="en-US" w:eastAsia="zh-CN"/>
              </w:rPr>
              <w:t>〔2017〕4号</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2017</w:t>
            </w:r>
            <w:r>
              <w:rPr>
                <w:rFonts w:hint="eastAsia" w:ascii="Times New Roman" w:hAnsi="Times New Roman" w:eastAsia="宋体" w:cs="Times New Roman"/>
                <w:color w:val="auto"/>
                <w:sz w:val="21"/>
                <w:szCs w:val="21"/>
                <w:highlight w:val="none"/>
                <w:lang w:val="en-US" w:eastAsia="zh-CN"/>
              </w:rPr>
              <w:t>年</w:t>
            </w:r>
            <w:r>
              <w:rPr>
                <w:rFonts w:hint="default" w:ascii="Times New Roman" w:hAnsi="Times New Roman" w:eastAsia="宋体" w:cs="Times New Roman"/>
                <w:color w:val="auto"/>
                <w:sz w:val="21"/>
                <w:szCs w:val="21"/>
                <w:highlight w:val="none"/>
                <w:lang w:val="en-US" w:eastAsia="zh-CN"/>
              </w:rPr>
              <w:t>11</w:t>
            </w:r>
            <w:r>
              <w:rPr>
                <w:rFonts w:hint="eastAsia" w:ascii="Times New Roman" w:hAnsi="Times New Roman" w:eastAsia="宋体" w:cs="Times New Roman"/>
                <w:color w:val="auto"/>
                <w:sz w:val="21"/>
                <w:szCs w:val="21"/>
                <w:highlight w:val="none"/>
                <w:lang w:val="en-US" w:eastAsia="zh-CN"/>
              </w:rPr>
              <w:t>月</w:t>
            </w:r>
            <w:r>
              <w:rPr>
                <w:rFonts w:hint="default" w:ascii="Times New Roman" w:hAnsi="Times New Roman" w:eastAsia="宋体" w:cs="Times New Roman"/>
                <w:color w:val="auto"/>
                <w:sz w:val="21"/>
                <w:szCs w:val="21"/>
                <w:highlight w:val="none"/>
                <w:lang w:val="en-US" w:eastAsia="zh-CN"/>
              </w:rPr>
              <w:t>20</w:t>
            </w:r>
            <w:r>
              <w:rPr>
                <w:rFonts w:hint="eastAsia" w:ascii="Times New Roman" w:hAnsi="Times New Roman" w:eastAsia="宋体" w:cs="Times New Roman"/>
                <w:color w:val="auto"/>
                <w:sz w:val="21"/>
                <w:szCs w:val="21"/>
                <w:highlight w:val="none"/>
                <w:lang w:val="en-US" w:eastAsia="zh-CN"/>
              </w:rPr>
              <w:t xml:space="preserve">日起实施），建设单位是项目竣工环境保护验收的责任主体，应当按照本办法规定的程序和标准，组织对配套建设的环境保护设施进行验收，编制验收报告，公开相关信息，接受社会监督，确保项目需要配套建设的环境保护设施与主体工程同时投产或使用，并对验收内容、结论和所公开信息的真实性、准确性和完整性负责，不得在验收过程中弄虚作假。验收监测报告编制完成后，建设单位应当根据验收监测报告结论，逐一检查是否存在验收不合格的情形，提出验收意见。存在问题的，建设单位应当进行整改，整改完成后方可提出验收意见。 </w:t>
            </w:r>
          </w:p>
          <w:p>
            <w:pPr>
              <w:pStyle w:val="31"/>
              <w:keepNext w:val="0"/>
              <w:keepLines w:val="0"/>
              <w:pageBreakBefore w:val="0"/>
              <w:kinsoku/>
              <w:wordWrap/>
              <w:topLinePunct w:val="0"/>
              <w:bidi w:val="0"/>
              <w:spacing w:line="400" w:lineRule="exact"/>
              <w:ind w:firstLine="480"/>
              <w:textAlignment w:val="auto"/>
              <w:rPr>
                <w:rFonts w:hint="eastAsia"/>
                <w:color w:val="auto"/>
                <w:highlight w:val="none"/>
                <w:lang w:val="en-US" w:eastAsia="zh-CN"/>
              </w:rPr>
            </w:pPr>
            <w:r>
              <w:rPr>
                <w:rFonts w:hint="eastAsia" w:ascii="Times New Roman" w:hAnsi="Times New Roman" w:eastAsia="宋体" w:cs="Times New Roman"/>
                <w:color w:val="auto"/>
                <w:sz w:val="21"/>
                <w:szCs w:val="21"/>
                <w:highlight w:val="none"/>
                <w:lang w:val="en-US" w:eastAsia="zh-CN"/>
              </w:rPr>
              <w:t>建设项目配套建设的环境保护设施经验收合格后，其主体工程方可投入生产使用，未经验收或者验收不合格的，不得投入生产或使用。为了便于建设单位对本项目的环保验收，项目环境保护竣工验收“三同时”一览表如下：</w:t>
            </w:r>
          </w:p>
          <w:p>
            <w:pPr>
              <w:pStyle w:val="35"/>
              <w:keepNext w:val="0"/>
              <w:keepLines w:val="0"/>
              <w:pageBreakBefore w:val="0"/>
              <w:kinsoku/>
              <w:wordWrap/>
              <w:topLinePunct w:val="0"/>
              <w:bidi w:val="0"/>
              <w:spacing w:line="400" w:lineRule="exact"/>
              <w:textAlignment w:val="auto"/>
              <w:rPr>
                <w:rFonts w:hint="eastAsia"/>
                <w:color w:val="auto"/>
                <w:highlight w:val="none"/>
                <w:lang w:val="en-US" w:eastAsia="zh-CN"/>
              </w:rPr>
            </w:pPr>
            <w:r>
              <w:rPr>
                <w:rFonts w:hint="eastAsia"/>
                <w:color w:val="auto"/>
                <w:highlight w:val="none"/>
                <w:lang w:val="en-US" w:eastAsia="zh-CN"/>
              </w:rPr>
              <w:t>表5-3  环境保护竣工验收“三同时”一览表</w:t>
            </w:r>
          </w:p>
          <w:tbl>
            <w:tblPr>
              <w:tblStyle w:val="24"/>
              <w:tblW w:w="485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676"/>
              <w:gridCol w:w="2729"/>
              <w:gridCol w:w="229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438" w:type="pct"/>
                  <w:tcBorders>
                    <w:tl2br w:val="nil"/>
                    <w:tr2bl w:val="nil"/>
                  </w:tcBorders>
                  <w:noWrap w:val="0"/>
                  <w:vAlign w:val="center"/>
                </w:tcPr>
                <w:p>
                  <w:pPr>
                    <w:pStyle w:val="38"/>
                    <w:keepNext w:val="0"/>
                    <w:keepLines w:val="0"/>
                    <w:pageBreakBefore w:val="0"/>
                    <w:widowControl w:val="0"/>
                    <w:kinsoku/>
                    <w:wordWrap/>
                    <w:topLinePunct w:val="0"/>
                    <w:autoSpaceDE/>
                    <w:autoSpaceDN/>
                    <w:bidi w:val="0"/>
                    <w:snapToGrid/>
                    <w:spacing w:line="320" w:lineRule="exact"/>
                    <w:jc w:val="center"/>
                    <w:textAlignment w:val="auto"/>
                    <w:rPr>
                      <w:rFonts w:hint="default"/>
                      <w:color w:val="auto"/>
                      <w:highlight w:val="none"/>
                      <w:lang w:val="en-US" w:eastAsia="zh-CN"/>
                    </w:rPr>
                  </w:pPr>
                  <w:r>
                    <w:rPr>
                      <w:rFonts w:hint="eastAsia"/>
                      <w:color w:val="auto"/>
                      <w:highlight w:val="none"/>
                      <w:lang w:val="en-US" w:eastAsia="zh-CN"/>
                    </w:rPr>
                    <w:t>项目</w:t>
                  </w:r>
                </w:p>
              </w:tc>
              <w:tc>
                <w:tcPr>
                  <w:tcW w:w="1140" w:type="pct"/>
                  <w:tcBorders>
                    <w:tl2br w:val="nil"/>
                    <w:tr2bl w:val="nil"/>
                  </w:tcBorders>
                  <w:noWrap w:val="0"/>
                  <w:vAlign w:val="center"/>
                </w:tcPr>
                <w:p>
                  <w:pPr>
                    <w:pStyle w:val="38"/>
                    <w:keepNext w:val="0"/>
                    <w:keepLines w:val="0"/>
                    <w:pageBreakBefore w:val="0"/>
                    <w:widowControl w:val="0"/>
                    <w:kinsoku/>
                    <w:wordWrap/>
                    <w:topLinePunct w:val="0"/>
                    <w:autoSpaceDE/>
                    <w:autoSpaceDN/>
                    <w:bidi w:val="0"/>
                    <w:snapToGrid/>
                    <w:spacing w:line="320" w:lineRule="exact"/>
                    <w:jc w:val="center"/>
                    <w:textAlignment w:val="auto"/>
                    <w:rPr>
                      <w:rFonts w:hint="default"/>
                      <w:color w:val="auto"/>
                      <w:highlight w:val="none"/>
                      <w:lang w:val="en-US" w:eastAsia="zh-CN"/>
                    </w:rPr>
                  </w:pPr>
                  <w:r>
                    <w:rPr>
                      <w:rFonts w:hint="eastAsia"/>
                      <w:color w:val="auto"/>
                      <w:highlight w:val="none"/>
                      <w:lang w:val="en-US" w:eastAsia="zh-CN"/>
                    </w:rPr>
                    <w:t>处理对象</w:t>
                  </w:r>
                </w:p>
              </w:tc>
              <w:tc>
                <w:tcPr>
                  <w:tcW w:w="1856" w:type="pct"/>
                  <w:tcBorders>
                    <w:tl2br w:val="nil"/>
                    <w:tr2bl w:val="nil"/>
                  </w:tcBorders>
                  <w:noWrap w:val="0"/>
                  <w:vAlign w:val="center"/>
                </w:tcPr>
                <w:p>
                  <w:pPr>
                    <w:pStyle w:val="38"/>
                    <w:keepNext w:val="0"/>
                    <w:keepLines w:val="0"/>
                    <w:pageBreakBefore w:val="0"/>
                    <w:widowControl w:val="0"/>
                    <w:kinsoku/>
                    <w:wordWrap/>
                    <w:topLinePunct w:val="0"/>
                    <w:autoSpaceDE/>
                    <w:autoSpaceDN/>
                    <w:bidi w:val="0"/>
                    <w:snapToGrid/>
                    <w:spacing w:line="320" w:lineRule="exact"/>
                    <w:jc w:val="center"/>
                    <w:textAlignment w:val="auto"/>
                    <w:rPr>
                      <w:rFonts w:hint="default"/>
                      <w:color w:val="auto"/>
                      <w:highlight w:val="none"/>
                      <w:lang w:val="en-US" w:eastAsia="zh-CN"/>
                    </w:rPr>
                  </w:pPr>
                  <w:r>
                    <w:rPr>
                      <w:rFonts w:hint="eastAsia"/>
                      <w:color w:val="auto"/>
                      <w:highlight w:val="none"/>
                      <w:lang w:val="en-US" w:eastAsia="zh-CN"/>
                    </w:rPr>
                    <w:t>处理设施</w:t>
                  </w:r>
                </w:p>
              </w:tc>
              <w:tc>
                <w:tcPr>
                  <w:tcW w:w="1564" w:type="pct"/>
                  <w:tcBorders>
                    <w:tl2br w:val="nil"/>
                    <w:tr2bl w:val="nil"/>
                  </w:tcBorders>
                  <w:noWrap w:val="0"/>
                  <w:vAlign w:val="center"/>
                </w:tcPr>
                <w:p>
                  <w:pPr>
                    <w:pStyle w:val="38"/>
                    <w:keepNext w:val="0"/>
                    <w:keepLines w:val="0"/>
                    <w:pageBreakBefore w:val="0"/>
                    <w:widowControl w:val="0"/>
                    <w:kinsoku/>
                    <w:wordWrap/>
                    <w:topLinePunct w:val="0"/>
                    <w:autoSpaceDE/>
                    <w:autoSpaceDN/>
                    <w:bidi w:val="0"/>
                    <w:snapToGrid/>
                    <w:spacing w:line="320" w:lineRule="exact"/>
                    <w:jc w:val="center"/>
                    <w:textAlignment w:val="auto"/>
                    <w:rPr>
                      <w:rFonts w:hint="default"/>
                      <w:color w:val="auto"/>
                      <w:highlight w:val="none"/>
                      <w:lang w:val="en-US" w:eastAsia="zh-CN"/>
                    </w:rPr>
                  </w:pPr>
                  <w:r>
                    <w:rPr>
                      <w:rFonts w:hint="eastAsia"/>
                      <w:color w:val="auto"/>
                      <w:highlight w:val="none"/>
                      <w:lang w:val="en-US" w:eastAsia="zh-CN"/>
                    </w:rPr>
                    <w:t>验收要求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438" w:type="pct"/>
                  <w:vMerge w:val="restart"/>
                  <w:tcBorders>
                    <w:tl2br w:val="nil"/>
                    <w:tr2bl w:val="nil"/>
                  </w:tcBorders>
                  <w:noWrap w:val="0"/>
                  <w:vAlign w:val="center"/>
                </w:tcPr>
                <w:p>
                  <w:pPr>
                    <w:pStyle w:val="38"/>
                    <w:keepNext w:val="0"/>
                    <w:keepLines w:val="0"/>
                    <w:pageBreakBefore w:val="0"/>
                    <w:widowControl w:val="0"/>
                    <w:kinsoku/>
                    <w:wordWrap/>
                    <w:topLinePunct w:val="0"/>
                    <w:autoSpaceDE/>
                    <w:autoSpaceDN/>
                    <w:bidi w:val="0"/>
                    <w:snapToGrid/>
                    <w:spacing w:line="320" w:lineRule="exact"/>
                    <w:jc w:val="center"/>
                    <w:textAlignment w:val="auto"/>
                    <w:rPr>
                      <w:rFonts w:hint="default"/>
                      <w:color w:val="auto"/>
                      <w:highlight w:val="none"/>
                      <w:lang w:val="en-US" w:eastAsia="zh-CN"/>
                    </w:rPr>
                  </w:pPr>
                  <w:r>
                    <w:rPr>
                      <w:rFonts w:hint="eastAsia"/>
                      <w:color w:val="auto"/>
                      <w:highlight w:val="none"/>
                      <w:lang w:val="en-US" w:eastAsia="zh-CN"/>
                    </w:rPr>
                    <w:t>废水</w:t>
                  </w:r>
                </w:p>
              </w:tc>
              <w:tc>
                <w:tcPr>
                  <w:tcW w:w="1140" w:type="pct"/>
                  <w:tcBorders>
                    <w:tl2br w:val="nil"/>
                    <w:tr2bl w:val="nil"/>
                  </w:tcBorders>
                  <w:noWrap w:val="0"/>
                  <w:vAlign w:val="center"/>
                </w:tcPr>
                <w:p>
                  <w:pPr>
                    <w:pStyle w:val="38"/>
                    <w:keepNext w:val="0"/>
                    <w:keepLines w:val="0"/>
                    <w:pageBreakBefore w:val="0"/>
                    <w:widowControl w:val="0"/>
                    <w:kinsoku/>
                    <w:wordWrap/>
                    <w:topLinePunct w:val="0"/>
                    <w:autoSpaceDE/>
                    <w:autoSpaceDN/>
                    <w:bidi w:val="0"/>
                    <w:snapToGrid/>
                    <w:spacing w:line="320" w:lineRule="exact"/>
                    <w:jc w:val="center"/>
                    <w:textAlignment w:val="auto"/>
                    <w:rPr>
                      <w:rFonts w:hint="default"/>
                      <w:color w:val="auto"/>
                      <w:highlight w:val="none"/>
                      <w:lang w:val="en-US" w:eastAsia="zh-CN"/>
                    </w:rPr>
                  </w:pPr>
                  <w:r>
                    <w:rPr>
                      <w:rFonts w:hint="eastAsia"/>
                      <w:color w:val="auto"/>
                      <w:highlight w:val="none"/>
                      <w:lang w:val="en-US" w:eastAsia="zh-CN"/>
                    </w:rPr>
                    <w:t>生活污水</w:t>
                  </w:r>
                </w:p>
              </w:tc>
              <w:tc>
                <w:tcPr>
                  <w:tcW w:w="1856" w:type="pct"/>
                  <w:tcBorders>
                    <w:tl2br w:val="nil"/>
                    <w:tr2bl w:val="nil"/>
                  </w:tcBorders>
                  <w:noWrap w:val="0"/>
                  <w:vAlign w:val="center"/>
                </w:tcPr>
                <w:p>
                  <w:pPr>
                    <w:pStyle w:val="38"/>
                    <w:keepNext w:val="0"/>
                    <w:keepLines w:val="0"/>
                    <w:pageBreakBefore w:val="0"/>
                    <w:widowControl w:val="0"/>
                    <w:kinsoku/>
                    <w:wordWrap/>
                    <w:topLinePunct w:val="0"/>
                    <w:autoSpaceDE/>
                    <w:autoSpaceDN/>
                    <w:bidi w:val="0"/>
                    <w:snapToGrid/>
                    <w:spacing w:line="320" w:lineRule="exact"/>
                    <w:jc w:val="center"/>
                    <w:textAlignment w:val="auto"/>
                    <w:rPr>
                      <w:rFonts w:hint="eastAsia"/>
                      <w:color w:val="auto"/>
                      <w:highlight w:val="none"/>
                      <w:lang w:val="en-US" w:eastAsia="zh-CN"/>
                    </w:rPr>
                  </w:pPr>
                  <w:r>
                    <w:rPr>
                      <w:rFonts w:hint="eastAsia"/>
                      <w:color w:val="auto"/>
                      <w:highlight w:val="none"/>
                      <w:lang w:val="en-US" w:eastAsia="zh-CN"/>
                    </w:rPr>
                    <w:t>生活污水经收集后进入厂区生活污水处理站进行处理，处理达标后回用于绿化浇洒，不外排。</w:t>
                  </w:r>
                </w:p>
              </w:tc>
              <w:tc>
                <w:tcPr>
                  <w:tcW w:w="2299"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center"/>
                    <w:textAlignment w:val="auto"/>
                    <w:rPr>
                      <w:rFonts w:hint="eastAsia"/>
                      <w:color w:val="auto"/>
                      <w:highlight w:val="none"/>
                      <w:lang w:val="en-US" w:eastAsia="zh-CN"/>
                    </w:rPr>
                  </w:pPr>
                  <w:r>
                    <w:rPr>
                      <w:rFonts w:hint="default" w:ascii="Times New Roman" w:hAnsi="Times New Roman" w:cs="Times New Roman" w:eastAsiaTheme="minorEastAsia"/>
                      <w:color w:val="auto"/>
                      <w:sz w:val="18"/>
                      <w:szCs w:val="18"/>
                      <w:highlight w:val="none"/>
                      <w:lang w:val="en-US" w:eastAsia="zh-CN"/>
                    </w:rPr>
                    <w:t>《城市污水再生利用 城市杂用水水质》（GB/T18920-2020）表1“城市绿化、道路清扫、消防、建筑施工”限值要求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438" w:type="pct"/>
                  <w:vMerge w:val="continue"/>
                  <w:tcBorders>
                    <w:tl2br w:val="nil"/>
                    <w:tr2bl w:val="nil"/>
                  </w:tcBorders>
                  <w:noWrap w:val="0"/>
                  <w:vAlign w:val="center"/>
                </w:tcPr>
                <w:p>
                  <w:pPr>
                    <w:pStyle w:val="38"/>
                    <w:keepNext w:val="0"/>
                    <w:keepLines w:val="0"/>
                    <w:pageBreakBefore w:val="0"/>
                    <w:widowControl w:val="0"/>
                    <w:kinsoku/>
                    <w:wordWrap/>
                    <w:topLinePunct w:val="0"/>
                    <w:autoSpaceDE/>
                    <w:autoSpaceDN/>
                    <w:bidi w:val="0"/>
                    <w:snapToGrid/>
                    <w:spacing w:line="320" w:lineRule="exact"/>
                    <w:jc w:val="center"/>
                    <w:textAlignment w:val="auto"/>
                    <w:rPr>
                      <w:rFonts w:hint="eastAsia"/>
                      <w:color w:val="auto"/>
                      <w:highlight w:val="none"/>
                      <w:lang w:val="en-US" w:eastAsia="zh-CN"/>
                    </w:rPr>
                  </w:pPr>
                </w:p>
              </w:tc>
              <w:tc>
                <w:tcPr>
                  <w:tcW w:w="1140" w:type="pct"/>
                  <w:tcBorders>
                    <w:tl2br w:val="nil"/>
                    <w:tr2bl w:val="nil"/>
                  </w:tcBorders>
                  <w:noWrap w:val="0"/>
                  <w:vAlign w:val="center"/>
                </w:tcPr>
                <w:p>
                  <w:pPr>
                    <w:pStyle w:val="38"/>
                    <w:keepNext w:val="0"/>
                    <w:keepLines w:val="0"/>
                    <w:pageBreakBefore w:val="0"/>
                    <w:widowControl w:val="0"/>
                    <w:kinsoku/>
                    <w:wordWrap/>
                    <w:topLinePunct w:val="0"/>
                    <w:autoSpaceDE/>
                    <w:autoSpaceDN/>
                    <w:bidi w:val="0"/>
                    <w:snapToGrid/>
                    <w:spacing w:line="320" w:lineRule="exact"/>
                    <w:jc w:val="center"/>
                    <w:textAlignment w:val="auto"/>
                    <w:rPr>
                      <w:rFonts w:hint="default"/>
                      <w:color w:val="auto"/>
                      <w:highlight w:val="none"/>
                      <w:lang w:val="en-US" w:eastAsia="zh-CN"/>
                    </w:rPr>
                  </w:pPr>
                  <w:r>
                    <w:rPr>
                      <w:rFonts w:hint="eastAsia"/>
                      <w:color w:val="auto"/>
                      <w:highlight w:val="none"/>
                      <w:lang w:val="en-US" w:eastAsia="zh-CN"/>
                    </w:rPr>
                    <w:t>生产废水</w:t>
                  </w:r>
                </w:p>
              </w:tc>
              <w:tc>
                <w:tcPr>
                  <w:tcW w:w="1856" w:type="pct"/>
                  <w:tcBorders>
                    <w:tl2br w:val="nil"/>
                    <w:tr2bl w:val="nil"/>
                  </w:tcBorders>
                  <w:noWrap w:val="0"/>
                  <w:vAlign w:val="center"/>
                </w:tcPr>
                <w:p>
                  <w:pPr>
                    <w:pStyle w:val="38"/>
                    <w:keepNext w:val="0"/>
                    <w:keepLines w:val="0"/>
                    <w:pageBreakBefore w:val="0"/>
                    <w:widowControl w:val="0"/>
                    <w:kinsoku/>
                    <w:wordWrap/>
                    <w:topLinePunct w:val="0"/>
                    <w:autoSpaceDE/>
                    <w:autoSpaceDN/>
                    <w:bidi w:val="0"/>
                    <w:snapToGrid/>
                    <w:spacing w:line="320" w:lineRule="exact"/>
                    <w:jc w:val="center"/>
                    <w:textAlignment w:val="auto"/>
                    <w:rPr>
                      <w:rFonts w:hint="eastAsia"/>
                      <w:color w:val="auto"/>
                      <w:highlight w:val="none"/>
                      <w:lang w:val="en-US" w:eastAsia="zh-CN"/>
                    </w:rPr>
                  </w:pPr>
                  <w:r>
                    <w:rPr>
                      <w:rFonts w:hint="eastAsia"/>
                      <w:color w:val="auto"/>
                      <w:highlight w:val="none"/>
                      <w:lang w:val="en-US" w:eastAsia="zh-CN"/>
                    </w:rPr>
                    <w:t>循环冷却系统循环水池检修排污水经污水管道排入厂区生产废水深度水处理站处理达标后回用于易门铜业有限公司冶炼渣缓冷场，不外排。</w:t>
                  </w:r>
                </w:p>
              </w:tc>
              <w:tc>
                <w:tcPr>
                  <w:tcW w:w="2299"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center"/>
                    <w:textAlignment w:val="auto"/>
                    <w:rPr>
                      <w:rFonts w:hint="eastAsia"/>
                      <w:color w:val="auto"/>
                      <w:highlight w:val="none"/>
                      <w:lang w:val="en-US" w:eastAsia="zh-CN"/>
                    </w:rPr>
                  </w:pPr>
                  <w:r>
                    <w:rPr>
                      <w:rFonts w:hint="default" w:ascii="Times New Roman" w:hAnsi="Times New Roman" w:cs="Times New Roman" w:eastAsiaTheme="minorEastAsia"/>
                      <w:color w:val="auto"/>
                      <w:sz w:val="18"/>
                      <w:szCs w:val="18"/>
                      <w:highlight w:val="none"/>
                      <w:lang w:val="en-US" w:eastAsia="zh-CN"/>
                    </w:rPr>
                    <w:t>《城市污水再生利用 工业用水水质》（GB/T19923-2024）表1中“直流冷却水、洗涤用水”标准</w:t>
                  </w:r>
                  <w:r>
                    <w:rPr>
                      <w:rFonts w:hint="eastAsia" w:cs="Times New Roman" w:eastAsiaTheme="minorEastAsia"/>
                      <w:color w:val="auto"/>
                      <w:sz w:val="18"/>
                      <w:szCs w:val="18"/>
                      <w:highlight w:val="none"/>
                      <w:lang w:val="en-US" w:eastAsia="zh-CN"/>
                    </w:rPr>
                    <w:t>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38" w:type="pct"/>
                  <w:tcBorders>
                    <w:tl2br w:val="nil"/>
                    <w:tr2bl w:val="nil"/>
                  </w:tcBorders>
                  <w:noWrap w:val="0"/>
                  <w:vAlign w:val="center"/>
                </w:tcPr>
                <w:p>
                  <w:pPr>
                    <w:pStyle w:val="38"/>
                    <w:keepNext w:val="0"/>
                    <w:keepLines w:val="0"/>
                    <w:pageBreakBefore w:val="0"/>
                    <w:widowControl w:val="0"/>
                    <w:kinsoku/>
                    <w:wordWrap/>
                    <w:topLinePunct w:val="0"/>
                    <w:autoSpaceDE/>
                    <w:autoSpaceDN/>
                    <w:bidi w:val="0"/>
                    <w:snapToGrid/>
                    <w:spacing w:line="320" w:lineRule="exact"/>
                    <w:jc w:val="center"/>
                    <w:textAlignment w:val="auto"/>
                    <w:rPr>
                      <w:rFonts w:hint="default"/>
                      <w:color w:val="auto"/>
                      <w:highlight w:val="none"/>
                      <w:lang w:val="en-US" w:eastAsia="zh-CN"/>
                    </w:rPr>
                  </w:pPr>
                  <w:r>
                    <w:rPr>
                      <w:rFonts w:hint="eastAsia"/>
                      <w:color w:val="auto"/>
                      <w:highlight w:val="none"/>
                      <w:lang w:val="en-US" w:eastAsia="zh-CN"/>
                    </w:rPr>
                    <w:t>噪声</w:t>
                  </w:r>
                </w:p>
              </w:tc>
              <w:tc>
                <w:tcPr>
                  <w:tcW w:w="1140" w:type="pct"/>
                  <w:tcBorders>
                    <w:tl2br w:val="nil"/>
                    <w:tr2bl w:val="nil"/>
                  </w:tcBorders>
                  <w:noWrap w:val="0"/>
                  <w:vAlign w:val="center"/>
                </w:tcPr>
                <w:p>
                  <w:pPr>
                    <w:pStyle w:val="38"/>
                    <w:keepNext w:val="0"/>
                    <w:keepLines w:val="0"/>
                    <w:pageBreakBefore w:val="0"/>
                    <w:widowControl w:val="0"/>
                    <w:kinsoku/>
                    <w:wordWrap/>
                    <w:topLinePunct w:val="0"/>
                    <w:autoSpaceDE/>
                    <w:autoSpaceDN/>
                    <w:bidi w:val="0"/>
                    <w:snapToGrid/>
                    <w:spacing w:line="320" w:lineRule="exact"/>
                    <w:jc w:val="center"/>
                    <w:textAlignment w:val="auto"/>
                    <w:rPr>
                      <w:rFonts w:hint="default"/>
                      <w:color w:val="auto"/>
                      <w:highlight w:val="none"/>
                      <w:lang w:val="en-US" w:eastAsia="zh-CN"/>
                    </w:rPr>
                  </w:pPr>
                  <w:r>
                    <w:rPr>
                      <w:rFonts w:hint="default"/>
                      <w:color w:val="auto"/>
                      <w:highlight w:val="none"/>
                      <w:lang w:val="en-US" w:eastAsia="zh-CN"/>
                    </w:rPr>
                    <w:t>设备噪声</w:t>
                  </w:r>
                </w:p>
              </w:tc>
              <w:tc>
                <w:tcPr>
                  <w:tcW w:w="1856"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1、现有项目已采取的降噪措施：</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（1）选用低噪声设备、基础</w:t>
                  </w:r>
                  <w:r>
                    <w:rPr>
                      <w:rFonts w:hint="eastAsia" w:cs="Times New Roman"/>
                      <w:color w:val="auto"/>
                      <w:sz w:val="18"/>
                      <w:szCs w:val="18"/>
                      <w:highlight w:val="none"/>
                      <w:lang w:val="en-US" w:eastAsia="zh-CN"/>
                    </w:rPr>
                    <w:t>减振</w:t>
                  </w:r>
                  <w:r>
                    <w:rPr>
                      <w:rFonts w:hint="default" w:ascii="Times New Roman" w:hAnsi="Times New Roman" w:eastAsia="宋体" w:cs="Times New Roman"/>
                      <w:color w:val="auto"/>
                      <w:sz w:val="18"/>
                      <w:szCs w:val="18"/>
                      <w:highlight w:val="none"/>
                      <w:lang w:val="en-US" w:eastAsia="zh-CN"/>
                    </w:rPr>
                    <w:t>；（2）设置隔声门，加装隔声窗；（3）安装进风消声器及排风消声器；（4）设置隔声墙；</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（5）设备排放口安装排气放空消声器；</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2、本次改建项目拟新增的降噪措施：</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（1）在声源处抑制噪声</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尽量选用高效低噪设备；对于超过单机噪声允许标准的设备安装减震基础，布置在房间之内，利用墙壁隔声，同时采用阻尼材料，对机壳、风管、机罩等金属结构涂敷一层阻尼材料，抑制振动；对于小型噪声设备在进气口或排气口上设置消声器进行治理。选用较高级数的消声塔，主管道设置隔声层。</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（2）对声传播途径进行控制</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高噪声设备建在室内，加厚砖墙，安装隔声效果好的门窗，减少门窗的开启面积。对于强烈振动的设备、管道与基础、支架、建筑物及其他设备之间采用柔性连接或支撑等措施；新增消声器2台。</w:t>
                  </w:r>
                </w:p>
              </w:tc>
              <w:tc>
                <w:tcPr>
                  <w:tcW w:w="1564"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《工业企业厂界环境噪声排放标准》（GB12348-2008）</w:t>
                  </w:r>
                  <w:r>
                    <w:rPr>
                      <w:rFonts w:hint="eastAsia" w:cs="Times New Roman"/>
                      <w:color w:val="auto"/>
                      <w:sz w:val="18"/>
                      <w:szCs w:val="18"/>
                      <w:highlight w:val="none"/>
                      <w:lang w:val="en-US" w:eastAsia="zh-CN"/>
                    </w:rPr>
                    <w:t>3</w:t>
                  </w:r>
                  <w:r>
                    <w:rPr>
                      <w:rFonts w:hint="default" w:ascii="Times New Roman" w:hAnsi="Times New Roman" w:eastAsia="宋体" w:cs="Times New Roman"/>
                      <w:color w:val="auto"/>
                      <w:sz w:val="18"/>
                      <w:szCs w:val="18"/>
                      <w:highlight w:val="none"/>
                      <w:lang w:val="en-US" w:eastAsia="zh-CN"/>
                    </w:rPr>
                    <w:t>类区标准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438" w:type="pct"/>
                  <w:vMerge w:val="restart"/>
                  <w:tcBorders>
                    <w:tl2br w:val="nil"/>
                    <w:tr2bl w:val="nil"/>
                  </w:tcBorders>
                  <w:noWrap w:val="0"/>
                  <w:vAlign w:val="center"/>
                </w:tcPr>
                <w:p>
                  <w:pPr>
                    <w:pStyle w:val="38"/>
                    <w:keepNext w:val="0"/>
                    <w:keepLines w:val="0"/>
                    <w:pageBreakBefore w:val="0"/>
                    <w:widowControl w:val="0"/>
                    <w:kinsoku/>
                    <w:wordWrap/>
                    <w:topLinePunct w:val="0"/>
                    <w:autoSpaceDE/>
                    <w:autoSpaceDN/>
                    <w:bidi w:val="0"/>
                    <w:snapToGrid/>
                    <w:spacing w:line="320" w:lineRule="exact"/>
                    <w:jc w:val="center"/>
                    <w:textAlignment w:val="auto"/>
                    <w:rPr>
                      <w:rFonts w:hint="default"/>
                      <w:color w:val="auto"/>
                      <w:highlight w:val="none"/>
                      <w:lang w:val="en-US" w:eastAsia="zh-CN"/>
                    </w:rPr>
                  </w:pPr>
                  <w:r>
                    <w:rPr>
                      <w:rFonts w:hint="eastAsia"/>
                      <w:color w:val="auto"/>
                      <w:highlight w:val="none"/>
                      <w:lang w:val="en-US" w:eastAsia="zh-CN"/>
                    </w:rPr>
                    <w:t>固废</w:t>
                  </w:r>
                </w:p>
              </w:tc>
              <w:tc>
                <w:tcPr>
                  <w:tcW w:w="1140" w:type="pct"/>
                  <w:tcBorders>
                    <w:tl2br w:val="nil"/>
                    <w:tr2bl w:val="nil"/>
                  </w:tcBorders>
                  <w:shd w:val="clear" w:color="auto" w:fill="auto"/>
                  <w:noWrap w:val="0"/>
                  <w:vAlign w:val="center"/>
                </w:tcPr>
                <w:p>
                  <w:pPr>
                    <w:pStyle w:val="38"/>
                    <w:keepNext w:val="0"/>
                    <w:keepLines w:val="0"/>
                    <w:pageBreakBefore w:val="0"/>
                    <w:widowControl w:val="0"/>
                    <w:kinsoku/>
                    <w:wordWrap/>
                    <w:topLinePunct w:val="0"/>
                    <w:autoSpaceDE/>
                    <w:autoSpaceDN/>
                    <w:bidi w:val="0"/>
                    <w:snapToGrid/>
                    <w:spacing w:line="320" w:lineRule="exact"/>
                    <w:jc w:val="center"/>
                    <w:textAlignment w:val="auto"/>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生活垃圾</w:t>
                  </w:r>
                </w:p>
              </w:tc>
              <w:tc>
                <w:tcPr>
                  <w:tcW w:w="1856" w:type="pct"/>
                  <w:tcBorders>
                    <w:tl2br w:val="nil"/>
                    <w:tr2bl w:val="nil"/>
                  </w:tcBorders>
                  <w:shd w:val="clear" w:color="auto" w:fill="auto"/>
                  <w:noWrap w:val="0"/>
                  <w:vAlign w:val="center"/>
                </w:tcPr>
                <w:p>
                  <w:pPr>
                    <w:pStyle w:val="38"/>
                    <w:keepNext w:val="0"/>
                    <w:keepLines w:val="0"/>
                    <w:pageBreakBefore w:val="0"/>
                    <w:widowControl w:val="0"/>
                    <w:kinsoku/>
                    <w:wordWrap/>
                    <w:topLinePunct w:val="0"/>
                    <w:autoSpaceDE/>
                    <w:autoSpaceDN/>
                    <w:bidi w:val="0"/>
                    <w:snapToGrid/>
                    <w:spacing w:line="320" w:lineRule="exact"/>
                    <w:jc w:val="center"/>
                    <w:textAlignment w:val="auto"/>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集中收集后定期外运至</w:t>
                  </w:r>
                  <w:r>
                    <w:rPr>
                      <w:rFonts w:hint="eastAsia" w:ascii="Times New Roman" w:hAnsi="Times New Roman" w:eastAsia="宋体"/>
                      <w:color w:val="auto"/>
                      <w:highlight w:val="none"/>
                      <w:lang w:val="en-US" w:eastAsia="zh-CN"/>
                    </w:rPr>
                    <w:t>工业园区</w:t>
                  </w:r>
                  <w:r>
                    <w:rPr>
                      <w:rFonts w:hint="default" w:ascii="Times New Roman" w:hAnsi="Times New Roman" w:eastAsia="宋体"/>
                      <w:color w:val="auto"/>
                      <w:highlight w:val="none"/>
                      <w:lang w:val="en-US" w:eastAsia="zh-CN"/>
                    </w:rPr>
                    <w:t>生活垃圾集中收集点，由环卫部门集中处理</w:t>
                  </w:r>
                </w:p>
              </w:tc>
              <w:tc>
                <w:tcPr>
                  <w:tcW w:w="1564" w:type="pct"/>
                  <w:vMerge w:val="restart"/>
                  <w:tcBorders>
                    <w:tl2br w:val="nil"/>
                    <w:tr2bl w:val="nil"/>
                  </w:tcBorders>
                  <w:noWrap w:val="0"/>
                  <w:vAlign w:val="center"/>
                </w:tcPr>
                <w:p>
                  <w:pPr>
                    <w:pStyle w:val="38"/>
                    <w:keepNext w:val="0"/>
                    <w:keepLines w:val="0"/>
                    <w:pageBreakBefore w:val="0"/>
                    <w:widowControl w:val="0"/>
                    <w:kinsoku/>
                    <w:wordWrap/>
                    <w:topLinePunct w:val="0"/>
                    <w:autoSpaceDE/>
                    <w:autoSpaceDN/>
                    <w:bidi w:val="0"/>
                    <w:snapToGrid/>
                    <w:spacing w:line="320" w:lineRule="exact"/>
                    <w:jc w:val="center"/>
                    <w:textAlignment w:val="auto"/>
                    <w:rPr>
                      <w:rFonts w:hint="default"/>
                      <w:color w:val="auto"/>
                      <w:highlight w:val="none"/>
                      <w:lang w:val="en-US" w:eastAsia="zh-CN"/>
                    </w:rPr>
                  </w:pPr>
                  <w:r>
                    <w:rPr>
                      <w:rFonts w:hint="eastAsia"/>
                      <w:color w:val="auto"/>
                      <w:highlight w:val="none"/>
                      <w:lang w:val="en-US" w:eastAsia="zh-CN"/>
                    </w:rPr>
                    <w:t>固废</w:t>
                  </w:r>
                  <w:r>
                    <w:rPr>
                      <w:rFonts w:hint="default"/>
                      <w:color w:val="auto"/>
                      <w:highlight w:val="none"/>
                      <w:lang w:val="en-US" w:eastAsia="zh-CN"/>
                    </w:rPr>
                    <w:t>均得到妥善处置，处置率为100%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438" w:type="pct"/>
                  <w:vMerge w:val="continue"/>
                  <w:tcBorders>
                    <w:tl2br w:val="nil"/>
                    <w:tr2bl w:val="nil"/>
                  </w:tcBorders>
                  <w:noWrap w:val="0"/>
                  <w:vAlign w:val="center"/>
                </w:tcPr>
                <w:p>
                  <w:pPr>
                    <w:pStyle w:val="38"/>
                    <w:keepNext w:val="0"/>
                    <w:keepLines w:val="0"/>
                    <w:pageBreakBefore w:val="0"/>
                    <w:widowControl w:val="0"/>
                    <w:kinsoku/>
                    <w:wordWrap/>
                    <w:topLinePunct w:val="0"/>
                    <w:autoSpaceDE/>
                    <w:autoSpaceDN/>
                    <w:bidi w:val="0"/>
                    <w:snapToGrid/>
                    <w:spacing w:line="320" w:lineRule="exact"/>
                    <w:jc w:val="center"/>
                    <w:textAlignment w:val="auto"/>
                    <w:rPr>
                      <w:rFonts w:hint="eastAsia"/>
                      <w:color w:val="auto"/>
                      <w:highlight w:val="none"/>
                      <w:lang w:val="en-US" w:eastAsia="zh-CN"/>
                    </w:rPr>
                  </w:pPr>
                </w:p>
              </w:tc>
              <w:tc>
                <w:tcPr>
                  <w:tcW w:w="1140" w:type="pct"/>
                  <w:tcBorders>
                    <w:tl2br w:val="nil"/>
                    <w:tr2bl w:val="nil"/>
                  </w:tcBorders>
                  <w:shd w:val="clear" w:color="auto" w:fill="auto"/>
                  <w:noWrap w:val="0"/>
                  <w:vAlign w:val="center"/>
                </w:tcPr>
                <w:p>
                  <w:pPr>
                    <w:pStyle w:val="34"/>
                    <w:keepNext w:val="0"/>
                    <w:keepLines w:val="0"/>
                    <w:pageBreakBefore w:val="0"/>
                    <w:widowControl w:val="0"/>
                    <w:kinsoku/>
                    <w:wordWrap/>
                    <w:topLinePunct w:val="0"/>
                    <w:autoSpaceDE/>
                    <w:autoSpaceDN/>
                    <w:bidi w:val="0"/>
                    <w:snapToGrid/>
                    <w:spacing w:line="320" w:lineRule="exact"/>
                    <w:ind w:left="0" w:leftChars="0" w:firstLine="0" w:firstLineChars="0"/>
                    <w:jc w:val="center"/>
                    <w:textAlignment w:val="auto"/>
                    <w:rPr>
                      <w:rFonts w:hint="default" w:ascii="Times New Roman" w:hAnsi="Times New Roman" w:eastAsia="宋体" w:cstheme="minorBidi"/>
                      <w:color w:val="auto"/>
                      <w:kern w:val="2"/>
                      <w:sz w:val="18"/>
                      <w:szCs w:val="18"/>
                      <w:highlight w:val="none"/>
                      <w:lang w:val="en-US" w:eastAsia="zh-CN" w:bidi="ar-SA"/>
                    </w:rPr>
                  </w:pPr>
                  <w:r>
                    <w:rPr>
                      <w:rFonts w:hint="default"/>
                      <w:color w:val="auto"/>
                      <w:highlight w:val="none"/>
                    </w:rPr>
                    <w:t>废分子筛</w:t>
                  </w:r>
                </w:p>
              </w:tc>
              <w:tc>
                <w:tcPr>
                  <w:tcW w:w="1856" w:type="pct"/>
                  <w:tcBorders>
                    <w:tl2br w:val="nil"/>
                    <w:tr2bl w:val="nil"/>
                  </w:tcBorders>
                  <w:shd w:val="clear" w:color="auto" w:fill="auto"/>
                  <w:noWrap w:val="0"/>
                  <w:vAlign w:val="center"/>
                </w:tcPr>
                <w:p>
                  <w:pPr>
                    <w:pStyle w:val="38"/>
                    <w:keepNext w:val="0"/>
                    <w:keepLines w:val="0"/>
                    <w:pageBreakBefore w:val="0"/>
                    <w:widowControl w:val="0"/>
                    <w:kinsoku/>
                    <w:wordWrap/>
                    <w:topLinePunct w:val="0"/>
                    <w:autoSpaceDE/>
                    <w:autoSpaceDN/>
                    <w:bidi w:val="0"/>
                    <w:snapToGrid/>
                    <w:spacing w:line="320" w:lineRule="exact"/>
                    <w:jc w:val="center"/>
                    <w:textAlignment w:val="auto"/>
                    <w:rPr>
                      <w:rFonts w:hint="eastAsia" w:ascii="Times New Roman" w:hAnsi="Times New Roman" w:eastAsia="宋体"/>
                      <w:color w:val="auto"/>
                      <w:highlight w:val="none"/>
                      <w:lang w:val="en-US" w:eastAsia="zh-CN"/>
                    </w:rPr>
                  </w:pPr>
                  <w:r>
                    <w:rPr>
                      <w:rFonts w:hint="default"/>
                      <w:color w:val="auto"/>
                      <w:highlight w:val="none"/>
                    </w:rPr>
                    <w:t>由厂家</w:t>
                  </w:r>
                  <w:r>
                    <w:rPr>
                      <w:rFonts w:hint="eastAsia"/>
                      <w:color w:val="auto"/>
                      <w:highlight w:val="none"/>
                      <w:lang w:val="en-US" w:eastAsia="zh-CN"/>
                    </w:rPr>
                    <w:t>自行带走</w:t>
                  </w:r>
                  <w:r>
                    <w:rPr>
                      <w:rFonts w:hint="default"/>
                      <w:color w:val="auto"/>
                      <w:highlight w:val="none"/>
                    </w:rPr>
                    <w:t>处置</w:t>
                  </w:r>
                  <w:r>
                    <w:rPr>
                      <w:rFonts w:hint="eastAsia"/>
                      <w:color w:val="auto"/>
                      <w:highlight w:val="none"/>
                      <w:lang w:eastAsia="zh-CN"/>
                    </w:rPr>
                    <w:t>，</w:t>
                  </w:r>
                  <w:r>
                    <w:rPr>
                      <w:rFonts w:hint="eastAsia"/>
                      <w:color w:val="auto"/>
                      <w:highlight w:val="none"/>
                      <w:lang w:val="en-US" w:eastAsia="zh-CN"/>
                    </w:rPr>
                    <w:t>不在厂区内贮存</w:t>
                  </w:r>
                </w:p>
              </w:tc>
              <w:tc>
                <w:tcPr>
                  <w:tcW w:w="1564" w:type="pct"/>
                  <w:vMerge w:val="continue"/>
                  <w:tcBorders>
                    <w:tl2br w:val="nil"/>
                    <w:tr2bl w:val="nil"/>
                  </w:tcBorders>
                  <w:noWrap w:val="0"/>
                  <w:vAlign w:val="center"/>
                </w:tcPr>
                <w:p>
                  <w:pPr>
                    <w:pStyle w:val="38"/>
                    <w:keepNext w:val="0"/>
                    <w:keepLines w:val="0"/>
                    <w:pageBreakBefore w:val="0"/>
                    <w:widowControl w:val="0"/>
                    <w:kinsoku/>
                    <w:wordWrap/>
                    <w:topLinePunct w:val="0"/>
                    <w:autoSpaceDE/>
                    <w:autoSpaceDN/>
                    <w:bidi w:val="0"/>
                    <w:snapToGrid/>
                    <w:spacing w:line="320" w:lineRule="exact"/>
                    <w:jc w:val="center"/>
                    <w:textAlignment w:val="auto"/>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438" w:type="pct"/>
                  <w:vMerge w:val="continue"/>
                  <w:tcBorders>
                    <w:tl2br w:val="nil"/>
                    <w:tr2bl w:val="nil"/>
                  </w:tcBorders>
                  <w:noWrap w:val="0"/>
                  <w:vAlign w:val="center"/>
                </w:tcPr>
                <w:p>
                  <w:pPr>
                    <w:pStyle w:val="38"/>
                    <w:keepNext w:val="0"/>
                    <w:keepLines w:val="0"/>
                    <w:pageBreakBefore w:val="0"/>
                    <w:widowControl w:val="0"/>
                    <w:kinsoku/>
                    <w:wordWrap/>
                    <w:topLinePunct w:val="0"/>
                    <w:autoSpaceDE/>
                    <w:autoSpaceDN/>
                    <w:bidi w:val="0"/>
                    <w:snapToGrid/>
                    <w:spacing w:line="320" w:lineRule="exact"/>
                    <w:jc w:val="center"/>
                    <w:textAlignment w:val="auto"/>
                    <w:rPr>
                      <w:rFonts w:hint="default"/>
                      <w:color w:val="auto"/>
                      <w:highlight w:val="none"/>
                      <w:lang w:val="en-US" w:eastAsia="zh-CN"/>
                    </w:rPr>
                  </w:pPr>
                </w:p>
              </w:tc>
              <w:tc>
                <w:tcPr>
                  <w:tcW w:w="1140" w:type="pct"/>
                  <w:tcBorders>
                    <w:tl2br w:val="nil"/>
                    <w:tr2bl w:val="nil"/>
                  </w:tcBorders>
                  <w:shd w:val="clear" w:color="auto" w:fill="auto"/>
                  <w:noWrap w:val="0"/>
                  <w:vAlign w:val="center"/>
                </w:tcPr>
                <w:p>
                  <w:pPr>
                    <w:pStyle w:val="34"/>
                    <w:keepNext w:val="0"/>
                    <w:keepLines w:val="0"/>
                    <w:pageBreakBefore w:val="0"/>
                    <w:widowControl w:val="0"/>
                    <w:kinsoku/>
                    <w:wordWrap/>
                    <w:topLinePunct w:val="0"/>
                    <w:autoSpaceDE/>
                    <w:autoSpaceDN/>
                    <w:bidi w:val="0"/>
                    <w:snapToGrid/>
                    <w:spacing w:line="320" w:lineRule="exact"/>
                    <w:ind w:left="0" w:leftChars="0" w:firstLine="0" w:firstLineChars="0"/>
                    <w:jc w:val="center"/>
                    <w:textAlignment w:val="auto"/>
                    <w:rPr>
                      <w:rFonts w:hint="default" w:ascii="Times New Roman" w:hAnsi="Times New Roman" w:eastAsia="宋体" w:cstheme="minorBidi"/>
                      <w:color w:val="auto"/>
                      <w:kern w:val="2"/>
                      <w:sz w:val="18"/>
                      <w:szCs w:val="18"/>
                      <w:highlight w:val="none"/>
                      <w:lang w:val="en-US" w:eastAsia="zh-CN" w:bidi="ar-SA"/>
                    </w:rPr>
                  </w:pPr>
                  <w:r>
                    <w:rPr>
                      <w:rFonts w:hint="eastAsia"/>
                      <w:color w:val="auto"/>
                      <w:highlight w:val="none"/>
                      <w:lang w:val="en-US" w:eastAsia="zh-CN"/>
                    </w:rPr>
                    <w:t>废氧化铝</w:t>
                  </w:r>
                </w:p>
              </w:tc>
              <w:tc>
                <w:tcPr>
                  <w:tcW w:w="1856" w:type="pct"/>
                  <w:tcBorders>
                    <w:tl2br w:val="nil"/>
                    <w:tr2bl w:val="nil"/>
                  </w:tcBorders>
                  <w:shd w:val="clear" w:color="auto" w:fill="auto"/>
                  <w:noWrap w:val="0"/>
                  <w:vAlign w:val="center"/>
                </w:tcPr>
                <w:p>
                  <w:pPr>
                    <w:pStyle w:val="38"/>
                    <w:keepNext w:val="0"/>
                    <w:keepLines w:val="0"/>
                    <w:pageBreakBefore w:val="0"/>
                    <w:widowControl w:val="0"/>
                    <w:kinsoku/>
                    <w:wordWrap/>
                    <w:topLinePunct w:val="0"/>
                    <w:autoSpaceDE/>
                    <w:autoSpaceDN/>
                    <w:bidi w:val="0"/>
                    <w:snapToGrid/>
                    <w:spacing w:line="320" w:lineRule="exact"/>
                    <w:jc w:val="center"/>
                    <w:textAlignment w:val="auto"/>
                    <w:rPr>
                      <w:rFonts w:hint="default" w:ascii="Times New Roman" w:hAnsi="Times New Roman" w:eastAsia="宋体"/>
                      <w:color w:val="auto"/>
                      <w:highlight w:val="none"/>
                      <w:lang w:val="en-US" w:eastAsia="zh-CN"/>
                    </w:rPr>
                  </w:pPr>
                  <w:r>
                    <w:rPr>
                      <w:rFonts w:hint="default"/>
                      <w:color w:val="auto"/>
                      <w:highlight w:val="none"/>
                    </w:rPr>
                    <w:t>由厂家</w:t>
                  </w:r>
                  <w:r>
                    <w:rPr>
                      <w:rFonts w:hint="eastAsia"/>
                      <w:color w:val="auto"/>
                      <w:highlight w:val="none"/>
                      <w:lang w:val="en-US" w:eastAsia="zh-CN"/>
                    </w:rPr>
                    <w:t>自行带走</w:t>
                  </w:r>
                  <w:r>
                    <w:rPr>
                      <w:rFonts w:hint="default"/>
                      <w:color w:val="auto"/>
                      <w:highlight w:val="none"/>
                    </w:rPr>
                    <w:t>处置</w:t>
                  </w:r>
                  <w:r>
                    <w:rPr>
                      <w:rFonts w:hint="eastAsia"/>
                      <w:color w:val="auto"/>
                      <w:highlight w:val="none"/>
                      <w:lang w:eastAsia="zh-CN"/>
                    </w:rPr>
                    <w:t>，</w:t>
                  </w:r>
                  <w:r>
                    <w:rPr>
                      <w:rFonts w:hint="eastAsia"/>
                      <w:color w:val="auto"/>
                      <w:highlight w:val="none"/>
                      <w:lang w:val="en-US" w:eastAsia="zh-CN"/>
                    </w:rPr>
                    <w:t>不在厂区内贮存</w:t>
                  </w:r>
                </w:p>
              </w:tc>
              <w:tc>
                <w:tcPr>
                  <w:tcW w:w="1564" w:type="pct"/>
                  <w:vMerge w:val="continue"/>
                  <w:tcBorders>
                    <w:tl2br w:val="nil"/>
                    <w:tr2bl w:val="nil"/>
                  </w:tcBorders>
                  <w:noWrap w:val="0"/>
                  <w:vAlign w:val="center"/>
                </w:tcPr>
                <w:p>
                  <w:pPr>
                    <w:pStyle w:val="38"/>
                    <w:keepNext w:val="0"/>
                    <w:keepLines w:val="0"/>
                    <w:pageBreakBefore w:val="0"/>
                    <w:widowControl w:val="0"/>
                    <w:kinsoku/>
                    <w:wordWrap/>
                    <w:topLinePunct w:val="0"/>
                    <w:autoSpaceDE/>
                    <w:autoSpaceDN/>
                    <w:bidi w:val="0"/>
                    <w:snapToGrid/>
                    <w:spacing w:line="320" w:lineRule="exact"/>
                    <w:jc w:val="center"/>
                    <w:textAlignment w:val="auto"/>
                    <w:rPr>
                      <w:rFonts w:hint="default"/>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38" w:type="pct"/>
                  <w:vMerge w:val="continue"/>
                  <w:tcBorders>
                    <w:tl2br w:val="nil"/>
                    <w:tr2bl w:val="nil"/>
                  </w:tcBorders>
                  <w:noWrap w:val="0"/>
                  <w:vAlign w:val="center"/>
                </w:tcPr>
                <w:p>
                  <w:pPr>
                    <w:pStyle w:val="38"/>
                    <w:keepNext w:val="0"/>
                    <w:keepLines w:val="0"/>
                    <w:pageBreakBefore w:val="0"/>
                    <w:widowControl w:val="0"/>
                    <w:kinsoku/>
                    <w:wordWrap/>
                    <w:topLinePunct w:val="0"/>
                    <w:autoSpaceDE/>
                    <w:autoSpaceDN/>
                    <w:bidi w:val="0"/>
                    <w:snapToGrid/>
                    <w:spacing w:line="320" w:lineRule="exact"/>
                    <w:jc w:val="center"/>
                    <w:textAlignment w:val="auto"/>
                    <w:rPr>
                      <w:rFonts w:hint="default"/>
                      <w:color w:val="auto"/>
                      <w:highlight w:val="none"/>
                      <w:lang w:val="en-US" w:eastAsia="zh-CN"/>
                    </w:rPr>
                  </w:pPr>
                </w:p>
              </w:tc>
              <w:tc>
                <w:tcPr>
                  <w:tcW w:w="1140" w:type="pct"/>
                  <w:tcBorders>
                    <w:tl2br w:val="nil"/>
                    <w:tr2bl w:val="nil"/>
                  </w:tcBorders>
                  <w:shd w:val="clear" w:color="auto" w:fill="auto"/>
                  <w:noWrap w:val="0"/>
                  <w:vAlign w:val="center"/>
                </w:tcPr>
                <w:p>
                  <w:pPr>
                    <w:pStyle w:val="34"/>
                    <w:keepNext w:val="0"/>
                    <w:keepLines w:val="0"/>
                    <w:pageBreakBefore w:val="0"/>
                    <w:widowControl w:val="0"/>
                    <w:kinsoku/>
                    <w:wordWrap/>
                    <w:topLinePunct w:val="0"/>
                    <w:autoSpaceDE/>
                    <w:autoSpaceDN/>
                    <w:bidi w:val="0"/>
                    <w:snapToGrid/>
                    <w:spacing w:line="320" w:lineRule="exact"/>
                    <w:ind w:left="0" w:leftChars="0" w:firstLine="0" w:firstLineChars="0"/>
                    <w:jc w:val="center"/>
                    <w:textAlignment w:val="auto"/>
                    <w:rPr>
                      <w:rFonts w:hint="default" w:ascii="Times New Roman" w:hAnsi="Times New Roman" w:eastAsia="宋体" w:cstheme="minorBidi"/>
                      <w:color w:val="auto"/>
                      <w:kern w:val="2"/>
                      <w:sz w:val="18"/>
                      <w:szCs w:val="18"/>
                      <w:highlight w:val="none"/>
                      <w:lang w:val="en-US" w:eastAsia="zh-CN" w:bidi="ar-SA"/>
                    </w:rPr>
                  </w:pPr>
                  <w:r>
                    <w:rPr>
                      <w:rFonts w:hint="eastAsia"/>
                      <w:color w:val="auto"/>
                      <w:highlight w:val="none"/>
                      <w:lang w:val="en-US" w:eastAsia="zh-CN"/>
                    </w:rPr>
                    <w:t>废滤芯</w:t>
                  </w:r>
                </w:p>
              </w:tc>
              <w:tc>
                <w:tcPr>
                  <w:tcW w:w="1856" w:type="pct"/>
                  <w:tcBorders>
                    <w:tl2br w:val="nil"/>
                    <w:tr2bl w:val="nil"/>
                  </w:tcBorders>
                  <w:shd w:val="clear" w:color="auto" w:fill="auto"/>
                  <w:noWrap w:val="0"/>
                  <w:vAlign w:val="center"/>
                </w:tcPr>
                <w:p>
                  <w:pPr>
                    <w:pStyle w:val="38"/>
                    <w:keepNext w:val="0"/>
                    <w:keepLines w:val="0"/>
                    <w:pageBreakBefore w:val="0"/>
                    <w:widowControl w:val="0"/>
                    <w:kinsoku/>
                    <w:wordWrap/>
                    <w:topLinePunct w:val="0"/>
                    <w:autoSpaceDE/>
                    <w:autoSpaceDN/>
                    <w:bidi w:val="0"/>
                    <w:snapToGrid/>
                    <w:spacing w:line="320" w:lineRule="exact"/>
                    <w:jc w:val="center"/>
                    <w:textAlignment w:val="auto"/>
                    <w:rPr>
                      <w:rFonts w:hint="default" w:ascii="Times New Roman" w:hAnsi="Times New Roman" w:eastAsia="宋体"/>
                      <w:color w:val="auto"/>
                      <w:highlight w:val="none"/>
                      <w:lang w:val="en-US" w:eastAsia="zh-CN"/>
                    </w:rPr>
                  </w:pPr>
                  <w:r>
                    <w:rPr>
                      <w:rFonts w:hint="default"/>
                      <w:color w:val="auto"/>
                      <w:highlight w:val="none"/>
                    </w:rPr>
                    <w:t>由厂家</w:t>
                  </w:r>
                  <w:r>
                    <w:rPr>
                      <w:rFonts w:hint="eastAsia"/>
                      <w:color w:val="auto"/>
                      <w:highlight w:val="none"/>
                      <w:lang w:val="en-US" w:eastAsia="zh-CN"/>
                    </w:rPr>
                    <w:t>自行带走</w:t>
                  </w:r>
                  <w:r>
                    <w:rPr>
                      <w:rFonts w:hint="default"/>
                      <w:color w:val="auto"/>
                      <w:highlight w:val="none"/>
                    </w:rPr>
                    <w:t>处置</w:t>
                  </w:r>
                  <w:r>
                    <w:rPr>
                      <w:rFonts w:hint="eastAsia"/>
                      <w:color w:val="auto"/>
                      <w:highlight w:val="none"/>
                      <w:lang w:eastAsia="zh-CN"/>
                    </w:rPr>
                    <w:t>，</w:t>
                  </w:r>
                  <w:r>
                    <w:rPr>
                      <w:rFonts w:hint="eastAsia"/>
                      <w:color w:val="auto"/>
                      <w:highlight w:val="none"/>
                      <w:lang w:val="en-US" w:eastAsia="zh-CN"/>
                    </w:rPr>
                    <w:t>不在厂区内贮存</w:t>
                  </w:r>
                </w:p>
              </w:tc>
              <w:tc>
                <w:tcPr>
                  <w:tcW w:w="1564" w:type="pct"/>
                  <w:vMerge w:val="continue"/>
                  <w:tcBorders>
                    <w:tl2br w:val="nil"/>
                    <w:tr2bl w:val="nil"/>
                  </w:tcBorders>
                  <w:noWrap w:val="0"/>
                  <w:vAlign w:val="center"/>
                </w:tcPr>
                <w:p>
                  <w:pPr>
                    <w:pStyle w:val="38"/>
                    <w:keepNext w:val="0"/>
                    <w:keepLines w:val="0"/>
                    <w:pageBreakBefore w:val="0"/>
                    <w:widowControl w:val="0"/>
                    <w:kinsoku/>
                    <w:wordWrap/>
                    <w:topLinePunct w:val="0"/>
                    <w:autoSpaceDE/>
                    <w:autoSpaceDN/>
                    <w:bidi w:val="0"/>
                    <w:snapToGrid/>
                    <w:spacing w:line="320" w:lineRule="exact"/>
                    <w:jc w:val="center"/>
                    <w:textAlignment w:val="auto"/>
                    <w:rPr>
                      <w:rFonts w:hint="default"/>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tcBorders>
                    <w:tl2br w:val="nil"/>
                    <w:tr2bl w:val="nil"/>
                  </w:tcBorders>
                  <w:noWrap w:val="0"/>
                  <w:vAlign w:val="center"/>
                </w:tcPr>
                <w:p>
                  <w:pPr>
                    <w:pStyle w:val="38"/>
                    <w:keepNext w:val="0"/>
                    <w:keepLines w:val="0"/>
                    <w:pageBreakBefore w:val="0"/>
                    <w:widowControl w:val="0"/>
                    <w:kinsoku/>
                    <w:wordWrap/>
                    <w:topLinePunct w:val="0"/>
                    <w:autoSpaceDE/>
                    <w:autoSpaceDN/>
                    <w:bidi w:val="0"/>
                    <w:snapToGrid/>
                    <w:spacing w:line="320" w:lineRule="exact"/>
                    <w:jc w:val="center"/>
                    <w:textAlignment w:val="auto"/>
                    <w:rPr>
                      <w:rFonts w:hint="default"/>
                      <w:color w:val="auto"/>
                      <w:highlight w:val="none"/>
                      <w:lang w:val="en-US" w:eastAsia="zh-CN"/>
                    </w:rPr>
                  </w:pPr>
                </w:p>
              </w:tc>
              <w:tc>
                <w:tcPr>
                  <w:tcW w:w="1140" w:type="pct"/>
                  <w:tcBorders>
                    <w:tl2br w:val="nil"/>
                    <w:tr2bl w:val="nil"/>
                  </w:tcBorders>
                  <w:shd w:val="clear" w:color="auto" w:fill="auto"/>
                  <w:noWrap w:val="0"/>
                  <w:vAlign w:val="center"/>
                </w:tcPr>
                <w:p>
                  <w:pPr>
                    <w:pStyle w:val="38"/>
                    <w:keepNext w:val="0"/>
                    <w:keepLines w:val="0"/>
                    <w:pageBreakBefore w:val="0"/>
                    <w:widowControl w:val="0"/>
                    <w:kinsoku/>
                    <w:wordWrap/>
                    <w:topLinePunct w:val="0"/>
                    <w:autoSpaceDE/>
                    <w:autoSpaceDN/>
                    <w:bidi w:val="0"/>
                    <w:snapToGrid/>
                    <w:spacing w:line="320" w:lineRule="exact"/>
                    <w:jc w:val="center"/>
                    <w:textAlignment w:val="auto"/>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废润滑油</w:t>
                  </w:r>
                </w:p>
              </w:tc>
              <w:tc>
                <w:tcPr>
                  <w:tcW w:w="1856" w:type="pct"/>
                  <w:vMerge w:val="restart"/>
                  <w:tcBorders>
                    <w:tl2br w:val="nil"/>
                    <w:tr2bl w:val="nil"/>
                  </w:tcBorders>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依托易门铜业有限公司已建</w:t>
                  </w:r>
                  <w:r>
                    <w:rPr>
                      <w:rFonts w:hint="eastAsia" w:cs="Times New Roman"/>
                      <w:color w:val="auto"/>
                      <w:sz w:val="18"/>
                      <w:szCs w:val="18"/>
                      <w:highlight w:val="none"/>
                      <w:lang w:val="en-US" w:eastAsia="zh-CN"/>
                    </w:rPr>
                    <w:t>危险废物贮存库</w:t>
                  </w:r>
                  <w:r>
                    <w:rPr>
                      <w:rFonts w:hint="default" w:ascii="Times New Roman" w:hAnsi="Times New Roman" w:eastAsia="宋体" w:cs="Times New Roman"/>
                      <w:color w:val="auto"/>
                      <w:sz w:val="18"/>
                      <w:szCs w:val="18"/>
                      <w:highlight w:val="none"/>
                      <w:lang w:val="en-US" w:eastAsia="zh-CN"/>
                    </w:rPr>
                    <w:t>进行暂存，然后委托云南广莱再生资源回收有限公司定期进行清运处置</w:t>
                  </w:r>
                </w:p>
              </w:tc>
              <w:tc>
                <w:tcPr>
                  <w:tcW w:w="1564" w:type="pct"/>
                  <w:vMerge w:val="continue"/>
                  <w:tcBorders>
                    <w:tl2br w:val="nil"/>
                    <w:tr2bl w:val="nil"/>
                  </w:tcBorders>
                  <w:noWrap w:val="0"/>
                  <w:vAlign w:val="center"/>
                </w:tcPr>
                <w:p>
                  <w:pPr>
                    <w:pStyle w:val="38"/>
                    <w:keepNext w:val="0"/>
                    <w:keepLines w:val="0"/>
                    <w:pageBreakBefore w:val="0"/>
                    <w:widowControl w:val="0"/>
                    <w:kinsoku/>
                    <w:wordWrap/>
                    <w:topLinePunct w:val="0"/>
                    <w:autoSpaceDE/>
                    <w:autoSpaceDN/>
                    <w:bidi w:val="0"/>
                    <w:snapToGrid/>
                    <w:spacing w:line="320" w:lineRule="exact"/>
                    <w:jc w:val="center"/>
                    <w:textAlignment w:val="auto"/>
                    <w:rPr>
                      <w:rFonts w:hint="default"/>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tcBorders>
                    <w:tl2br w:val="nil"/>
                    <w:tr2bl w:val="nil"/>
                  </w:tcBorders>
                  <w:noWrap w:val="0"/>
                  <w:vAlign w:val="center"/>
                </w:tcPr>
                <w:p>
                  <w:pPr>
                    <w:pStyle w:val="38"/>
                    <w:keepNext w:val="0"/>
                    <w:keepLines w:val="0"/>
                    <w:pageBreakBefore w:val="0"/>
                    <w:widowControl w:val="0"/>
                    <w:kinsoku/>
                    <w:wordWrap/>
                    <w:topLinePunct w:val="0"/>
                    <w:autoSpaceDE/>
                    <w:autoSpaceDN/>
                    <w:bidi w:val="0"/>
                    <w:snapToGrid/>
                    <w:spacing w:line="320" w:lineRule="exact"/>
                    <w:jc w:val="center"/>
                    <w:textAlignment w:val="auto"/>
                    <w:rPr>
                      <w:rFonts w:hint="default"/>
                      <w:color w:val="auto"/>
                      <w:highlight w:val="none"/>
                      <w:lang w:val="en-US" w:eastAsia="zh-CN"/>
                    </w:rPr>
                  </w:pPr>
                </w:p>
              </w:tc>
              <w:tc>
                <w:tcPr>
                  <w:tcW w:w="1140" w:type="pct"/>
                  <w:tcBorders>
                    <w:tl2br w:val="nil"/>
                    <w:tr2bl w:val="nil"/>
                  </w:tcBorders>
                  <w:shd w:val="clear" w:color="auto" w:fill="auto"/>
                  <w:noWrap w:val="0"/>
                  <w:vAlign w:val="center"/>
                </w:tcPr>
                <w:p>
                  <w:pPr>
                    <w:pStyle w:val="38"/>
                    <w:keepNext w:val="0"/>
                    <w:keepLines w:val="0"/>
                    <w:pageBreakBefore w:val="0"/>
                    <w:widowControl w:val="0"/>
                    <w:kinsoku/>
                    <w:wordWrap/>
                    <w:topLinePunct w:val="0"/>
                    <w:autoSpaceDE/>
                    <w:autoSpaceDN/>
                    <w:bidi w:val="0"/>
                    <w:snapToGrid/>
                    <w:spacing w:line="320" w:lineRule="exact"/>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废油桶</w:t>
                  </w:r>
                </w:p>
              </w:tc>
              <w:tc>
                <w:tcPr>
                  <w:tcW w:w="1856" w:type="pct"/>
                  <w:vMerge w:val="continue"/>
                  <w:tcBorders>
                    <w:tl2br w:val="nil"/>
                    <w:tr2bl w:val="nil"/>
                  </w:tcBorders>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1564" w:type="pct"/>
                  <w:vMerge w:val="continue"/>
                  <w:tcBorders>
                    <w:tl2br w:val="nil"/>
                    <w:tr2bl w:val="nil"/>
                  </w:tcBorders>
                  <w:noWrap w:val="0"/>
                  <w:vAlign w:val="center"/>
                </w:tcPr>
                <w:p>
                  <w:pPr>
                    <w:pStyle w:val="38"/>
                    <w:keepNext w:val="0"/>
                    <w:keepLines w:val="0"/>
                    <w:pageBreakBefore w:val="0"/>
                    <w:widowControl w:val="0"/>
                    <w:kinsoku/>
                    <w:wordWrap/>
                    <w:topLinePunct w:val="0"/>
                    <w:autoSpaceDE/>
                    <w:autoSpaceDN/>
                    <w:bidi w:val="0"/>
                    <w:snapToGrid/>
                    <w:spacing w:line="320" w:lineRule="exact"/>
                    <w:jc w:val="center"/>
                    <w:textAlignment w:val="auto"/>
                    <w:rPr>
                      <w:rFonts w:hint="default"/>
                      <w:color w:val="auto"/>
                      <w:highlight w:val="none"/>
                      <w:lang w:val="en-US" w:eastAsia="zh-CN"/>
                    </w:rPr>
                  </w:pPr>
                </w:p>
              </w:tc>
            </w:tr>
          </w:tbl>
          <w:p>
            <w:pPr>
              <w:pStyle w:val="31"/>
              <w:keepNext w:val="0"/>
              <w:keepLines w:val="0"/>
              <w:pageBreakBefore w:val="0"/>
              <w:kinsoku/>
              <w:wordWrap/>
              <w:topLinePunct w:val="0"/>
              <w:bidi w:val="0"/>
              <w:spacing w:line="400" w:lineRule="exact"/>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p>
          <w:p>
            <w:pPr>
              <w:pStyle w:val="31"/>
              <w:keepNext w:val="0"/>
              <w:keepLines w:val="0"/>
              <w:pageBreakBefore w:val="0"/>
              <w:kinsoku/>
              <w:wordWrap/>
              <w:topLinePunct w:val="0"/>
              <w:bidi w:val="0"/>
              <w:spacing w:line="400" w:lineRule="exact"/>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p>
          <w:p>
            <w:pPr>
              <w:pStyle w:val="31"/>
              <w:keepNext w:val="0"/>
              <w:keepLines w:val="0"/>
              <w:pageBreakBefore w:val="0"/>
              <w:kinsoku/>
              <w:wordWrap/>
              <w:topLinePunct w:val="0"/>
              <w:bidi w:val="0"/>
              <w:spacing w:line="400" w:lineRule="exact"/>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p>
          <w:p>
            <w:pPr>
              <w:pStyle w:val="31"/>
              <w:keepNext w:val="0"/>
              <w:keepLines w:val="0"/>
              <w:pageBreakBefore w:val="0"/>
              <w:kinsoku/>
              <w:wordWrap/>
              <w:topLinePunct w:val="0"/>
              <w:bidi w:val="0"/>
              <w:spacing w:line="400" w:lineRule="exact"/>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p>
          <w:p>
            <w:pPr>
              <w:pStyle w:val="31"/>
              <w:keepNext w:val="0"/>
              <w:keepLines w:val="0"/>
              <w:pageBreakBefore w:val="0"/>
              <w:kinsoku/>
              <w:wordWrap/>
              <w:topLinePunct w:val="0"/>
              <w:bidi w:val="0"/>
              <w:spacing w:line="400" w:lineRule="exact"/>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p>
          <w:p>
            <w:pPr>
              <w:pStyle w:val="31"/>
              <w:keepNext w:val="0"/>
              <w:keepLines w:val="0"/>
              <w:pageBreakBefore w:val="0"/>
              <w:kinsoku/>
              <w:wordWrap/>
              <w:topLinePunct w:val="0"/>
              <w:bidi w:val="0"/>
              <w:spacing w:line="400" w:lineRule="exact"/>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p>
          <w:p>
            <w:pPr>
              <w:pStyle w:val="31"/>
              <w:keepNext w:val="0"/>
              <w:keepLines w:val="0"/>
              <w:pageBreakBefore w:val="0"/>
              <w:kinsoku/>
              <w:wordWrap/>
              <w:topLinePunct w:val="0"/>
              <w:bidi w:val="0"/>
              <w:spacing w:line="400" w:lineRule="exact"/>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p>
          <w:p>
            <w:pPr>
              <w:pStyle w:val="31"/>
              <w:keepNext w:val="0"/>
              <w:keepLines w:val="0"/>
              <w:pageBreakBefore w:val="0"/>
              <w:kinsoku/>
              <w:wordWrap/>
              <w:topLinePunct w:val="0"/>
              <w:bidi w:val="0"/>
              <w:spacing w:line="400" w:lineRule="exact"/>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p>
          <w:p>
            <w:pPr>
              <w:pStyle w:val="31"/>
              <w:keepNext w:val="0"/>
              <w:keepLines w:val="0"/>
              <w:pageBreakBefore w:val="0"/>
              <w:kinsoku/>
              <w:wordWrap/>
              <w:topLinePunct w:val="0"/>
              <w:bidi w:val="0"/>
              <w:spacing w:line="400" w:lineRule="exact"/>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p>
          <w:p>
            <w:pPr>
              <w:pStyle w:val="31"/>
              <w:keepNext w:val="0"/>
              <w:keepLines w:val="0"/>
              <w:pageBreakBefore w:val="0"/>
              <w:kinsoku/>
              <w:wordWrap/>
              <w:topLinePunct w:val="0"/>
              <w:bidi w:val="0"/>
              <w:spacing w:line="400" w:lineRule="exact"/>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p>
          <w:p>
            <w:pPr>
              <w:pStyle w:val="31"/>
              <w:keepNext w:val="0"/>
              <w:keepLines w:val="0"/>
              <w:pageBreakBefore w:val="0"/>
              <w:kinsoku/>
              <w:wordWrap/>
              <w:topLinePunct w:val="0"/>
              <w:bidi w:val="0"/>
              <w:spacing w:line="400" w:lineRule="exact"/>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p>
          <w:p>
            <w:pPr>
              <w:pStyle w:val="31"/>
              <w:keepNext w:val="0"/>
              <w:keepLines w:val="0"/>
              <w:pageBreakBefore w:val="0"/>
              <w:kinsoku/>
              <w:wordWrap/>
              <w:topLinePunct w:val="0"/>
              <w:bidi w:val="0"/>
              <w:spacing w:line="400" w:lineRule="exact"/>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p>
          <w:p>
            <w:pPr>
              <w:pStyle w:val="31"/>
              <w:keepNext w:val="0"/>
              <w:keepLines w:val="0"/>
              <w:pageBreakBefore w:val="0"/>
              <w:kinsoku/>
              <w:wordWrap/>
              <w:topLinePunct w:val="0"/>
              <w:bidi w:val="0"/>
              <w:spacing w:line="400" w:lineRule="exact"/>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p>
          <w:p>
            <w:pPr>
              <w:pStyle w:val="31"/>
              <w:keepNext w:val="0"/>
              <w:keepLines w:val="0"/>
              <w:pageBreakBefore w:val="0"/>
              <w:kinsoku/>
              <w:wordWrap/>
              <w:topLinePunct w:val="0"/>
              <w:bidi w:val="0"/>
              <w:spacing w:line="400" w:lineRule="exact"/>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p>
          <w:p>
            <w:pPr>
              <w:pStyle w:val="31"/>
              <w:keepNext w:val="0"/>
              <w:keepLines w:val="0"/>
              <w:pageBreakBefore w:val="0"/>
              <w:kinsoku/>
              <w:wordWrap/>
              <w:topLinePunct w:val="0"/>
              <w:bidi w:val="0"/>
              <w:spacing w:line="400" w:lineRule="exact"/>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p>
          <w:p>
            <w:pPr>
              <w:pStyle w:val="31"/>
              <w:keepNext w:val="0"/>
              <w:keepLines w:val="0"/>
              <w:pageBreakBefore w:val="0"/>
              <w:kinsoku/>
              <w:wordWrap/>
              <w:topLinePunct w:val="0"/>
              <w:bidi w:val="0"/>
              <w:spacing w:line="400" w:lineRule="exact"/>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p>
          <w:p>
            <w:pPr>
              <w:pStyle w:val="31"/>
              <w:keepNext w:val="0"/>
              <w:keepLines w:val="0"/>
              <w:pageBreakBefore w:val="0"/>
              <w:kinsoku/>
              <w:wordWrap/>
              <w:topLinePunct w:val="0"/>
              <w:bidi w:val="0"/>
              <w:spacing w:line="400" w:lineRule="exact"/>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p>
          <w:p>
            <w:pPr>
              <w:pStyle w:val="31"/>
              <w:keepNext w:val="0"/>
              <w:keepLines w:val="0"/>
              <w:pageBreakBefore w:val="0"/>
              <w:kinsoku/>
              <w:wordWrap/>
              <w:topLinePunct w:val="0"/>
              <w:bidi w:val="0"/>
              <w:spacing w:line="400" w:lineRule="exact"/>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p>
          <w:p>
            <w:pPr>
              <w:pStyle w:val="31"/>
              <w:keepNext w:val="0"/>
              <w:keepLines w:val="0"/>
              <w:pageBreakBefore w:val="0"/>
              <w:kinsoku/>
              <w:wordWrap/>
              <w:topLinePunct w:val="0"/>
              <w:bidi w:val="0"/>
              <w:spacing w:line="400" w:lineRule="exact"/>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p>
        </w:tc>
      </w:tr>
    </w:tbl>
    <w:p>
      <w:pPr>
        <w:pStyle w:val="2"/>
        <w:bidi w:val="0"/>
        <w:rPr>
          <w:rFonts w:hint="default"/>
          <w:color w:val="auto"/>
          <w:highlight w:val="none"/>
          <w:lang w:val="en-US" w:eastAsia="zh-CN"/>
        </w:rPr>
      </w:pPr>
      <w:bookmarkStart w:id="248" w:name="_Toc14180"/>
      <w:bookmarkStart w:id="249" w:name="_Toc9229"/>
      <w:r>
        <w:rPr>
          <w:rFonts w:hint="default"/>
          <w:color w:val="auto"/>
          <w:highlight w:val="none"/>
          <w:lang w:val="en-US" w:eastAsia="zh-CN"/>
        </w:rPr>
        <w:t>六、结论</w:t>
      </w:r>
      <w:bookmarkEnd w:id="248"/>
      <w:bookmarkEnd w:id="249"/>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0" w:hRule="atLeast"/>
        </w:trPr>
        <w:tc>
          <w:tcPr>
            <w:tcW w:w="8528" w:type="dxa"/>
          </w:tcPr>
          <w:p>
            <w:pPr>
              <w:bidi w:val="0"/>
              <w:rPr>
                <w:rFonts w:hint="default"/>
                <w:color w:val="auto"/>
                <w:highlight w:val="none"/>
                <w:lang w:val="en-US" w:eastAsia="zh-CN"/>
              </w:rPr>
            </w:pPr>
            <w:r>
              <w:rPr>
                <w:rFonts w:hint="default"/>
                <w:color w:val="auto"/>
                <w:highlight w:val="none"/>
                <w:lang w:val="en-US" w:eastAsia="zh-CN"/>
              </w:rPr>
              <w:t>综全文所述，本项目</w:t>
            </w:r>
            <w:r>
              <w:rPr>
                <w:rFonts w:hint="eastAsia"/>
                <w:color w:val="auto"/>
                <w:highlight w:val="none"/>
                <w:lang w:val="en-US" w:eastAsia="zh-CN"/>
              </w:rPr>
              <w:t>的</w:t>
            </w:r>
            <w:r>
              <w:rPr>
                <w:rFonts w:hint="default"/>
                <w:color w:val="auto"/>
                <w:highlight w:val="none"/>
                <w:lang w:val="en-US" w:eastAsia="zh-CN"/>
              </w:rPr>
              <w:t>建设符合国家及地方产业政策，符合环境功能区划及“三线一单”的管控要求，项目选址合理可行，通过对项目所在地区的环境现状调查以及对项目产生的环境影响进行分析，</w:t>
            </w:r>
            <w:r>
              <w:rPr>
                <w:rFonts w:hint="eastAsia"/>
                <w:color w:val="auto"/>
                <w:highlight w:val="none"/>
                <w:lang w:val="en-US" w:eastAsia="zh-CN"/>
              </w:rPr>
              <w:t>项目运营过程中产生的</w:t>
            </w:r>
            <w:r>
              <w:rPr>
                <w:rFonts w:hint="default"/>
                <w:color w:val="auto"/>
                <w:highlight w:val="none"/>
                <w:lang w:val="en-US" w:eastAsia="zh-CN"/>
              </w:rPr>
              <w:t>废水、噪声在采取环评提出的</w:t>
            </w:r>
            <w:r>
              <w:rPr>
                <w:rFonts w:hint="eastAsia"/>
                <w:color w:val="auto"/>
                <w:highlight w:val="none"/>
                <w:lang w:val="en-US" w:eastAsia="zh-CN"/>
              </w:rPr>
              <w:t>各项</w:t>
            </w:r>
            <w:r>
              <w:rPr>
                <w:rFonts w:hint="default"/>
                <w:color w:val="auto"/>
                <w:highlight w:val="none"/>
                <w:lang w:val="en-US" w:eastAsia="zh-CN"/>
              </w:rPr>
              <w:t>防治措施后，均可以做到</w:t>
            </w:r>
            <w:r>
              <w:rPr>
                <w:rFonts w:hint="eastAsia"/>
                <w:color w:val="auto"/>
                <w:highlight w:val="none"/>
                <w:lang w:val="en-US" w:eastAsia="zh-CN"/>
              </w:rPr>
              <w:t>有效回用或</w:t>
            </w:r>
            <w:r>
              <w:rPr>
                <w:rFonts w:hint="default"/>
                <w:color w:val="auto"/>
                <w:highlight w:val="none"/>
                <w:lang w:val="en-US" w:eastAsia="zh-CN"/>
              </w:rPr>
              <w:t>达标排放，固体废弃物处置率100%，环境影响可以得到有效控制，项目产生的污染物对</w:t>
            </w:r>
            <w:r>
              <w:rPr>
                <w:rFonts w:hint="eastAsia"/>
                <w:color w:val="auto"/>
                <w:highlight w:val="none"/>
                <w:lang w:val="en-US" w:eastAsia="zh-CN"/>
              </w:rPr>
              <w:t>周边</w:t>
            </w:r>
            <w:r>
              <w:rPr>
                <w:rFonts w:hint="default"/>
                <w:color w:val="auto"/>
                <w:highlight w:val="none"/>
                <w:lang w:val="en-US" w:eastAsia="zh-CN"/>
              </w:rPr>
              <w:t>环境的影响较小。</w:t>
            </w:r>
          </w:p>
          <w:p>
            <w:pPr>
              <w:bidi w:val="0"/>
              <w:rPr>
                <w:rFonts w:hint="default" w:ascii="Times New Roman" w:hAnsi="Times New Roman" w:cs="Times New Roman"/>
                <w:color w:val="auto"/>
                <w:szCs w:val="21"/>
                <w:highlight w:val="none"/>
                <w:vertAlign w:val="baseline"/>
                <w:lang w:val="en-US" w:eastAsia="zh-CN"/>
              </w:rPr>
            </w:pPr>
            <w:r>
              <w:rPr>
                <w:rFonts w:hint="default"/>
                <w:color w:val="auto"/>
                <w:highlight w:val="none"/>
                <w:lang w:val="en-US" w:eastAsia="zh-CN"/>
              </w:rPr>
              <w:t>因此，从环境保护的角度分析，</w:t>
            </w:r>
            <w:r>
              <w:rPr>
                <w:rFonts w:hint="eastAsia"/>
                <w:color w:val="auto"/>
                <w:highlight w:val="none"/>
                <w:lang w:val="en-US" w:eastAsia="zh-CN"/>
              </w:rPr>
              <w:t>本</w:t>
            </w:r>
            <w:r>
              <w:rPr>
                <w:rFonts w:hint="default"/>
                <w:color w:val="auto"/>
                <w:highlight w:val="none"/>
                <w:lang w:val="en-US" w:eastAsia="zh-CN"/>
              </w:rPr>
              <w:t>项目的建设是可行的。</w:t>
            </w:r>
          </w:p>
        </w:tc>
      </w:tr>
    </w:tbl>
    <w:p>
      <w:pPr>
        <w:numPr>
          <w:ilvl w:val="0"/>
          <w:numId w:val="0"/>
        </w:numPr>
        <w:ind w:leftChars="0"/>
        <w:jc w:val="both"/>
        <w:rPr>
          <w:rFonts w:hint="default" w:ascii="Times New Roman" w:hAnsi="Times New Roman" w:eastAsia="黑体" w:cs="Times New Roman"/>
          <w:color w:val="auto"/>
          <w:sz w:val="30"/>
          <w:szCs w:val="30"/>
          <w:highlight w:val="none"/>
          <w:lang w:val="en-US" w:eastAsia="zh-CN"/>
        </w:rPr>
        <w:sectPr>
          <w:headerReference r:id="rId9" w:type="default"/>
          <w:pgSz w:w="11906" w:h="16838"/>
          <w:pgMar w:top="1440" w:right="1797" w:bottom="1440" w:left="1797"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pPr>
    </w:p>
    <w:p>
      <w:pPr>
        <w:pStyle w:val="2"/>
        <w:bidi w:val="0"/>
        <w:rPr>
          <w:rFonts w:hint="default"/>
          <w:color w:val="auto"/>
          <w:highlight w:val="none"/>
          <w:lang w:val="en-US" w:eastAsia="zh-CN"/>
        </w:rPr>
      </w:pPr>
      <w:bookmarkStart w:id="250" w:name="_Toc24066"/>
      <w:bookmarkStart w:id="251" w:name="_Toc25336"/>
      <w:r>
        <w:rPr>
          <w:rFonts w:hint="default"/>
          <w:color w:val="auto"/>
          <w:highlight w:val="none"/>
          <w:lang w:val="en-US" w:eastAsia="zh-CN"/>
        </w:rPr>
        <w:t>建设项目污染物排放量汇总表</w:t>
      </w:r>
      <w:bookmarkEnd w:id="250"/>
      <w:bookmarkEnd w:id="251"/>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2"/>
        <w:gridCol w:w="1527"/>
        <w:gridCol w:w="1906"/>
        <w:gridCol w:w="1653"/>
        <w:gridCol w:w="1698"/>
        <w:gridCol w:w="1782"/>
        <w:gridCol w:w="1477"/>
        <w:gridCol w:w="1624"/>
        <w:gridCol w:w="1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2" w:hRule="atLeast"/>
          <w:jc w:val="center"/>
        </w:trPr>
        <w:tc>
          <w:tcPr>
            <w:tcW w:w="1422"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rPr>
              <mc:AlternateContent>
                <mc:Choice Requires="wps">
                  <w:drawing>
                    <wp:anchor distT="0" distB="0" distL="114300" distR="114300" simplePos="0" relativeHeight="251662336" behindDoc="0" locked="0" layoutInCell="1" allowOverlap="1">
                      <wp:simplePos x="0" y="0"/>
                      <wp:positionH relativeFrom="column">
                        <wp:posOffset>-70485</wp:posOffset>
                      </wp:positionH>
                      <wp:positionV relativeFrom="paragraph">
                        <wp:posOffset>-1270</wp:posOffset>
                      </wp:positionV>
                      <wp:extent cx="913765" cy="765175"/>
                      <wp:effectExtent l="3175" t="3810" r="16510" b="12065"/>
                      <wp:wrapNone/>
                      <wp:docPr id="4" name="直接连接符 4"/>
                      <wp:cNvGraphicFramePr/>
                      <a:graphic xmlns:a="http://schemas.openxmlformats.org/drawingml/2006/main">
                        <a:graphicData uri="http://schemas.microsoft.com/office/word/2010/wordprocessingShape">
                          <wps:wsp>
                            <wps:cNvCnPr/>
                            <wps:spPr>
                              <a:xfrm>
                                <a:off x="725170" y="2138680"/>
                                <a:ext cx="913765" cy="765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55pt;margin-top:-0.1pt;height:60.25pt;width:71.95pt;z-index:251662336;mso-width-relative:page;mso-height-relative:page;" filled="f" stroked="t" coordsize="21600,21600" o:gfxdata="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5jO6t1gAAAAkBAAAPAAAAAAAAAAEAIAAAACIAAABkcnMvZG93bnJldi54bWxQSwECFAAU&#10;AAAACACHTuJAFSZSGvMBAADAAwAADgAAAAAAAAABACAAAAAlAQAAZHJzL2Uyb0RvYy54bWxQSwUG&#10;AAAAAAYABgBZAQAAigUAAAAA&#10;">
                      <v:fill on="f" focussize="0,0"/>
                      <v:stroke weight="0.5pt" color="#000000 [3200]" miterlimit="8" joinstyle="miter"/>
                      <v:imagedata o:title=""/>
                      <o:lock v:ext="edit" aspectratio="f"/>
                    </v:line>
                  </w:pict>
                </mc:Fallback>
              </mc:AlternateContent>
            </w:r>
            <w:r>
              <w:rPr>
                <w:rFonts w:hint="default" w:ascii="Times New Roman" w:hAnsi="Times New Roman" w:cs="Times New Roman"/>
                <w:color w:val="auto"/>
                <w:sz w:val="18"/>
                <w:szCs w:val="18"/>
                <w:highlight w:val="none"/>
                <w:vertAlign w:val="baseline"/>
                <w:lang w:val="en-US" w:eastAsia="zh-CN"/>
              </w:rPr>
              <w:t>项目</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分类</w:t>
            </w:r>
          </w:p>
        </w:tc>
        <w:tc>
          <w:tcPr>
            <w:tcW w:w="1527"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eastAsia="zh-CN"/>
              </w:rPr>
            </w:pPr>
            <w:r>
              <w:rPr>
                <w:rFonts w:hint="default" w:ascii="Times New Roman" w:hAnsi="Times New Roman" w:eastAsia="宋体" w:cs="Times New Roman"/>
                <w:color w:val="auto"/>
                <w:sz w:val="18"/>
                <w:szCs w:val="18"/>
                <w:highlight w:val="none"/>
                <w:vertAlign w:val="baseline"/>
                <w:lang w:eastAsia="zh-CN"/>
              </w:rPr>
              <w:t>污染物名称</w:t>
            </w:r>
          </w:p>
        </w:tc>
        <w:tc>
          <w:tcPr>
            <w:tcW w:w="1906"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eastAsia="zh-CN"/>
              </w:rPr>
            </w:pPr>
            <w:r>
              <w:rPr>
                <w:rFonts w:hint="eastAsia" w:cs="Times New Roman"/>
                <w:color w:val="auto"/>
                <w:sz w:val="18"/>
                <w:szCs w:val="18"/>
                <w:highlight w:val="none"/>
                <w:vertAlign w:val="baseline"/>
                <w:lang w:val="en-US" w:eastAsia="zh-CN"/>
              </w:rPr>
              <w:t>现</w:t>
            </w:r>
            <w:r>
              <w:rPr>
                <w:rFonts w:hint="default" w:ascii="Times New Roman" w:hAnsi="Times New Roman" w:cs="Times New Roman"/>
                <w:color w:val="auto"/>
                <w:sz w:val="18"/>
                <w:szCs w:val="18"/>
                <w:highlight w:val="none"/>
                <w:vertAlign w:val="baseline"/>
                <w:lang w:val="en-US" w:eastAsia="zh-CN"/>
              </w:rPr>
              <w:t>有</w:t>
            </w:r>
            <w:r>
              <w:rPr>
                <w:rFonts w:hint="default" w:ascii="Times New Roman" w:hAnsi="Times New Roman" w:eastAsia="宋体" w:cs="Times New Roman"/>
                <w:color w:val="auto"/>
                <w:sz w:val="18"/>
                <w:szCs w:val="18"/>
                <w:highlight w:val="none"/>
                <w:vertAlign w:val="baseline"/>
                <w:lang w:eastAsia="zh-CN"/>
              </w:rPr>
              <w:t>工程排放量（固体废物产生量）①</w:t>
            </w:r>
          </w:p>
        </w:tc>
        <w:tc>
          <w:tcPr>
            <w:tcW w:w="1653"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eastAsia="zh-CN"/>
              </w:rPr>
            </w:pPr>
            <w:r>
              <w:rPr>
                <w:rFonts w:hint="default" w:ascii="Times New Roman" w:hAnsi="Times New Roman" w:eastAsia="宋体" w:cs="Times New Roman"/>
                <w:color w:val="auto"/>
                <w:sz w:val="18"/>
                <w:szCs w:val="18"/>
                <w:highlight w:val="none"/>
                <w:vertAlign w:val="baseline"/>
                <w:lang w:eastAsia="zh-CN"/>
              </w:rPr>
              <w:t>现有工程许可排放量</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eastAsia="zh-CN"/>
              </w:rPr>
            </w:pPr>
            <w:r>
              <w:rPr>
                <w:rFonts w:hint="default" w:ascii="Times New Roman" w:hAnsi="Times New Roman" w:eastAsia="宋体" w:cs="Times New Roman"/>
                <w:color w:val="auto"/>
                <w:sz w:val="18"/>
                <w:szCs w:val="18"/>
                <w:highlight w:val="none"/>
                <w:vertAlign w:val="baseline"/>
                <w:lang w:eastAsia="zh-CN"/>
              </w:rPr>
              <w:t>②</w:t>
            </w:r>
          </w:p>
        </w:tc>
        <w:tc>
          <w:tcPr>
            <w:tcW w:w="1698"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eastAsia="zh-CN"/>
              </w:rPr>
            </w:pPr>
            <w:r>
              <w:rPr>
                <w:rFonts w:hint="default" w:ascii="Times New Roman" w:hAnsi="Times New Roman" w:eastAsia="宋体" w:cs="Times New Roman"/>
                <w:color w:val="auto"/>
                <w:sz w:val="18"/>
                <w:szCs w:val="18"/>
                <w:highlight w:val="none"/>
                <w:vertAlign w:val="baseline"/>
                <w:lang w:eastAsia="zh-CN"/>
              </w:rPr>
              <w:t>在建工程排放量（固体废物产生量）③</w:t>
            </w:r>
          </w:p>
        </w:tc>
        <w:tc>
          <w:tcPr>
            <w:tcW w:w="1782"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eastAsia="zh-CN"/>
              </w:rPr>
            </w:pPr>
            <w:r>
              <w:rPr>
                <w:rFonts w:hint="default" w:ascii="Times New Roman" w:hAnsi="Times New Roman" w:eastAsia="宋体" w:cs="Times New Roman"/>
                <w:color w:val="auto"/>
                <w:sz w:val="18"/>
                <w:szCs w:val="18"/>
                <w:highlight w:val="none"/>
                <w:vertAlign w:val="baseline"/>
                <w:lang w:eastAsia="zh-CN"/>
              </w:rPr>
              <w:t>本项目排放量（固体废物产生量）④</w:t>
            </w:r>
          </w:p>
        </w:tc>
        <w:tc>
          <w:tcPr>
            <w:tcW w:w="1477"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eastAsia="zh-CN"/>
              </w:rPr>
            </w:pPr>
            <w:r>
              <w:rPr>
                <w:rFonts w:hint="default" w:ascii="Times New Roman" w:hAnsi="Times New Roman" w:eastAsia="宋体" w:cs="Times New Roman"/>
                <w:color w:val="auto"/>
                <w:sz w:val="18"/>
                <w:szCs w:val="18"/>
                <w:highlight w:val="none"/>
                <w:vertAlign w:val="baseline"/>
                <w:lang w:eastAsia="zh-CN"/>
              </w:rPr>
              <w:t>以新带老削减量（新建项目不填）⑤</w:t>
            </w:r>
          </w:p>
        </w:tc>
        <w:tc>
          <w:tcPr>
            <w:tcW w:w="1624"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eastAsia="zh-CN"/>
              </w:rPr>
              <w:t>本项目建成后全厂排放量（固体废物产生量）⑥</w:t>
            </w:r>
          </w:p>
        </w:tc>
        <w:tc>
          <w:tcPr>
            <w:tcW w:w="1085"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eastAsia="zh-CN"/>
              </w:rPr>
            </w:pPr>
            <w:r>
              <w:rPr>
                <w:rFonts w:hint="default" w:ascii="Times New Roman" w:hAnsi="Times New Roman" w:eastAsia="宋体" w:cs="Times New Roman"/>
                <w:color w:val="auto"/>
                <w:sz w:val="18"/>
                <w:szCs w:val="18"/>
                <w:highlight w:val="none"/>
                <w:vertAlign w:val="baseline"/>
                <w:lang w:eastAsia="zh-CN"/>
              </w:rPr>
              <w:t>变化量</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eastAsia="zh-CN"/>
              </w:rPr>
            </w:pPr>
            <w:r>
              <w:rPr>
                <w:rFonts w:hint="default" w:ascii="Times New Roman" w:hAnsi="Times New Roman" w:eastAsia="宋体" w:cs="Times New Roman"/>
                <w:color w:val="auto"/>
                <w:sz w:val="18"/>
                <w:szCs w:val="18"/>
                <w:highlight w:val="none"/>
                <w:vertAlign w:val="baseline"/>
                <w:lang w:eastAsia="zh-CN"/>
              </w:rPr>
              <w:t>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eastAsia="zh-CN"/>
              </w:rPr>
            </w:pPr>
            <w:r>
              <w:rPr>
                <w:rFonts w:hint="default" w:ascii="Times New Roman" w:hAnsi="Times New Roman" w:cs="Times New Roman"/>
                <w:color w:val="auto"/>
                <w:sz w:val="18"/>
                <w:szCs w:val="18"/>
                <w:highlight w:val="none"/>
                <w:vertAlign w:val="baseline"/>
                <w:lang w:eastAsia="zh-CN"/>
              </w:rPr>
              <w:t>废水</w:t>
            </w:r>
          </w:p>
        </w:tc>
        <w:tc>
          <w:tcPr>
            <w:tcW w:w="152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废水量</w:t>
            </w:r>
            <w:r>
              <w:rPr>
                <w:rFonts w:hint="default" w:ascii="Times New Roman" w:hAnsi="Times New Roman" w:cs="Times New Roman"/>
                <w:color w:val="auto"/>
                <w:sz w:val="18"/>
                <w:szCs w:val="18"/>
                <w:highlight w:val="none"/>
                <w:vertAlign w:val="baseline"/>
                <w:lang w:val="en-US" w:eastAsia="zh-CN"/>
              </w:rPr>
              <w:t>（t/a）</w:t>
            </w:r>
          </w:p>
        </w:tc>
        <w:tc>
          <w:tcPr>
            <w:tcW w:w="190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w:t>
            </w:r>
          </w:p>
        </w:tc>
        <w:tc>
          <w:tcPr>
            <w:tcW w:w="1653"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w:t>
            </w:r>
          </w:p>
        </w:tc>
        <w:tc>
          <w:tcPr>
            <w:tcW w:w="1698"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w:t>
            </w:r>
          </w:p>
        </w:tc>
        <w:tc>
          <w:tcPr>
            <w:tcW w:w="178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w:t>
            </w:r>
          </w:p>
        </w:tc>
        <w:tc>
          <w:tcPr>
            <w:tcW w:w="147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w:t>
            </w:r>
          </w:p>
        </w:tc>
        <w:tc>
          <w:tcPr>
            <w:tcW w:w="162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0</w:t>
            </w:r>
          </w:p>
        </w:tc>
        <w:tc>
          <w:tcPr>
            <w:tcW w:w="108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一般</w:t>
            </w:r>
            <w:r>
              <w:rPr>
                <w:rFonts w:hint="eastAsia" w:cs="Times New Roman"/>
                <w:color w:val="auto"/>
                <w:sz w:val="18"/>
                <w:szCs w:val="18"/>
                <w:highlight w:val="none"/>
                <w:vertAlign w:val="baseline"/>
                <w:lang w:val="en-US" w:eastAsia="zh-CN"/>
              </w:rPr>
              <w:t>固废</w:t>
            </w:r>
          </w:p>
        </w:tc>
        <w:tc>
          <w:tcPr>
            <w:tcW w:w="152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生活垃圾</w:t>
            </w:r>
            <w:r>
              <w:rPr>
                <w:rFonts w:hint="default" w:ascii="Times New Roman" w:hAnsi="Times New Roman" w:cs="Times New Roman"/>
                <w:color w:val="auto"/>
                <w:sz w:val="18"/>
                <w:szCs w:val="18"/>
                <w:highlight w:val="none"/>
                <w:vertAlign w:val="baseline"/>
                <w:lang w:val="en-US" w:eastAsia="zh-CN"/>
              </w:rPr>
              <w:t>（t/a）</w:t>
            </w:r>
          </w:p>
        </w:tc>
        <w:tc>
          <w:tcPr>
            <w:tcW w:w="1906" w:type="dxa"/>
            <w:shd w:val="clear" w:color="auto" w:fill="auto"/>
            <w:vAlign w:val="center"/>
          </w:tcPr>
          <w:p>
            <w:pPr>
              <w:pStyle w:val="34"/>
              <w:bidi w:val="0"/>
              <w:ind w:left="0" w:leftChars="0" w:firstLine="0" w:firstLineChars="0"/>
              <w:jc w:val="center"/>
              <w:rPr>
                <w:rFonts w:hint="default" w:ascii="Times New Roman" w:hAnsi="Times New Roman" w:cs="Times New Roman" w:eastAsiaTheme="minorEastAsia"/>
                <w:color w:val="auto"/>
                <w:spacing w:val="0"/>
                <w:kern w:val="2"/>
                <w:sz w:val="18"/>
                <w:szCs w:val="18"/>
                <w:highlight w:val="none"/>
                <w:vertAlign w:val="baseline"/>
                <w:lang w:val="en-US" w:eastAsia="zh-CN" w:bidi="ar-SA"/>
              </w:rPr>
            </w:pPr>
            <w:r>
              <w:rPr>
                <w:rFonts w:hint="eastAsia"/>
                <w:color w:val="auto"/>
                <w:highlight w:val="none"/>
                <w:lang w:val="en-US" w:eastAsia="zh-CN"/>
              </w:rPr>
              <w:t>1.65</w:t>
            </w:r>
          </w:p>
        </w:tc>
        <w:tc>
          <w:tcPr>
            <w:tcW w:w="1653"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w:t>
            </w:r>
          </w:p>
        </w:tc>
        <w:tc>
          <w:tcPr>
            <w:tcW w:w="1698"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w:t>
            </w:r>
          </w:p>
        </w:tc>
        <w:tc>
          <w:tcPr>
            <w:tcW w:w="178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kern w:val="2"/>
                <w:sz w:val="18"/>
                <w:szCs w:val="18"/>
                <w:highlight w:val="none"/>
                <w:vertAlign w:val="baseline"/>
                <w:lang w:val="en-US" w:eastAsia="zh-CN" w:bidi="ar-SA"/>
              </w:rPr>
            </w:pPr>
            <w:r>
              <w:rPr>
                <w:rFonts w:hint="eastAsia" w:cs="Times New Roman" w:eastAsiaTheme="minorEastAsia"/>
                <w:color w:val="auto"/>
                <w:spacing w:val="0"/>
                <w:sz w:val="18"/>
                <w:szCs w:val="18"/>
                <w:highlight w:val="none"/>
                <w:vertAlign w:val="baseline"/>
                <w:lang w:val="en-US" w:eastAsia="zh-CN"/>
              </w:rPr>
              <w:t>1.65</w:t>
            </w:r>
          </w:p>
        </w:tc>
        <w:tc>
          <w:tcPr>
            <w:tcW w:w="147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cs="Times New Roman"/>
                <w:color w:val="auto"/>
                <w:sz w:val="18"/>
                <w:szCs w:val="18"/>
                <w:highlight w:val="none"/>
                <w:vertAlign w:val="baseline"/>
                <w:lang w:val="en-US" w:eastAsia="zh-CN"/>
              </w:rPr>
              <w:t>0</w:t>
            </w:r>
          </w:p>
        </w:tc>
        <w:tc>
          <w:tcPr>
            <w:tcW w:w="162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kern w:val="2"/>
                <w:sz w:val="18"/>
                <w:szCs w:val="18"/>
                <w:highlight w:val="none"/>
                <w:vertAlign w:val="baseline"/>
                <w:lang w:val="en-US" w:eastAsia="zh-CN" w:bidi="ar-SA"/>
              </w:rPr>
            </w:pPr>
            <w:r>
              <w:rPr>
                <w:rFonts w:hint="eastAsia" w:cs="Times New Roman" w:eastAsiaTheme="minorEastAsia"/>
                <w:color w:val="auto"/>
                <w:spacing w:val="0"/>
                <w:sz w:val="18"/>
                <w:szCs w:val="18"/>
                <w:highlight w:val="none"/>
                <w:vertAlign w:val="baseline"/>
                <w:lang w:val="en-US" w:eastAsia="zh-CN"/>
              </w:rPr>
              <w:t>1.65</w:t>
            </w:r>
          </w:p>
        </w:tc>
        <w:tc>
          <w:tcPr>
            <w:tcW w:w="108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p>
        </w:tc>
        <w:tc>
          <w:tcPr>
            <w:tcW w:w="1527" w:type="dxa"/>
            <w:shd w:val="clear" w:color="auto" w:fill="auto"/>
            <w:vAlign w:val="center"/>
          </w:tcPr>
          <w:p>
            <w:pPr>
              <w:pStyle w:val="34"/>
              <w:bidi w:val="0"/>
              <w:ind w:left="0" w:leftChars="0" w:firstLine="0" w:firstLineChars="0"/>
              <w:jc w:val="center"/>
              <w:rPr>
                <w:rFonts w:hint="default" w:ascii="Times New Roman" w:hAnsi="Times New Roman" w:eastAsia="宋体" w:cstheme="minorBidi"/>
                <w:color w:val="auto"/>
                <w:kern w:val="2"/>
                <w:sz w:val="18"/>
                <w:szCs w:val="18"/>
                <w:highlight w:val="none"/>
                <w:lang w:val="en-US" w:eastAsia="zh-CN" w:bidi="ar-SA"/>
              </w:rPr>
            </w:pPr>
            <w:r>
              <w:rPr>
                <w:rFonts w:hint="default"/>
                <w:color w:val="auto"/>
                <w:highlight w:val="none"/>
              </w:rPr>
              <w:t>废分子筛</w:t>
            </w:r>
          </w:p>
        </w:tc>
        <w:tc>
          <w:tcPr>
            <w:tcW w:w="1906" w:type="dxa"/>
            <w:shd w:val="clear" w:color="auto" w:fill="auto"/>
            <w:vAlign w:val="center"/>
          </w:tcPr>
          <w:p>
            <w:pPr>
              <w:pStyle w:val="34"/>
              <w:bidi w:val="0"/>
              <w:ind w:left="0" w:leftChars="0" w:firstLine="0" w:firstLineChars="0"/>
              <w:jc w:val="center"/>
              <w:rPr>
                <w:rFonts w:hint="default" w:ascii="Times New Roman" w:hAnsi="Times New Roman" w:eastAsia="宋体" w:cstheme="minorBidi"/>
                <w:color w:val="auto"/>
                <w:kern w:val="2"/>
                <w:sz w:val="18"/>
                <w:szCs w:val="18"/>
                <w:highlight w:val="none"/>
                <w:lang w:val="en-US" w:eastAsia="zh-CN" w:bidi="ar-SA"/>
              </w:rPr>
            </w:pPr>
            <w:r>
              <w:rPr>
                <w:rFonts w:hint="eastAsia"/>
                <w:color w:val="auto"/>
                <w:highlight w:val="none"/>
                <w:lang w:val="en-US" w:eastAsia="zh-CN"/>
              </w:rPr>
              <w:t>5</w:t>
            </w:r>
          </w:p>
        </w:tc>
        <w:tc>
          <w:tcPr>
            <w:tcW w:w="1653"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w:t>
            </w:r>
          </w:p>
        </w:tc>
        <w:tc>
          <w:tcPr>
            <w:tcW w:w="1698"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w:t>
            </w:r>
          </w:p>
        </w:tc>
        <w:tc>
          <w:tcPr>
            <w:tcW w:w="1782" w:type="dxa"/>
            <w:shd w:val="clear" w:color="auto" w:fill="auto"/>
            <w:vAlign w:val="center"/>
          </w:tcPr>
          <w:p>
            <w:pPr>
              <w:pStyle w:val="34"/>
              <w:bidi w:val="0"/>
              <w:ind w:left="0" w:leftChars="0" w:firstLine="0" w:firstLineChars="0"/>
              <w:jc w:val="center"/>
              <w:rPr>
                <w:rFonts w:hint="default" w:ascii="Times New Roman" w:hAnsi="Times New Roman" w:eastAsia="宋体" w:cstheme="minorBidi"/>
                <w:color w:val="auto"/>
                <w:kern w:val="2"/>
                <w:sz w:val="18"/>
                <w:szCs w:val="18"/>
                <w:highlight w:val="none"/>
                <w:lang w:val="en-US" w:eastAsia="zh-CN" w:bidi="ar-SA"/>
              </w:rPr>
            </w:pPr>
            <w:r>
              <w:rPr>
                <w:rFonts w:hint="eastAsia"/>
                <w:color w:val="auto"/>
                <w:highlight w:val="none"/>
                <w:lang w:val="en-US" w:eastAsia="zh-CN"/>
              </w:rPr>
              <w:t>12</w:t>
            </w:r>
          </w:p>
        </w:tc>
        <w:tc>
          <w:tcPr>
            <w:tcW w:w="1477" w:type="dxa"/>
            <w:shd w:val="clear" w:color="auto" w:fill="auto"/>
            <w:vAlign w:val="center"/>
          </w:tcPr>
          <w:p>
            <w:pPr>
              <w:pStyle w:val="34"/>
              <w:bidi w:val="0"/>
              <w:ind w:left="0" w:leftChars="0" w:firstLine="0" w:firstLineChars="0"/>
              <w:jc w:val="center"/>
              <w:rPr>
                <w:rFonts w:hint="default" w:ascii="Times New Roman" w:hAnsi="Times New Roman" w:eastAsia="宋体" w:cstheme="minorBidi"/>
                <w:color w:val="auto"/>
                <w:kern w:val="2"/>
                <w:sz w:val="18"/>
                <w:szCs w:val="18"/>
                <w:highlight w:val="none"/>
                <w:lang w:val="en-US" w:eastAsia="zh-CN" w:bidi="ar-SA"/>
              </w:rPr>
            </w:pPr>
            <w:r>
              <w:rPr>
                <w:rFonts w:hint="eastAsia" w:eastAsia="宋体" w:cstheme="minorBidi"/>
                <w:color w:val="auto"/>
                <w:kern w:val="2"/>
                <w:sz w:val="18"/>
                <w:szCs w:val="18"/>
                <w:highlight w:val="none"/>
                <w:lang w:val="en-US" w:eastAsia="zh-CN" w:bidi="ar-SA"/>
              </w:rPr>
              <w:t>0</w:t>
            </w:r>
          </w:p>
        </w:tc>
        <w:tc>
          <w:tcPr>
            <w:tcW w:w="1624" w:type="dxa"/>
            <w:shd w:val="clear" w:color="auto" w:fill="auto"/>
            <w:vAlign w:val="center"/>
          </w:tcPr>
          <w:p>
            <w:pPr>
              <w:pStyle w:val="34"/>
              <w:bidi w:val="0"/>
              <w:ind w:left="0" w:leftChars="0" w:firstLine="0" w:firstLineChars="0"/>
              <w:jc w:val="center"/>
              <w:rPr>
                <w:rFonts w:hint="default" w:ascii="Times New Roman" w:hAnsi="Times New Roman" w:eastAsia="宋体" w:cstheme="minorBidi"/>
                <w:color w:val="auto"/>
                <w:kern w:val="2"/>
                <w:sz w:val="18"/>
                <w:szCs w:val="18"/>
                <w:highlight w:val="none"/>
                <w:lang w:val="en-US" w:eastAsia="zh-CN" w:bidi="ar-SA"/>
              </w:rPr>
            </w:pPr>
            <w:r>
              <w:rPr>
                <w:rFonts w:hint="eastAsia"/>
                <w:color w:val="auto"/>
                <w:highlight w:val="none"/>
                <w:lang w:val="en-US" w:eastAsia="zh-CN"/>
              </w:rPr>
              <w:t>12</w:t>
            </w:r>
          </w:p>
        </w:tc>
        <w:tc>
          <w:tcPr>
            <w:tcW w:w="108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p>
        </w:tc>
        <w:tc>
          <w:tcPr>
            <w:tcW w:w="1527" w:type="dxa"/>
            <w:shd w:val="clear" w:color="auto" w:fill="auto"/>
            <w:vAlign w:val="center"/>
          </w:tcPr>
          <w:p>
            <w:pPr>
              <w:pStyle w:val="34"/>
              <w:bidi w:val="0"/>
              <w:ind w:left="0" w:leftChars="0" w:firstLine="0" w:firstLineChars="0"/>
              <w:jc w:val="center"/>
              <w:rPr>
                <w:rFonts w:hint="default" w:ascii="Times New Roman" w:hAnsi="Times New Roman" w:eastAsia="宋体" w:cstheme="minorBidi"/>
                <w:color w:val="auto"/>
                <w:kern w:val="2"/>
                <w:sz w:val="18"/>
                <w:szCs w:val="18"/>
                <w:highlight w:val="none"/>
                <w:lang w:val="en-US" w:eastAsia="zh-CN" w:bidi="ar-SA"/>
              </w:rPr>
            </w:pPr>
            <w:r>
              <w:rPr>
                <w:rFonts w:hint="eastAsia"/>
                <w:color w:val="auto"/>
                <w:highlight w:val="none"/>
                <w:lang w:val="en-US" w:eastAsia="zh-CN"/>
              </w:rPr>
              <w:t>废氧化铝</w:t>
            </w:r>
          </w:p>
        </w:tc>
        <w:tc>
          <w:tcPr>
            <w:tcW w:w="1906" w:type="dxa"/>
            <w:shd w:val="clear" w:color="auto" w:fill="auto"/>
            <w:vAlign w:val="center"/>
          </w:tcPr>
          <w:p>
            <w:pPr>
              <w:pStyle w:val="34"/>
              <w:bidi w:val="0"/>
              <w:ind w:left="0" w:leftChars="0" w:firstLine="0" w:firstLineChars="0"/>
              <w:jc w:val="center"/>
              <w:rPr>
                <w:rFonts w:hint="default" w:ascii="Times New Roman" w:hAnsi="Times New Roman" w:eastAsia="宋体" w:cstheme="minorBidi"/>
                <w:color w:val="auto"/>
                <w:kern w:val="2"/>
                <w:sz w:val="18"/>
                <w:szCs w:val="18"/>
                <w:highlight w:val="none"/>
                <w:lang w:val="en-US" w:eastAsia="zh-CN" w:bidi="ar-SA"/>
              </w:rPr>
            </w:pPr>
            <w:r>
              <w:rPr>
                <w:rFonts w:hint="eastAsia"/>
                <w:color w:val="auto"/>
                <w:highlight w:val="none"/>
                <w:lang w:val="en-US" w:eastAsia="zh-CN"/>
              </w:rPr>
              <w:t>1.5</w:t>
            </w:r>
          </w:p>
        </w:tc>
        <w:tc>
          <w:tcPr>
            <w:tcW w:w="1653"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w:t>
            </w:r>
          </w:p>
        </w:tc>
        <w:tc>
          <w:tcPr>
            <w:tcW w:w="1698"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w:t>
            </w:r>
          </w:p>
        </w:tc>
        <w:tc>
          <w:tcPr>
            <w:tcW w:w="1782" w:type="dxa"/>
            <w:shd w:val="clear" w:color="auto" w:fill="auto"/>
            <w:vAlign w:val="center"/>
          </w:tcPr>
          <w:p>
            <w:pPr>
              <w:pStyle w:val="34"/>
              <w:bidi w:val="0"/>
              <w:ind w:left="0" w:leftChars="0" w:firstLine="0" w:firstLineChars="0"/>
              <w:jc w:val="center"/>
              <w:rPr>
                <w:rFonts w:hint="default" w:ascii="Times New Roman" w:hAnsi="Times New Roman" w:eastAsia="宋体" w:cstheme="minorBidi"/>
                <w:color w:val="auto"/>
                <w:kern w:val="2"/>
                <w:sz w:val="18"/>
                <w:szCs w:val="18"/>
                <w:highlight w:val="none"/>
                <w:lang w:val="en-US" w:eastAsia="zh-CN" w:bidi="ar-SA"/>
              </w:rPr>
            </w:pPr>
            <w:r>
              <w:rPr>
                <w:rFonts w:hint="eastAsia"/>
                <w:color w:val="auto"/>
                <w:highlight w:val="none"/>
                <w:lang w:val="en-US" w:eastAsia="zh-CN"/>
              </w:rPr>
              <w:t>3.5</w:t>
            </w:r>
          </w:p>
        </w:tc>
        <w:tc>
          <w:tcPr>
            <w:tcW w:w="1477" w:type="dxa"/>
            <w:shd w:val="clear" w:color="auto" w:fill="auto"/>
            <w:vAlign w:val="center"/>
          </w:tcPr>
          <w:p>
            <w:pPr>
              <w:pStyle w:val="34"/>
              <w:bidi w:val="0"/>
              <w:ind w:left="0" w:leftChars="0" w:firstLine="0" w:firstLineChars="0"/>
              <w:jc w:val="center"/>
              <w:rPr>
                <w:rFonts w:hint="default" w:ascii="Times New Roman" w:hAnsi="Times New Roman" w:eastAsia="宋体" w:cstheme="minorBidi"/>
                <w:color w:val="auto"/>
                <w:kern w:val="2"/>
                <w:sz w:val="18"/>
                <w:szCs w:val="18"/>
                <w:highlight w:val="none"/>
                <w:lang w:val="en-US" w:eastAsia="zh-CN" w:bidi="ar-SA"/>
              </w:rPr>
            </w:pPr>
            <w:r>
              <w:rPr>
                <w:rFonts w:hint="eastAsia" w:eastAsia="宋体" w:cstheme="minorBidi"/>
                <w:color w:val="auto"/>
                <w:kern w:val="2"/>
                <w:sz w:val="18"/>
                <w:szCs w:val="18"/>
                <w:highlight w:val="none"/>
                <w:lang w:val="en-US" w:eastAsia="zh-CN" w:bidi="ar-SA"/>
              </w:rPr>
              <w:t>0</w:t>
            </w:r>
          </w:p>
        </w:tc>
        <w:tc>
          <w:tcPr>
            <w:tcW w:w="1624" w:type="dxa"/>
            <w:shd w:val="clear" w:color="auto" w:fill="auto"/>
            <w:vAlign w:val="center"/>
          </w:tcPr>
          <w:p>
            <w:pPr>
              <w:pStyle w:val="34"/>
              <w:bidi w:val="0"/>
              <w:ind w:left="0" w:leftChars="0" w:firstLine="0" w:firstLineChars="0"/>
              <w:jc w:val="center"/>
              <w:rPr>
                <w:rFonts w:hint="eastAsia" w:ascii="Times New Roman" w:hAnsi="Times New Roman" w:eastAsia="宋体" w:cstheme="minorBidi"/>
                <w:color w:val="auto"/>
                <w:kern w:val="2"/>
                <w:sz w:val="18"/>
                <w:szCs w:val="18"/>
                <w:highlight w:val="none"/>
                <w:lang w:val="en-US" w:eastAsia="zh-CN" w:bidi="ar-SA"/>
              </w:rPr>
            </w:pPr>
            <w:r>
              <w:rPr>
                <w:rFonts w:hint="eastAsia"/>
                <w:color w:val="auto"/>
                <w:highlight w:val="none"/>
                <w:lang w:val="en-US" w:eastAsia="zh-CN"/>
              </w:rPr>
              <w:t>3.5</w:t>
            </w:r>
          </w:p>
        </w:tc>
        <w:tc>
          <w:tcPr>
            <w:tcW w:w="108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p>
        </w:tc>
        <w:tc>
          <w:tcPr>
            <w:tcW w:w="1527" w:type="dxa"/>
            <w:shd w:val="clear" w:color="auto" w:fill="auto"/>
            <w:vAlign w:val="center"/>
          </w:tcPr>
          <w:p>
            <w:pPr>
              <w:pStyle w:val="34"/>
              <w:bidi w:val="0"/>
              <w:ind w:left="0" w:leftChars="0" w:firstLine="0" w:firstLineChars="0"/>
              <w:jc w:val="center"/>
              <w:rPr>
                <w:rFonts w:hint="default" w:ascii="Times New Roman" w:hAnsi="Times New Roman" w:eastAsia="宋体" w:cstheme="minorBidi"/>
                <w:color w:val="auto"/>
                <w:kern w:val="2"/>
                <w:sz w:val="18"/>
                <w:szCs w:val="18"/>
                <w:highlight w:val="none"/>
                <w:lang w:val="en-US" w:eastAsia="zh-CN" w:bidi="ar-SA"/>
              </w:rPr>
            </w:pPr>
            <w:r>
              <w:rPr>
                <w:rFonts w:hint="eastAsia"/>
                <w:color w:val="auto"/>
                <w:highlight w:val="none"/>
                <w:lang w:val="en-US" w:eastAsia="zh-CN"/>
              </w:rPr>
              <w:t>废滤芯</w:t>
            </w:r>
          </w:p>
        </w:tc>
        <w:tc>
          <w:tcPr>
            <w:tcW w:w="1906" w:type="dxa"/>
            <w:shd w:val="clear" w:color="auto" w:fill="auto"/>
            <w:vAlign w:val="center"/>
          </w:tcPr>
          <w:p>
            <w:pPr>
              <w:pStyle w:val="34"/>
              <w:bidi w:val="0"/>
              <w:ind w:left="0" w:leftChars="0" w:firstLine="0" w:firstLineChars="0"/>
              <w:jc w:val="center"/>
              <w:rPr>
                <w:rFonts w:hint="default" w:ascii="Times New Roman" w:hAnsi="Times New Roman" w:eastAsia="宋体" w:cstheme="minorBidi"/>
                <w:color w:val="auto"/>
                <w:kern w:val="2"/>
                <w:sz w:val="18"/>
                <w:szCs w:val="18"/>
                <w:highlight w:val="none"/>
                <w:lang w:val="en-US" w:eastAsia="zh-CN" w:bidi="ar-SA"/>
              </w:rPr>
            </w:pPr>
            <w:r>
              <w:rPr>
                <w:rFonts w:hint="eastAsia"/>
                <w:color w:val="auto"/>
                <w:highlight w:val="none"/>
                <w:lang w:val="en-US" w:eastAsia="zh-CN"/>
              </w:rPr>
              <w:t>0.5</w:t>
            </w:r>
          </w:p>
        </w:tc>
        <w:tc>
          <w:tcPr>
            <w:tcW w:w="1653"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w:t>
            </w:r>
          </w:p>
        </w:tc>
        <w:tc>
          <w:tcPr>
            <w:tcW w:w="1698"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w:t>
            </w:r>
          </w:p>
        </w:tc>
        <w:tc>
          <w:tcPr>
            <w:tcW w:w="1782" w:type="dxa"/>
            <w:shd w:val="clear" w:color="auto" w:fill="auto"/>
            <w:vAlign w:val="center"/>
          </w:tcPr>
          <w:p>
            <w:pPr>
              <w:pStyle w:val="34"/>
              <w:bidi w:val="0"/>
              <w:ind w:left="0" w:leftChars="0" w:firstLine="0" w:firstLineChars="0"/>
              <w:jc w:val="center"/>
              <w:rPr>
                <w:rFonts w:hint="default" w:ascii="Times New Roman" w:hAnsi="Times New Roman" w:eastAsia="宋体" w:cstheme="minorBidi"/>
                <w:color w:val="auto"/>
                <w:kern w:val="2"/>
                <w:sz w:val="18"/>
                <w:szCs w:val="18"/>
                <w:highlight w:val="none"/>
                <w:lang w:val="en-US" w:eastAsia="zh-CN" w:bidi="ar-SA"/>
              </w:rPr>
            </w:pPr>
            <w:r>
              <w:rPr>
                <w:rFonts w:hint="eastAsia"/>
                <w:color w:val="auto"/>
                <w:highlight w:val="none"/>
                <w:lang w:val="en-US" w:eastAsia="zh-CN"/>
              </w:rPr>
              <w:t>0.85</w:t>
            </w:r>
          </w:p>
        </w:tc>
        <w:tc>
          <w:tcPr>
            <w:tcW w:w="1477" w:type="dxa"/>
            <w:shd w:val="clear" w:color="auto" w:fill="auto"/>
            <w:vAlign w:val="center"/>
          </w:tcPr>
          <w:p>
            <w:pPr>
              <w:pStyle w:val="34"/>
              <w:bidi w:val="0"/>
              <w:ind w:left="0" w:leftChars="0" w:firstLine="0" w:firstLineChars="0"/>
              <w:jc w:val="center"/>
              <w:rPr>
                <w:rFonts w:hint="default" w:ascii="Times New Roman" w:hAnsi="Times New Roman" w:eastAsia="宋体" w:cstheme="minorBidi"/>
                <w:color w:val="auto"/>
                <w:kern w:val="2"/>
                <w:sz w:val="18"/>
                <w:szCs w:val="18"/>
                <w:highlight w:val="none"/>
                <w:lang w:val="en-US" w:eastAsia="zh-CN" w:bidi="ar-SA"/>
              </w:rPr>
            </w:pPr>
            <w:r>
              <w:rPr>
                <w:rFonts w:hint="eastAsia" w:eastAsia="宋体" w:cstheme="minorBidi"/>
                <w:color w:val="auto"/>
                <w:kern w:val="2"/>
                <w:sz w:val="18"/>
                <w:szCs w:val="18"/>
                <w:highlight w:val="none"/>
                <w:lang w:val="en-US" w:eastAsia="zh-CN" w:bidi="ar-SA"/>
              </w:rPr>
              <w:t>0</w:t>
            </w:r>
          </w:p>
        </w:tc>
        <w:tc>
          <w:tcPr>
            <w:tcW w:w="1624" w:type="dxa"/>
            <w:shd w:val="clear" w:color="auto" w:fill="auto"/>
            <w:vAlign w:val="center"/>
          </w:tcPr>
          <w:p>
            <w:pPr>
              <w:pStyle w:val="34"/>
              <w:bidi w:val="0"/>
              <w:ind w:left="0" w:leftChars="0" w:firstLine="0" w:firstLineChars="0"/>
              <w:jc w:val="center"/>
              <w:rPr>
                <w:rFonts w:hint="eastAsia" w:ascii="Times New Roman" w:hAnsi="Times New Roman" w:eastAsia="宋体" w:cstheme="minorBidi"/>
                <w:color w:val="auto"/>
                <w:kern w:val="2"/>
                <w:sz w:val="18"/>
                <w:szCs w:val="18"/>
                <w:highlight w:val="none"/>
                <w:lang w:val="en-US" w:eastAsia="zh-CN" w:bidi="ar-SA"/>
              </w:rPr>
            </w:pPr>
            <w:r>
              <w:rPr>
                <w:rFonts w:hint="eastAsia"/>
                <w:color w:val="auto"/>
                <w:highlight w:val="none"/>
                <w:lang w:val="en-US" w:eastAsia="zh-CN"/>
              </w:rPr>
              <w:t>0.85</w:t>
            </w:r>
          </w:p>
        </w:tc>
        <w:tc>
          <w:tcPr>
            <w:tcW w:w="108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p>
        </w:tc>
        <w:tc>
          <w:tcPr>
            <w:tcW w:w="152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废润滑油</w:t>
            </w:r>
            <w:r>
              <w:rPr>
                <w:rFonts w:hint="default" w:ascii="Times New Roman" w:hAnsi="Times New Roman" w:cs="Times New Roman"/>
                <w:color w:val="auto"/>
                <w:sz w:val="18"/>
                <w:szCs w:val="18"/>
                <w:highlight w:val="none"/>
                <w:vertAlign w:val="baseline"/>
                <w:lang w:val="en-US" w:eastAsia="zh-CN"/>
              </w:rPr>
              <w:t>（t/a）</w:t>
            </w:r>
          </w:p>
        </w:tc>
        <w:tc>
          <w:tcPr>
            <w:tcW w:w="1906" w:type="dxa"/>
            <w:shd w:val="clear" w:color="auto" w:fill="auto"/>
            <w:vAlign w:val="center"/>
          </w:tcPr>
          <w:p>
            <w:pPr>
              <w:pStyle w:val="34"/>
              <w:bidi w:val="0"/>
              <w:ind w:left="0" w:leftChars="0" w:firstLine="0" w:firstLineChars="0"/>
              <w:jc w:val="center"/>
              <w:rPr>
                <w:rFonts w:hint="default" w:ascii="Times New Roman" w:hAnsi="Times New Roman" w:cs="Times New Roman" w:eastAsiaTheme="minorEastAsia"/>
                <w:color w:val="auto"/>
                <w:spacing w:val="0"/>
                <w:kern w:val="2"/>
                <w:sz w:val="18"/>
                <w:szCs w:val="18"/>
                <w:highlight w:val="none"/>
                <w:vertAlign w:val="baseline"/>
                <w:lang w:val="en-US" w:eastAsia="zh-CN" w:bidi="ar-SA"/>
              </w:rPr>
            </w:pPr>
            <w:r>
              <w:rPr>
                <w:rFonts w:hint="eastAsia"/>
                <w:color w:val="auto"/>
                <w:highlight w:val="none"/>
                <w:lang w:val="en-US" w:eastAsia="zh-CN"/>
              </w:rPr>
              <w:t>0.3</w:t>
            </w:r>
          </w:p>
        </w:tc>
        <w:tc>
          <w:tcPr>
            <w:tcW w:w="1653"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w:t>
            </w:r>
          </w:p>
        </w:tc>
        <w:tc>
          <w:tcPr>
            <w:tcW w:w="1698"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w:t>
            </w:r>
          </w:p>
        </w:tc>
        <w:tc>
          <w:tcPr>
            <w:tcW w:w="178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pacing w:val="0"/>
                <w:kern w:val="2"/>
                <w:sz w:val="18"/>
                <w:szCs w:val="18"/>
                <w:highlight w:val="none"/>
                <w:vertAlign w:val="baseline"/>
                <w:lang w:val="en-US" w:eastAsia="zh-CN" w:bidi="ar-SA"/>
              </w:rPr>
            </w:pPr>
            <w:r>
              <w:rPr>
                <w:rFonts w:hint="eastAsia" w:cs="Times New Roman" w:eastAsiaTheme="minorEastAsia"/>
                <w:color w:val="auto"/>
                <w:spacing w:val="0"/>
                <w:sz w:val="18"/>
                <w:szCs w:val="18"/>
                <w:highlight w:val="none"/>
                <w:vertAlign w:val="baseline"/>
                <w:lang w:val="en-US" w:eastAsia="zh-CN"/>
              </w:rPr>
              <w:t>0.7</w:t>
            </w:r>
          </w:p>
        </w:tc>
        <w:tc>
          <w:tcPr>
            <w:tcW w:w="1477"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w:t>
            </w:r>
          </w:p>
        </w:tc>
        <w:tc>
          <w:tcPr>
            <w:tcW w:w="162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pacing w:val="0"/>
                <w:kern w:val="2"/>
                <w:sz w:val="18"/>
                <w:szCs w:val="18"/>
                <w:highlight w:val="none"/>
                <w:vertAlign w:val="baseline"/>
                <w:lang w:val="en-US" w:eastAsia="zh-CN" w:bidi="ar-SA"/>
              </w:rPr>
            </w:pPr>
            <w:r>
              <w:rPr>
                <w:rFonts w:hint="eastAsia" w:cs="Times New Roman" w:eastAsiaTheme="minorEastAsia"/>
                <w:color w:val="auto"/>
                <w:spacing w:val="0"/>
                <w:sz w:val="18"/>
                <w:szCs w:val="18"/>
                <w:highlight w:val="none"/>
                <w:vertAlign w:val="baseline"/>
                <w:lang w:val="en-US" w:eastAsia="zh-CN"/>
              </w:rPr>
              <w:t>0.7</w:t>
            </w:r>
          </w:p>
        </w:tc>
        <w:tc>
          <w:tcPr>
            <w:tcW w:w="108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eastAsiaTheme="minorEastAsia"/>
                <w:color w:val="auto"/>
                <w:spacing w:val="0"/>
                <w:sz w:val="18"/>
                <w:szCs w:val="18"/>
                <w:highlight w:val="none"/>
                <w:vertAlign w:val="baseline"/>
                <w:lang w:val="en-US" w:eastAsia="zh-CN"/>
              </w:rPr>
            </w:pPr>
            <w:r>
              <w:rPr>
                <w:rFonts w:hint="eastAsia" w:cs="Times New Roman" w:eastAsiaTheme="minorEastAsia"/>
                <w:color w:val="auto"/>
                <w:spacing w:val="0"/>
                <w:sz w:val="18"/>
                <w:szCs w:val="18"/>
                <w:highlight w:val="none"/>
                <w:vertAlign w:val="baseline"/>
                <w:lang w:val="en-US" w:eastAsia="zh-CN"/>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p>
        </w:tc>
        <w:tc>
          <w:tcPr>
            <w:tcW w:w="152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废油桶</w:t>
            </w:r>
            <w:r>
              <w:rPr>
                <w:rFonts w:hint="default" w:ascii="Times New Roman" w:hAnsi="Times New Roman" w:cs="Times New Roman"/>
                <w:color w:val="auto"/>
                <w:sz w:val="18"/>
                <w:szCs w:val="18"/>
                <w:highlight w:val="none"/>
                <w:vertAlign w:val="baseline"/>
                <w:lang w:val="en-US" w:eastAsia="zh-CN"/>
              </w:rPr>
              <w:t>（t/a）</w:t>
            </w:r>
          </w:p>
        </w:tc>
        <w:tc>
          <w:tcPr>
            <w:tcW w:w="1906" w:type="dxa"/>
            <w:shd w:val="clear" w:color="auto" w:fill="auto"/>
            <w:vAlign w:val="center"/>
          </w:tcPr>
          <w:p>
            <w:pPr>
              <w:pStyle w:val="34"/>
              <w:bidi w:val="0"/>
              <w:ind w:left="0" w:leftChars="0" w:firstLine="0" w:firstLineChars="0"/>
              <w:jc w:val="center"/>
              <w:rPr>
                <w:rFonts w:hint="default" w:ascii="Times New Roman" w:hAnsi="Times New Roman" w:cs="Times New Roman" w:eastAsiaTheme="minorEastAsia"/>
                <w:color w:val="auto"/>
                <w:spacing w:val="0"/>
                <w:kern w:val="2"/>
                <w:sz w:val="18"/>
                <w:szCs w:val="18"/>
                <w:highlight w:val="none"/>
                <w:vertAlign w:val="baseline"/>
                <w:lang w:val="en-US" w:eastAsia="zh-CN" w:bidi="ar-SA"/>
              </w:rPr>
            </w:pPr>
            <w:r>
              <w:rPr>
                <w:rFonts w:hint="eastAsia"/>
                <w:color w:val="auto"/>
                <w:highlight w:val="none"/>
                <w:lang w:val="en-US" w:eastAsia="zh-CN"/>
              </w:rPr>
              <w:t>0.5</w:t>
            </w:r>
          </w:p>
        </w:tc>
        <w:tc>
          <w:tcPr>
            <w:tcW w:w="1653"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w:t>
            </w:r>
          </w:p>
        </w:tc>
        <w:tc>
          <w:tcPr>
            <w:tcW w:w="1698"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w:t>
            </w:r>
          </w:p>
        </w:tc>
        <w:tc>
          <w:tcPr>
            <w:tcW w:w="178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pacing w:val="0"/>
                <w:kern w:val="2"/>
                <w:sz w:val="18"/>
                <w:szCs w:val="18"/>
                <w:highlight w:val="none"/>
                <w:vertAlign w:val="baseline"/>
                <w:lang w:val="en-US" w:eastAsia="zh-CN" w:bidi="ar-SA"/>
              </w:rPr>
            </w:pPr>
            <w:r>
              <w:rPr>
                <w:rFonts w:hint="eastAsia" w:cs="Times New Roman" w:eastAsiaTheme="minorEastAsia"/>
                <w:color w:val="auto"/>
                <w:spacing w:val="0"/>
                <w:kern w:val="2"/>
                <w:sz w:val="18"/>
                <w:szCs w:val="18"/>
                <w:highlight w:val="none"/>
                <w:vertAlign w:val="baseline"/>
                <w:lang w:val="en-US" w:eastAsia="zh-CN" w:bidi="ar-SA"/>
              </w:rPr>
              <w:t>0.6</w:t>
            </w:r>
          </w:p>
        </w:tc>
        <w:tc>
          <w:tcPr>
            <w:tcW w:w="1477"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cs="Times New Roman"/>
                <w:color w:val="auto"/>
                <w:sz w:val="18"/>
                <w:szCs w:val="18"/>
                <w:highlight w:val="none"/>
                <w:vertAlign w:val="baseline"/>
                <w:lang w:val="en-US" w:eastAsia="zh-CN"/>
              </w:rPr>
            </w:pPr>
          </w:p>
        </w:tc>
        <w:tc>
          <w:tcPr>
            <w:tcW w:w="162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pacing w:val="0"/>
                <w:kern w:val="2"/>
                <w:sz w:val="18"/>
                <w:szCs w:val="18"/>
                <w:highlight w:val="none"/>
                <w:vertAlign w:val="baseline"/>
                <w:lang w:val="en-US" w:eastAsia="zh-CN" w:bidi="ar-SA"/>
              </w:rPr>
            </w:pPr>
            <w:r>
              <w:rPr>
                <w:rFonts w:hint="eastAsia" w:cs="Times New Roman" w:eastAsiaTheme="minorEastAsia"/>
                <w:color w:val="auto"/>
                <w:spacing w:val="0"/>
                <w:kern w:val="2"/>
                <w:sz w:val="18"/>
                <w:szCs w:val="18"/>
                <w:highlight w:val="none"/>
                <w:vertAlign w:val="baseline"/>
                <w:lang w:val="en-US" w:eastAsia="zh-CN" w:bidi="ar-SA"/>
              </w:rPr>
              <w:t>0.6</w:t>
            </w:r>
          </w:p>
        </w:tc>
        <w:tc>
          <w:tcPr>
            <w:tcW w:w="108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eastAsiaTheme="minorEastAsia"/>
                <w:color w:val="auto"/>
                <w:spacing w:val="0"/>
                <w:sz w:val="18"/>
                <w:szCs w:val="18"/>
                <w:highlight w:val="none"/>
                <w:vertAlign w:val="baseline"/>
                <w:lang w:val="en-US" w:eastAsia="zh-CN"/>
              </w:rPr>
            </w:pPr>
            <w:r>
              <w:rPr>
                <w:rFonts w:hint="eastAsia" w:cs="Times New Roman" w:eastAsiaTheme="minorEastAsia"/>
                <w:color w:val="auto"/>
                <w:spacing w:val="0"/>
                <w:sz w:val="18"/>
                <w:szCs w:val="18"/>
                <w:highlight w:val="none"/>
                <w:vertAlign w:val="baseline"/>
                <w:lang w:val="en-US" w:eastAsia="zh-CN"/>
              </w:rPr>
              <w:t>+0.1</w:t>
            </w:r>
          </w:p>
        </w:tc>
      </w:tr>
    </w:tbl>
    <w:p>
      <w:pPr>
        <w:bidi w:val="0"/>
        <w:ind w:left="0" w:lef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注：</w:t>
      </w:r>
      <w:r>
        <w:rPr>
          <w:rFonts w:hint="default" w:ascii="Times New Roman" w:hAnsi="Times New Roman" w:eastAsia="宋体" w:cs="Times New Roman"/>
          <w:color w:val="auto"/>
          <w:sz w:val="21"/>
          <w:szCs w:val="21"/>
          <w:highlight w:val="none"/>
          <w:lang w:eastAsia="zh-CN"/>
        </w:rPr>
        <w:t>⑥</w:t>
      </w:r>
      <w:r>
        <w:rPr>
          <w:rFonts w:hint="default" w:ascii="Times New Roman" w:hAnsi="Times New Roman" w:eastAsia="宋体" w:cs="Times New Roman"/>
          <w:color w:val="auto"/>
          <w:sz w:val="21"/>
          <w:szCs w:val="21"/>
          <w:highlight w:val="none"/>
          <w:lang w:val="en-US" w:eastAsia="zh-CN"/>
        </w:rPr>
        <w:t>=①+③+④-⑤；⑦=⑥-①</w:t>
      </w:r>
    </w:p>
    <w:p>
      <w:pPr>
        <w:bidi w:val="0"/>
        <w:rPr>
          <w:rFonts w:hint="default" w:ascii="Times New Roman" w:hAnsi="Times New Roman" w:eastAsia="宋体" w:cstheme="minorBidi"/>
          <w:color w:val="auto"/>
          <w:kern w:val="2"/>
          <w:sz w:val="24"/>
          <w:szCs w:val="24"/>
          <w:highlight w:val="none"/>
          <w:lang w:val="en-US" w:eastAsia="zh-CN" w:bidi="ar-SA"/>
        </w:rPr>
      </w:pPr>
    </w:p>
    <w:p>
      <w:pPr>
        <w:bidi w:val="0"/>
        <w:rPr>
          <w:rFonts w:hint="default"/>
          <w:color w:val="auto"/>
          <w:highlight w:val="none"/>
          <w:lang w:val="en-US" w:eastAsia="zh-CN"/>
        </w:rPr>
      </w:pPr>
    </w:p>
    <w:p>
      <w:pPr>
        <w:tabs>
          <w:tab w:val="left" w:pos="3281"/>
        </w:tabs>
        <w:bidi w:val="0"/>
        <w:jc w:val="left"/>
        <w:rPr>
          <w:rFonts w:hint="default"/>
          <w:color w:val="auto"/>
          <w:highlight w:val="none"/>
          <w:lang w:val="en-US" w:eastAsia="zh-CN"/>
        </w:rPr>
      </w:pPr>
      <w:r>
        <w:rPr>
          <w:rFonts w:hint="eastAsia"/>
          <w:color w:val="auto"/>
          <w:highlight w:val="none"/>
          <w:lang w:val="en-US" w:eastAsia="zh-CN"/>
        </w:rPr>
        <w:tab/>
      </w:r>
    </w:p>
    <w:sectPr>
      <w:headerReference r:id="rId10" w:type="default"/>
      <w:footerReference r:id="rId11" w:type="default"/>
      <w:pgSz w:w="16838" w:h="11906" w:orient="landscape"/>
      <w:pgMar w:top="1797" w:right="1440" w:bottom="1797" w:left="1440" w:header="1247" w:footer="992" w:gutter="0"/>
      <w:pgBorders w:offsetFrom="page">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keepNext w:val="0"/>
                            <w:keepLines w:val="0"/>
                            <w:pageBreakBefore w:val="0"/>
                            <w:widowControl w:val="0"/>
                            <w:kinsoku/>
                            <w:wordWrap/>
                            <w:overflowPunct/>
                            <w:topLinePunct w:val="0"/>
                            <w:bidi w:val="0"/>
                            <w:adjustRightInd/>
                            <w:snapToGrid w:val="0"/>
                            <w:ind w:firstLine="0" w:firstLineChars="0"/>
                            <w:jc w:val="center"/>
                            <w:textAlignment w:val="auto"/>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4"/>
                      <w:keepNext w:val="0"/>
                      <w:keepLines w:val="0"/>
                      <w:pageBreakBefore w:val="0"/>
                      <w:widowControl w:val="0"/>
                      <w:kinsoku/>
                      <w:wordWrap/>
                      <w:overflowPunct/>
                      <w:topLinePunct w:val="0"/>
                      <w:bidi w:val="0"/>
                      <w:adjustRightInd/>
                      <w:snapToGrid w:val="0"/>
                      <w:ind w:firstLine="0" w:firstLineChars="0"/>
                      <w:jc w:val="center"/>
                      <w:textAlignment w:val="auto"/>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keepNext w:val="0"/>
                            <w:keepLines w:val="0"/>
                            <w:pageBreakBefore w:val="0"/>
                            <w:widowControl w:val="0"/>
                            <w:kinsoku/>
                            <w:wordWrap/>
                            <w:overflowPunct/>
                            <w:topLinePunct w:val="0"/>
                            <w:bidi w:val="0"/>
                            <w:adjustRightInd/>
                            <w:snapToGrid w:val="0"/>
                            <w:ind w:firstLine="0" w:firstLineChars="0"/>
                            <w:jc w:val="center"/>
                            <w:textAlignment w:val="auto"/>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4"/>
                      <w:keepNext w:val="0"/>
                      <w:keepLines w:val="0"/>
                      <w:pageBreakBefore w:val="0"/>
                      <w:widowControl w:val="0"/>
                      <w:kinsoku/>
                      <w:wordWrap/>
                      <w:overflowPunct/>
                      <w:topLinePunct w:val="0"/>
                      <w:bidi w:val="0"/>
                      <w:adjustRightInd/>
                      <w:snapToGrid w:val="0"/>
                      <w:ind w:firstLine="0" w:firstLineChars="0"/>
                      <w:jc w:val="center"/>
                      <w:textAlignment w:val="auto"/>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keepNext w:val="0"/>
                            <w:keepLines w:val="0"/>
                            <w:pageBreakBefore w:val="0"/>
                            <w:widowControl w:val="0"/>
                            <w:kinsoku/>
                            <w:wordWrap/>
                            <w:overflowPunct/>
                            <w:topLinePunct w:val="0"/>
                            <w:bidi w:val="0"/>
                            <w:adjustRightInd/>
                            <w:snapToGrid w:val="0"/>
                            <w:ind w:firstLine="0" w:firstLineChars="0"/>
                            <w:jc w:val="center"/>
                            <w:textAlignment w:val="auto"/>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4"/>
                      <w:keepNext w:val="0"/>
                      <w:keepLines w:val="0"/>
                      <w:pageBreakBefore w:val="0"/>
                      <w:widowControl w:val="0"/>
                      <w:kinsoku/>
                      <w:wordWrap/>
                      <w:overflowPunct/>
                      <w:topLinePunct w:val="0"/>
                      <w:bidi w:val="0"/>
                      <w:adjustRightInd/>
                      <w:snapToGrid w:val="0"/>
                      <w:ind w:firstLine="0" w:firstLineChars="0"/>
                      <w:jc w:val="center"/>
                      <w:textAlignment w:val="auto"/>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4" w:space="1"/>
      </w:pBdr>
      <w:ind w:left="0" w:leftChars="0" w:firstLine="0" w:firstLineChars="0"/>
      <w:jc w:val="center"/>
      <w:rPr>
        <w:rFonts w:hint="default" w:ascii="楷体" w:hAnsi="楷体" w:eastAsia="楷体" w:cs="楷体"/>
        <w:b/>
        <w:bCs/>
        <w:color w:val="auto"/>
        <w:u w:val="single"/>
        <w:lang w:val="en-US" w:eastAsia="zh-CN"/>
      </w:rPr>
    </w:pPr>
    <w:r>
      <w:rPr>
        <w:rFonts w:hint="eastAsia" w:ascii="楷体" w:hAnsi="楷体" w:eastAsia="楷体" w:cs="楷体"/>
        <w:b/>
        <w:bCs/>
        <w:color w:val="auto"/>
        <w:u w:val="none"/>
        <w:lang w:val="en-US" w:eastAsia="zh-CN"/>
      </w:rPr>
      <w:t>制氧系统技术改造节能项目                                                     环境影响报告表</w:t>
    </w:r>
  </w:p>
  <w:p>
    <w:pPr>
      <w:pStyle w:val="15"/>
      <w:ind w:left="0" w:leftChars="0" w:firstLine="0" w:firstLineChars="0"/>
      <w:jc w:val="center"/>
      <w:rPr>
        <w:rFonts w:hint="default" w:ascii="楷体" w:hAnsi="楷体" w:eastAsia="楷体" w:cs="楷体"/>
        <w:b/>
        <w:bCs/>
        <w:color w:val="auto"/>
        <w:u w:val="single"/>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4" w:space="1"/>
      </w:pBdr>
      <w:ind w:left="0" w:leftChars="0" w:firstLine="0" w:firstLineChars="0"/>
      <w:jc w:val="center"/>
      <w:rPr>
        <w:rFonts w:hint="default" w:ascii="楷体" w:hAnsi="楷体" w:eastAsia="楷体" w:cs="楷体"/>
        <w:b/>
        <w:bCs/>
        <w:color w:val="auto"/>
        <w:u w:val="single"/>
        <w:lang w:val="en-US" w:eastAsia="zh-CN"/>
      </w:rPr>
    </w:pPr>
    <w:r>
      <w:rPr>
        <w:rFonts w:hint="eastAsia" w:ascii="楷体" w:hAnsi="楷体" w:eastAsia="楷体" w:cs="楷体"/>
        <w:b/>
        <w:bCs/>
        <w:color w:val="auto"/>
        <w:u w:val="none"/>
        <w:lang w:val="en-US" w:eastAsia="zh-CN"/>
      </w:rPr>
      <w:t>制氧系统技术改造节能项目                                                                                                                    环境影响报告表</w:t>
    </w:r>
  </w:p>
  <w:p>
    <w:pPr>
      <w:pStyle w:val="15"/>
      <w:ind w:left="0" w:leftChars="0" w:firstLine="0" w:firstLineChars="0"/>
      <w:jc w:val="center"/>
      <w:rPr>
        <w:rFonts w:hint="default" w:ascii="楷体" w:hAnsi="楷体" w:eastAsia="楷体" w:cs="楷体"/>
        <w:b/>
        <w:bCs/>
        <w:color w:val="auto"/>
        <w:u w:val="single"/>
        <w:lang w:val="en-US"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4" w:space="1"/>
      </w:pBdr>
      <w:ind w:left="0" w:leftChars="0" w:firstLine="0" w:firstLineChars="0"/>
      <w:jc w:val="center"/>
      <w:rPr>
        <w:rFonts w:hint="default" w:ascii="楷体" w:hAnsi="楷体" w:eastAsia="楷体" w:cs="楷体"/>
        <w:b/>
        <w:bCs/>
        <w:color w:val="auto"/>
        <w:u w:val="single"/>
        <w:lang w:val="en-US" w:eastAsia="zh-CN"/>
      </w:rPr>
    </w:pPr>
    <w:r>
      <w:rPr>
        <w:rFonts w:hint="eastAsia" w:ascii="楷体" w:hAnsi="楷体" w:eastAsia="楷体" w:cs="楷体"/>
        <w:b/>
        <w:bCs/>
        <w:color w:val="auto"/>
        <w:u w:val="none"/>
        <w:lang w:val="en-US" w:eastAsia="zh-CN"/>
      </w:rPr>
      <w:t>制氧系统技术改造节能项目                                                     环境影响报告表</w:t>
    </w:r>
  </w:p>
  <w:p>
    <w:pPr>
      <w:pStyle w:val="15"/>
      <w:ind w:left="0" w:leftChars="0" w:firstLine="0" w:firstLineChars="0"/>
      <w:jc w:val="center"/>
      <w:rPr>
        <w:rFonts w:hint="default" w:ascii="楷体" w:hAnsi="楷体" w:eastAsia="楷体" w:cs="楷体"/>
        <w:b/>
        <w:bCs/>
        <w:color w:val="auto"/>
        <w:u w:val="single"/>
        <w:lang w:val="en-US"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left="0" w:leftChars="0" w:firstLine="0" w:firstLineChars="0"/>
      <w:jc w:val="center"/>
      <w:rPr>
        <w:rFonts w:hint="default" w:ascii="楷体" w:hAnsi="楷体" w:eastAsia="楷体" w:cs="楷体"/>
        <w:b/>
        <w:bCs/>
        <w:color w:val="auto"/>
        <w:u w:val="single"/>
        <w:lang w:val="en-US" w:eastAsia="zh-CN"/>
      </w:rPr>
    </w:pPr>
    <w:r>
      <w:rPr>
        <w:rFonts w:hint="default" w:ascii="楷体" w:hAnsi="楷体" w:eastAsia="楷体" w:cs="楷体"/>
        <w:b/>
        <w:bCs/>
        <w:color w:val="auto"/>
        <w:u w:val="single"/>
        <w:lang w:val="en-US" w:eastAsia="zh-CN"/>
      </w:rPr>
      <w:t>制氧系统技术改造节能项目</w:t>
    </w:r>
    <w:r>
      <w:rPr>
        <w:rFonts w:hint="eastAsia" w:ascii="楷体" w:hAnsi="楷体" w:eastAsia="楷体" w:cs="楷体"/>
        <w:b/>
        <w:bCs/>
        <w:color w:val="auto"/>
        <w:u w:val="single"/>
        <w:lang w:val="en-US" w:eastAsia="zh-CN"/>
      </w:rPr>
      <w:t xml:space="preserve">                                                                           </w:t>
    </w:r>
    <w:r>
      <w:rPr>
        <w:rFonts w:hint="default" w:ascii="楷体" w:hAnsi="楷体" w:eastAsia="楷体" w:cs="楷体"/>
        <w:b/>
        <w:bCs/>
        <w:color w:val="auto"/>
        <w:u w:val="single"/>
        <w:lang w:val="en-US" w:eastAsia="zh-CN"/>
      </w:rPr>
      <w:t xml:space="preserve">               </w:t>
    </w:r>
    <w:r>
      <w:rPr>
        <w:rFonts w:hint="eastAsia" w:ascii="楷体" w:hAnsi="楷体" w:eastAsia="楷体" w:cs="楷体"/>
        <w:b/>
        <w:bCs/>
        <w:color w:val="auto"/>
        <w:u w:val="single"/>
        <w:lang w:val="en-US" w:eastAsia="zh-CN"/>
      </w:rPr>
      <w:t xml:space="preserve">                          </w:t>
    </w:r>
    <w:r>
      <w:rPr>
        <w:rFonts w:hint="default" w:ascii="楷体" w:hAnsi="楷体" w:eastAsia="楷体" w:cs="楷体"/>
        <w:b/>
        <w:bCs/>
        <w:color w:val="auto"/>
        <w:u w:val="single"/>
        <w:lang w:val="en-US" w:eastAsia="zh-CN"/>
      </w:rPr>
      <w:t>环境影响报告表</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JkOGI0MTUwYjY1MjFiZTBlOGE1ZDRjMzMwZDA2MzgifQ=="/>
  </w:docVars>
  <w:rsids>
    <w:rsidRoot w:val="00172A27"/>
    <w:rsid w:val="000E6768"/>
    <w:rsid w:val="00327742"/>
    <w:rsid w:val="00490BB0"/>
    <w:rsid w:val="00537C28"/>
    <w:rsid w:val="00727D0D"/>
    <w:rsid w:val="00CB2D12"/>
    <w:rsid w:val="00D01DBD"/>
    <w:rsid w:val="011E00E3"/>
    <w:rsid w:val="01487061"/>
    <w:rsid w:val="014E38FE"/>
    <w:rsid w:val="01687703"/>
    <w:rsid w:val="01875DDB"/>
    <w:rsid w:val="01A3073B"/>
    <w:rsid w:val="01AB2691"/>
    <w:rsid w:val="01AE5837"/>
    <w:rsid w:val="01CC50FF"/>
    <w:rsid w:val="01D34ED5"/>
    <w:rsid w:val="023E7EE0"/>
    <w:rsid w:val="02493090"/>
    <w:rsid w:val="025E76CC"/>
    <w:rsid w:val="02B77999"/>
    <w:rsid w:val="02BB7746"/>
    <w:rsid w:val="02D614C6"/>
    <w:rsid w:val="02DC3F04"/>
    <w:rsid w:val="02EA5BAE"/>
    <w:rsid w:val="03035935"/>
    <w:rsid w:val="035E4919"/>
    <w:rsid w:val="035E779F"/>
    <w:rsid w:val="0379081F"/>
    <w:rsid w:val="03FB1EF8"/>
    <w:rsid w:val="04221DEB"/>
    <w:rsid w:val="04375528"/>
    <w:rsid w:val="045745BB"/>
    <w:rsid w:val="04697A1A"/>
    <w:rsid w:val="04DE5D44"/>
    <w:rsid w:val="04F80D9E"/>
    <w:rsid w:val="05085485"/>
    <w:rsid w:val="051F61C8"/>
    <w:rsid w:val="05240FCE"/>
    <w:rsid w:val="05330902"/>
    <w:rsid w:val="054438FD"/>
    <w:rsid w:val="054D37FE"/>
    <w:rsid w:val="054E234F"/>
    <w:rsid w:val="058878CD"/>
    <w:rsid w:val="058D24D1"/>
    <w:rsid w:val="05B73D00"/>
    <w:rsid w:val="05BA6C1B"/>
    <w:rsid w:val="05DB66F5"/>
    <w:rsid w:val="064C0DAA"/>
    <w:rsid w:val="065668D5"/>
    <w:rsid w:val="06813E39"/>
    <w:rsid w:val="068F0037"/>
    <w:rsid w:val="06B432E2"/>
    <w:rsid w:val="06BE36D2"/>
    <w:rsid w:val="06E31D05"/>
    <w:rsid w:val="06E92AAF"/>
    <w:rsid w:val="06FC0676"/>
    <w:rsid w:val="0707708F"/>
    <w:rsid w:val="077F1302"/>
    <w:rsid w:val="079270C9"/>
    <w:rsid w:val="08037BD0"/>
    <w:rsid w:val="082C6279"/>
    <w:rsid w:val="08365E65"/>
    <w:rsid w:val="087B7D1C"/>
    <w:rsid w:val="088C3962"/>
    <w:rsid w:val="08AA23AF"/>
    <w:rsid w:val="08CA386D"/>
    <w:rsid w:val="08CD7283"/>
    <w:rsid w:val="08D31953"/>
    <w:rsid w:val="08D6431D"/>
    <w:rsid w:val="08DA352E"/>
    <w:rsid w:val="08DB07BA"/>
    <w:rsid w:val="08E50D18"/>
    <w:rsid w:val="08EF690D"/>
    <w:rsid w:val="099F12A5"/>
    <w:rsid w:val="09C01DFB"/>
    <w:rsid w:val="09DB5391"/>
    <w:rsid w:val="09EB05D3"/>
    <w:rsid w:val="09F35622"/>
    <w:rsid w:val="0A0F018C"/>
    <w:rsid w:val="0A1C72DC"/>
    <w:rsid w:val="0A397E8E"/>
    <w:rsid w:val="0A4D5AB3"/>
    <w:rsid w:val="0AEC3153"/>
    <w:rsid w:val="0B08333D"/>
    <w:rsid w:val="0B216FAE"/>
    <w:rsid w:val="0B352B25"/>
    <w:rsid w:val="0B494101"/>
    <w:rsid w:val="0B5C1F3A"/>
    <w:rsid w:val="0B6251C3"/>
    <w:rsid w:val="0B675BC2"/>
    <w:rsid w:val="0B835865"/>
    <w:rsid w:val="0B8769D7"/>
    <w:rsid w:val="0B8D0851"/>
    <w:rsid w:val="0BA65AB0"/>
    <w:rsid w:val="0BB103E4"/>
    <w:rsid w:val="0BFC4AAD"/>
    <w:rsid w:val="0C0976C4"/>
    <w:rsid w:val="0C0A6F52"/>
    <w:rsid w:val="0C230DF6"/>
    <w:rsid w:val="0C410AA7"/>
    <w:rsid w:val="0CA912FB"/>
    <w:rsid w:val="0CCF08C1"/>
    <w:rsid w:val="0CEF6BD7"/>
    <w:rsid w:val="0CFA3905"/>
    <w:rsid w:val="0D1947DD"/>
    <w:rsid w:val="0D9D5110"/>
    <w:rsid w:val="0DB436D2"/>
    <w:rsid w:val="0DD028B8"/>
    <w:rsid w:val="0DD84DFE"/>
    <w:rsid w:val="0DF96789"/>
    <w:rsid w:val="0E1E0278"/>
    <w:rsid w:val="0E1F1149"/>
    <w:rsid w:val="0E9443F6"/>
    <w:rsid w:val="0EBA4230"/>
    <w:rsid w:val="0EE54141"/>
    <w:rsid w:val="0EE84733"/>
    <w:rsid w:val="0F2A424A"/>
    <w:rsid w:val="0F2E5AE8"/>
    <w:rsid w:val="0F362BEE"/>
    <w:rsid w:val="0F521A4C"/>
    <w:rsid w:val="0F615EBD"/>
    <w:rsid w:val="0F6B6916"/>
    <w:rsid w:val="0F930F33"/>
    <w:rsid w:val="0F9B187B"/>
    <w:rsid w:val="0FB13ED8"/>
    <w:rsid w:val="0FC95811"/>
    <w:rsid w:val="0FDB2572"/>
    <w:rsid w:val="0FF63667"/>
    <w:rsid w:val="100674FE"/>
    <w:rsid w:val="1015499F"/>
    <w:rsid w:val="102F30F1"/>
    <w:rsid w:val="10507CE0"/>
    <w:rsid w:val="10993435"/>
    <w:rsid w:val="10B15DC1"/>
    <w:rsid w:val="10B34617"/>
    <w:rsid w:val="10D97CD5"/>
    <w:rsid w:val="118714DF"/>
    <w:rsid w:val="11C7099B"/>
    <w:rsid w:val="11D51F9E"/>
    <w:rsid w:val="11F332E6"/>
    <w:rsid w:val="127F48AC"/>
    <w:rsid w:val="12AF0CEE"/>
    <w:rsid w:val="12B66520"/>
    <w:rsid w:val="12C41B11"/>
    <w:rsid w:val="12EA61CA"/>
    <w:rsid w:val="130F415C"/>
    <w:rsid w:val="13120640"/>
    <w:rsid w:val="13201BEB"/>
    <w:rsid w:val="13456224"/>
    <w:rsid w:val="138A7BA7"/>
    <w:rsid w:val="13BD6AF7"/>
    <w:rsid w:val="13C7650B"/>
    <w:rsid w:val="13D03F8E"/>
    <w:rsid w:val="13E53051"/>
    <w:rsid w:val="13E939FC"/>
    <w:rsid w:val="140D43C4"/>
    <w:rsid w:val="14200646"/>
    <w:rsid w:val="145C30F7"/>
    <w:rsid w:val="145E2090"/>
    <w:rsid w:val="148137BC"/>
    <w:rsid w:val="14B00D4D"/>
    <w:rsid w:val="154A0F30"/>
    <w:rsid w:val="155624BE"/>
    <w:rsid w:val="155800E5"/>
    <w:rsid w:val="15656AE1"/>
    <w:rsid w:val="15826B8D"/>
    <w:rsid w:val="15F96F8C"/>
    <w:rsid w:val="160D7033"/>
    <w:rsid w:val="160E7BCB"/>
    <w:rsid w:val="16135A37"/>
    <w:rsid w:val="16790431"/>
    <w:rsid w:val="16907D8F"/>
    <w:rsid w:val="16A36B30"/>
    <w:rsid w:val="16B74F8B"/>
    <w:rsid w:val="16F031C5"/>
    <w:rsid w:val="16FE7FF8"/>
    <w:rsid w:val="17010F4F"/>
    <w:rsid w:val="1701104A"/>
    <w:rsid w:val="17167ACC"/>
    <w:rsid w:val="171E6442"/>
    <w:rsid w:val="172D0D7B"/>
    <w:rsid w:val="17552E00"/>
    <w:rsid w:val="17877128"/>
    <w:rsid w:val="17BB1EE3"/>
    <w:rsid w:val="17F764C9"/>
    <w:rsid w:val="17FE0021"/>
    <w:rsid w:val="180617AD"/>
    <w:rsid w:val="182E6B59"/>
    <w:rsid w:val="184376D1"/>
    <w:rsid w:val="18593C96"/>
    <w:rsid w:val="188A033F"/>
    <w:rsid w:val="189A729C"/>
    <w:rsid w:val="18BA663E"/>
    <w:rsid w:val="18DF42F7"/>
    <w:rsid w:val="193745B2"/>
    <w:rsid w:val="193E094F"/>
    <w:rsid w:val="19510A53"/>
    <w:rsid w:val="19566367"/>
    <w:rsid w:val="195E736E"/>
    <w:rsid w:val="19840D69"/>
    <w:rsid w:val="19841451"/>
    <w:rsid w:val="19892FF3"/>
    <w:rsid w:val="19D16372"/>
    <w:rsid w:val="1A646758"/>
    <w:rsid w:val="1A700CAC"/>
    <w:rsid w:val="1A8E7D82"/>
    <w:rsid w:val="1B043BA1"/>
    <w:rsid w:val="1B2C7D7E"/>
    <w:rsid w:val="1B5771AB"/>
    <w:rsid w:val="1B830F69"/>
    <w:rsid w:val="1BAC6712"/>
    <w:rsid w:val="1BC400C8"/>
    <w:rsid w:val="1BC72E37"/>
    <w:rsid w:val="1BCA3D7D"/>
    <w:rsid w:val="1C1442B7"/>
    <w:rsid w:val="1C5823F6"/>
    <w:rsid w:val="1C8E5E18"/>
    <w:rsid w:val="1CBA4E5F"/>
    <w:rsid w:val="1CC150FF"/>
    <w:rsid w:val="1CC57360"/>
    <w:rsid w:val="1CF72401"/>
    <w:rsid w:val="1CFE13A0"/>
    <w:rsid w:val="1D497F67"/>
    <w:rsid w:val="1D4D4293"/>
    <w:rsid w:val="1D4D7FEE"/>
    <w:rsid w:val="1D5A219E"/>
    <w:rsid w:val="1D7B65A1"/>
    <w:rsid w:val="1D807E56"/>
    <w:rsid w:val="1DAD49C3"/>
    <w:rsid w:val="1DAF7E97"/>
    <w:rsid w:val="1DC615E1"/>
    <w:rsid w:val="1DF91943"/>
    <w:rsid w:val="1E2C1FF0"/>
    <w:rsid w:val="1E403142"/>
    <w:rsid w:val="1E427988"/>
    <w:rsid w:val="1E673ED5"/>
    <w:rsid w:val="1E694596"/>
    <w:rsid w:val="1E6F2058"/>
    <w:rsid w:val="1E866C32"/>
    <w:rsid w:val="1EC02FA4"/>
    <w:rsid w:val="1ED86BC2"/>
    <w:rsid w:val="1F0673EC"/>
    <w:rsid w:val="1F171FDC"/>
    <w:rsid w:val="1F2C4B31"/>
    <w:rsid w:val="1F6430E3"/>
    <w:rsid w:val="1F7237CF"/>
    <w:rsid w:val="1FA46891"/>
    <w:rsid w:val="1FED10A7"/>
    <w:rsid w:val="1FF90BF4"/>
    <w:rsid w:val="20010F7A"/>
    <w:rsid w:val="200C2236"/>
    <w:rsid w:val="200F101E"/>
    <w:rsid w:val="203B55F5"/>
    <w:rsid w:val="20483C7A"/>
    <w:rsid w:val="20A43A0C"/>
    <w:rsid w:val="20BB2B08"/>
    <w:rsid w:val="20C036B0"/>
    <w:rsid w:val="20D20BB6"/>
    <w:rsid w:val="20F555B5"/>
    <w:rsid w:val="210E7F6E"/>
    <w:rsid w:val="21136BB7"/>
    <w:rsid w:val="21354AB4"/>
    <w:rsid w:val="213C1917"/>
    <w:rsid w:val="219657FD"/>
    <w:rsid w:val="21C36564"/>
    <w:rsid w:val="21EA3CE3"/>
    <w:rsid w:val="21F65513"/>
    <w:rsid w:val="222F3BF9"/>
    <w:rsid w:val="223706A6"/>
    <w:rsid w:val="22665141"/>
    <w:rsid w:val="22682C67"/>
    <w:rsid w:val="228E794A"/>
    <w:rsid w:val="22963C78"/>
    <w:rsid w:val="229B44C6"/>
    <w:rsid w:val="22A30143"/>
    <w:rsid w:val="22CE51C0"/>
    <w:rsid w:val="22D33E14"/>
    <w:rsid w:val="22E41882"/>
    <w:rsid w:val="22E4262A"/>
    <w:rsid w:val="235C43A8"/>
    <w:rsid w:val="23E822B1"/>
    <w:rsid w:val="23F21382"/>
    <w:rsid w:val="241430A6"/>
    <w:rsid w:val="24177B5A"/>
    <w:rsid w:val="241B0FD8"/>
    <w:rsid w:val="24515937"/>
    <w:rsid w:val="245F2459"/>
    <w:rsid w:val="24743B45"/>
    <w:rsid w:val="24883A94"/>
    <w:rsid w:val="248F097F"/>
    <w:rsid w:val="25072C0B"/>
    <w:rsid w:val="25366940"/>
    <w:rsid w:val="25551BC9"/>
    <w:rsid w:val="256571E6"/>
    <w:rsid w:val="258C096B"/>
    <w:rsid w:val="264E29E7"/>
    <w:rsid w:val="26551093"/>
    <w:rsid w:val="26602AEF"/>
    <w:rsid w:val="26682D87"/>
    <w:rsid w:val="26A06E73"/>
    <w:rsid w:val="26BF0A72"/>
    <w:rsid w:val="26C80178"/>
    <w:rsid w:val="271D7342"/>
    <w:rsid w:val="275B2D9A"/>
    <w:rsid w:val="27C052F3"/>
    <w:rsid w:val="27DF39CB"/>
    <w:rsid w:val="282E409A"/>
    <w:rsid w:val="283E5715"/>
    <w:rsid w:val="28681028"/>
    <w:rsid w:val="28710DD6"/>
    <w:rsid w:val="288928B9"/>
    <w:rsid w:val="28A32C4B"/>
    <w:rsid w:val="28B37497"/>
    <w:rsid w:val="28C03598"/>
    <w:rsid w:val="28CD7CC8"/>
    <w:rsid w:val="28D67130"/>
    <w:rsid w:val="28E41475"/>
    <w:rsid w:val="2936586D"/>
    <w:rsid w:val="29503323"/>
    <w:rsid w:val="29763EBB"/>
    <w:rsid w:val="297D159E"/>
    <w:rsid w:val="29B35110"/>
    <w:rsid w:val="29C72969"/>
    <w:rsid w:val="2A351FC9"/>
    <w:rsid w:val="2A467D32"/>
    <w:rsid w:val="2A743FEE"/>
    <w:rsid w:val="2B0B2D29"/>
    <w:rsid w:val="2B3265D2"/>
    <w:rsid w:val="2B3C1FFE"/>
    <w:rsid w:val="2B632B65"/>
    <w:rsid w:val="2B886128"/>
    <w:rsid w:val="2BB66F76"/>
    <w:rsid w:val="2BCA04EF"/>
    <w:rsid w:val="2BE47802"/>
    <w:rsid w:val="2C061E34"/>
    <w:rsid w:val="2C0954BB"/>
    <w:rsid w:val="2C2C11A9"/>
    <w:rsid w:val="2C3A56D1"/>
    <w:rsid w:val="2C521827"/>
    <w:rsid w:val="2C5B1DC9"/>
    <w:rsid w:val="2C5D1363"/>
    <w:rsid w:val="2C7F535E"/>
    <w:rsid w:val="2CA376BD"/>
    <w:rsid w:val="2CC82C80"/>
    <w:rsid w:val="2CC85717"/>
    <w:rsid w:val="2CCF5514"/>
    <w:rsid w:val="2CDD22AB"/>
    <w:rsid w:val="2D2B7713"/>
    <w:rsid w:val="2D412A32"/>
    <w:rsid w:val="2D4967D5"/>
    <w:rsid w:val="2D524C40"/>
    <w:rsid w:val="2D736E31"/>
    <w:rsid w:val="2D7D015F"/>
    <w:rsid w:val="2D987F93"/>
    <w:rsid w:val="2DCF30F2"/>
    <w:rsid w:val="2E206AEC"/>
    <w:rsid w:val="2E382087"/>
    <w:rsid w:val="2E974C51"/>
    <w:rsid w:val="2EA53E15"/>
    <w:rsid w:val="2EB45BB2"/>
    <w:rsid w:val="2EFF2BA5"/>
    <w:rsid w:val="2F544C9F"/>
    <w:rsid w:val="2F672EFF"/>
    <w:rsid w:val="2F6C56E2"/>
    <w:rsid w:val="2F84677E"/>
    <w:rsid w:val="2FA6143A"/>
    <w:rsid w:val="2FBD105F"/>
    <w:rsid w:val="2FCD44E0"/>
    <w:rsid w:val="2FE222AB"/>
    <w:rsid w:val="303040BA"/>
    <w:rsid w:val="308027F1"/>
    <w:rsid w:val="30910F70"/>
    <w:rsid w:val="3092758F"/>
    <w:rsid w:val="30CC6AB7"/>
    <w:rsid w:val="30D53A75"/>
    <w:rsid w:val="30F57DBC"/>
    <w:rsid w:val="311956BC"/>
    <w:rsid w:val="31344D88"/>
    <w:rsid w:val="31466869"/>
    <w:rsid w:val="31524418"/>
    <w:rsid w:val="3152520E"/>
    <w:rsid w:val="31687D55"/>
    <w:rsid w:val="31C83722"/>
    <w:rsid w:val="31D2634F"/>
    <w:rsid w:val="31D71BB7"/>
    <w:rsid w:val="31F070F9"/>
    <w:rsid w:val="31F55D06"/>
    <w:rsid w:val="32067C9F"/>
    <w:rsid w:val="32433279"/>
    <w:rsid w:val="326E6078"/>
    <w:rsid w:val="327F64D7"/>
    <w:rsid w:val="32C26190"/>
    <w:rsid w:val="32D7408D"/>
    <w:rsid w:val="32F86E9A"/>
    <w:rsid w:val="33090886"/>
    <w:rsid w:val="3317670F"/>
    <w:rsid w:val="333465F2"/>
    <w:rsid w:val="3380233F"/>
    <w:rsid w:val="33943641"/>
    <w:rsid w:val="339F04B3"/>
    <w:rsid w:val="33A632DF"/>
    <w:rsid w:val="342A4220"/>
    <w:rsid w:val="34384B8F"/>
    <w:rsid w:val="3449265E"/>
    <w:rsid w:val="344A2458"/>
    <w:rsid w:val="344A6670"/>
    <w:rsid w:val="34565015"/>
    <w:rsid w:val="34590DB4"/>
    <w:rsid w:val="349605C0"/>
    <w:rsid w:val="35494613"/>
    <w:rsid w:val="356D6099"/>
    <w:rsid w:val="35A324DC"/>
    <w:rsid w:val="35BC7646"/>
    <w:rsid w:val="35E46651"/>
    <w:rsid w:val="360B1967"/>
    <w:rsid w:val="362A49AB"/>
    <w:rsid w:val="3652180C"/>
    <w:rsid w:val="368D0E6A"/>
    <w:rsid w:val="36A35DCE"/>
    <w:rsid w:val="36AB3903"/>
    <w:rsid w:val="36BA5D2F"/>
    <w:rsid w:val="36D15943"/>
    <w:rsid w:val="3705439B"/>
    <w:rsid w:val="370C4E7B"/>
    <w:rsid w:val="37173E63"/>
    <w:rsid w:val="37245FA9"/>
    <w:rsid w:val="374B6384"/>
    <w:rsid w:val="37AC40A9"/>
    <w:rsid w:val="37D03331"/>
    <w:rsid w:val="37D46512"/>
    <w:rsid w:val="37E66CE8"/>
    <w:rsid w:val="38190834"/>
    <w:rsid w:val="38222E62"/>
    <w:rsid w:val="386C3059"/>
    <w:rsid w:val="387737AC"/>
    <w:rsid w:val="38C178F0"/>
    <w:rsid w:val="38DF7CCF"/>
    <w:rsid w:val="38FE1C93"/>
    <w:rsid w:val="39432432"/>
    <w:rsid w:val="395A1104"/>
    <w:rsid w:val="39D95A45"/>
    <w:rsid w:val="39E60BE9"/>
    <w:rsid w:val="39E97F95"/>
    <w:rsid w:val="39F36D58"/>
    <w:rsid w:val="3A0E3C8A"/>
    <w:rsid w:val="3A105C66"/>
    <w:rsid w:val="3A1F5EA9"/>
    <w:rsid w:val="3A633C4C"/>
    <w:rsid w:val="3A697E78"/>
    <w:rsid w:val="3A8017A8"/>
    <w:rsid w:val="3A83108A"/>
    <w:rsid w:val="3A9315A8"/>
    <w:rsid w:val="3AA90B5A"/>
    <w:rsid w:val="3AC044D7"/>
    <w:rsid w:val="3B2F1426"/>
    <w:rsid w:val="3B343BD6"/>
    <w:rsid w:val="3B3C073C"/>
    <w:rsid w:val="3B3E435B"/>
    <w:rsid w:val="3B561D9F"/>
    <w:rsid w:val="3B5A363D"/>
    <w:rsid w:val="3B7B0309"/>
    <w:rsid w:val="3B912DD7"/>
    <w:rsid w:val="3B921781"/>
    <w:rsid w:val="3B9A612F"/>
    <w:rsid w:val="3B9D5784"/>
    <w:rsid w:val="3BC907C3"/>
    <w:rsid w:val="3BCE5DD9"/>
    <w:rsid w:val="3C0E2679"/>
    <w:rsid w:val="3C116506"/>
    <w:rsid w:val="3C175240"/>
    <w:rsid w:val="3C20213A"/>
    <w:rsid w:val="3C3118F6"/>
    <w:rsid w:val="3C4B24C9"/>
    <w:rsid w:val="3C6F06EF"/>
    <w:rsid w:val="3CAE5034"/>
    <w:rsid w:val="3CB1259C"/>
    <w:rsid w:val="3CEC29BB"/>
    <w:rsid w:val="3D1450B0"/>
    <w:rsid w:val="3D5D773A"/>
    <w:rsid w:val="3D6407A3"/>
    <w:rsid w:val="3D9978B1"/>
    <w:rsid w:val="3D9C2EFE"/>
    <w:rsid w:val="3DA10E18"/>
    <w:rsid w:val="3DAA533F"/>
    <w:rsid w:val="3DC05068"/>
    <w:rsid w:val="3DC079A3"/>
    <w:rsid w:val="3DE53341"/>
    <w:rsid w:val="3E58690B"/>
    <w:rsid w:val="3E622809"/>
    <w:rsid w:val="3E6E11AD"/>
    <w:rsid w:val="3E7B6ADB"/>
    <w:rsid w:val="3E8A248B"/>
    <w:rsid w:val="3E946D6E"/>
    <w:rsid w:val="3E9559D1"/>
    <w:rsid w:val="3EA01CAF"/>
    <w:rsid w:val="3EA05A57"/>
    <w:rsid w:val="3EA17287"/>
    <w:rsid w:val="3F197EF6"/>
    <w:rsid w:val="3F6C7DE3"/>
    <w:rsid w:val="3F7C2FCE"/>
    <w:rsid w:val="3FA27361"/>
    <w:rsid w:val="3FCB2D5B"/>
    <w:rsid w:val="404843AC"/>
    <w:rsid w:val="40703AF3"/>
    <w:rsid w:val="409A44DC"/>
    <w:rsid w:val="411029F0"/>
    <w:rsid w:val="41130852"/>
    <w:rsid w:val="41466412"/>
    <w:rsid w:val="414A0387"/>
    <w:rsid w:val="415B4202"/>
    <w:rsid w:val="41615A0F"/>
    <w:rsid w:val="417C1E33"/>
    <w:rsid w:val="41820F87"/>
    <w:rsid w:val="418D5DEE"/>
    <w:rsid w:val="41964DFB"/>
    <w:rsid w:val="419B050B"/>
    <w:rsid w:val="41AC5C75"/>
    <w:rsid w:val="41CC1BD8"/>
    <w:rsid w:val="41D43A1D"/>
    <w:rsid w:val="41E53E7C"/>
    <w:rsid w:val="420662CD"/>
    <w:rsid w:val="42143389"/>
    <w:rsid w:val="423A5272"/>
    <w:rsid w:val="42440BA3"/>
    <w:rsid w:val="4278455B"/>
    <w:rsid w:val="42972E87"/>
    <w:rsid w:val="42DA5063"/>
    <w:rsid w:val="42EA346B"/>
    <w:rsid w:val="43060126"/>
    <w:rsid w:val="4321330A"/>
    <w:rsid w:val="43243202"/>
    <w:rsid w:val="433A3D54"/>
    <w:rsid w:val="4348248A"/>
    <w:rsid w:val="435511B8"/>
    <w:rsid w:val="4374370A"/>
    <w:rsid w:val="438A6A89"/>
    <w:rsid w:val="43C33D49"/>
    <w:rsid w:val="43D86988"/>
    <w:rsid w:val="43DB3A45"/>
    <w:rsid w:val="43E452B0"/>
    <w:rsid w:val="4405646E"/>
    <w:rsid w:val="440E76BA"/>
    <w:rsid w:val="4458062A"/>
    <w:rsid w:val="445A46AE"/>
    <w:rsid w:val="44867254"/>
    <w:rsid w:val="44C925A2"/>
    <w:rsid w:val="44E92EB0"/>
    <w:rsid w:val="44E95A32"/>
    <w:rsid w:val="45202C09"/>
    <w:rsid w:val="45C51FFB"/>
    <w:rsid w:val="45E93FED"/>
    <w:rsid w:val="45FE31FE"/>
    <w:rsid w:val="46357180"/>
    <w:rsid w:val="465515D1"/>
    <w:rsid w:val="466C691A"/>
    <w:rsid w:val="46733CB9"/>
    <w:rsid w:val="46EE5581"/>
    <w:rsid w:val="46F81F5C"/>
    <w:rsid w:val="47231568"/>
    <w:rsid w:val="47541888"/>
    <w:rsid w:val="475E44B5"/>
    <w:rsid w:val="475F15EE"/>
    <w:rsid w:val="476E50DC"/>
    <w:rsid w:val="478F0B12"/>
    <w:rsid w:val="479B74B7"/>
    <w:rsid w:val="479E2F90"/>
    <w:rsid w:val="47B83CF5"/>
    <w:rsid w:val="47C24FA1"/>
    <w:rsid w:val="47D5641E"/>
    <w:rsid w:val="47EB01EC"/>
    <w:rsid w:val="482D0EBE"/>
    <w:rsid w:val="48B620CF"/>
    <w:rsid w:val="491528DE"/>
    <w:rsid w:val="494E1639"/>
    <w:rsid w:val="499B561E"/>
    <w:rsid w:val="49B50217"/>
    <w:rsid w:val="49EA0597"/>
    <w:rsid w:val="49F93CCA"/>
    <w:rsid w:val="4A5200D3"/>
    <w:rsid w:val="4ABF5F6A"/>
    <w:rsid w:val="4ACB3474"/>
    <w:rsid w:val="4AD52F01"/>
    <w:rsid w:val="4B095D66"/>
    <w:rsid w:val="4B3C317E"/>
    <w:rsid w:val="4B6731A2"/>
    <w:rsid w:val="4B6776B0"/>
    <w:rsid w:val="4B92297F"/>
    <w:rsid w:val="4B962903"/>
    <w:rsid w:val="4B997B79"/>
    <w:rsid w:val="4BC50967"/>
    <w:rsid w:val="4BE256D0"/>
    <w:rsid w:val="4BE3142D"/>
    <w:rsid w:val="4C2757BD"/>
    <w:rsid w:val="4C575977"/>
    <w:rsid w:val="4C8A5D4C"/>
    <w:rsid w:val="4CA30BBC"/>
    <w:rsid w:val="4D0D416C"/>
    <w:rsid w:val="4D1F0243"/>
    <w:rsid w:val="4D241CFD"/>
    <w:rsid w:val="4DB64CDE"/>
    <w:rsid w:val="4DC1754C"/>
    <w:rsid w:val="4DE1374A"/>
    <w:rsid w:val="4DEF2DFA"/>
    <w:rsid w:val="4E2706A2"/>
    <w:rsid w:val="4E597A63"/>
    <w:rsid w:val="4E697ACD"/>
    <w:rsid w:val="4ECE0172"/>
    <w:rsid w:val="4EDD443F"/>
    <w:rsid w:val="4EF16541"/>
    <w:rsid w:val="4F626B0C"/>
    <w:rsid w:val="4F8847C5"/>
    <w:rsid w:val="4FB75F5B"/>
    <w:rsid w:val="4FC11A85"/>
    <w:rsid w:val="4FDA48F5"/>
    <w:rsid w:val="4FDB6712"/>
    <w:rsid w:val="4FE17A31"/>
    <w:rsid w:val="4FE90FDC"/>
    <w:rsid w:val="500B0F52"/>
    <w:rsid w:val="501226B5"/>
    <w:rsid w:val="50242FA0"/>
    <w:rsid w:val="503D567E"/>
    <w:rsid w:val="504F3FBC"/>
    <w:rsid w:val="50665B40"/>
    <w:rsid w:val="50724493"/>
    <w:rsid w:val="50A05B3E"/>
    <w:rsid w:val="50B12101"/>
    <w:rsid w:val="50B125E6"/>
    <w:rsid w:val="50BA68A0"/>
    <w:rsid w:val="50F85BE5"/>
    <w:rsid w:val="50FE2865"/>
    <w:rsid w:val="514B6911"/>
    <w:rsid w:val="51576393"/>
    <w:rsid w:val="51586419"/>
    <w:rsid w:val="51615713"/>
    <w:rsid w:val="5168194E"/>
    <w:rsid w:val="5185270E"/>
    <w:rsid w:val="518E5997"/>
    <w:rsid w:val="51B7313F"/>
    <w:rsid w:val="51F223CA"/>
    <w:rsid w:val="51F547BE"/>
    <w:rsid w:val="5201260D"/>
    <w:rsid w:val="521952CD"/>
    <w:rsid w:val="52304CA0"/>
    <w:rsid w:val="5233653E"/>
    <w:rsid w:val="52383B54"/>
    <w:rsid w:val="526C6B86"/>
    <w:rsid w:val="52EF06B7"/>
    <w:rsid w:val="52EF6909"/>
    <w:rsid w:val="53193986"/>
    <w:rsid w:val="53C474E1"/>
    <w:rsid w:val="53E73A84"/>
    <w:rsid w:val="53EE6BC1"/>
    <w:rsid w:val="53F668B8"/>
    <w:rsid w:val="53FD6E04"/>
    <w:rsid w:val="54203AC9"/>
    <w:rsid w:val="5494179C"/>
    <w:rsid w:val="54AF3CFE"/>
    <w:rsid w:val="54C3421A"/>
    <w:rsid w:val="54C55B73"/>
    <w:rsid w:val="54CD30CC"/>
    <w:rsid w:val="552A00CC"/>
    <w:rsid w:val="554271C4"/>
    <w:rsid w:val="554D1797"/>
    <w:rsid w:val="55CA71B9"/>
    <w:rsid w:val="55EF3F11"/>
    <w:rsid w:val="561A1EEF"/>
    <w:rsid w:val="56270EA5"/>
    <w:rsid w:val="563463D2"/>
    <w:rsid w:val="56587633"/>
    <w:rsid w:val="565A678F"/>
    <w:rsid w:val="565C4B30"/>
    <w:rsid w:val="566413BC"/>
    <w:rsid w:val="56856D59"/>
    <w:rsid w:val="56EB00BB"/>
    <w:rsid w:val="56F57C45"/>
    <w:rsid w:val="57016C0B"/>
    <w:rsid w:val="57367EAE"/>
    <w:rsid w:val="575B631B"/>
    <w:rsid w:val="57614EB2"/>
    <w:rsid w:val="57654230"/>
    <w:rsid w:val="57B15ED3"/>
    <w:rsid w:val="581035C5"/>
    <w:rsid w:val="583E1182"/>
    <w:rsid w:val="58472D43"/>
    <w:rsid w:val="586F67E1"/>
    <w:rsid w:val="58733B38"/>
    <w:rsid w:val="58BF16EF"/>
    <w:rsid w:val="58CD2EEE"/>
    <w:rsid w:val="58FC1D80"/>
    <w:rsid w:val="59401C6C"/>
    <w:rsid w:val="59570D64"/>
    <w:rsid w:val="596109C3"/>
    <w:rsid w:val="596176F7"/>
    <w:rsid w:val="596F2552"/>
    <w:rsid w:val="59766A9A"/>
    <w:rsid w:val="597E4984"/>
    <w:rsid w:val="598A7310"/>
    <w:rsid w:val="59CA7788"/>
    <w:rsid w:val="59D2663D"/>
    <w:rsid w:val="59E051FD"/>
    <w:rsid w:val="5A6B245B"/>
    <w:rsid w:val="5A751DEA"/>
    <w:rsid w:val="5A76346C"/>
    <w:rsid w:val="5A7D2A4C"/>
    <w:rsid w:val="5A8806E1"/>
    <w:rsid w:val="5A8913F1"/>
    <w:rsid w:val="5AA71877"/>
    <w:rsid w:val="5AC056CA"/>
    <w:rsid w:val="5AC5005A"/>
    <w:rsid w:val="5AE76118"/>
    <w:rsid w:val="5AE900E2"/>
    <w:rsid w:val="5B0E7B48"/>
    <w:rsid w:val="5B372730"/>
    <w:rsid w:val="5B3A00CA"/>
    <w:rsid w:val="5B5D7485"/>
    <w:rsid w:val="5B78657E"/>
    <w:rsid w:val="5B79457C"/>
    <w:rsid w:val="5B8A71CF"/>
    <w:rsid w:val="5B955BBD"/>
    <w:rsid w:val="5BA15595"/>
    <w:rsid w:val="5BB16E51"/>
    <w:rsid w:val="5BFE196B"/>
    <w:rsid w:val="5C38030E"/>
    <w:rsid w:val="5C3B352F"/>
    <w:rsid w:val="5C5E1302"/>
    <w:rsid w:val="5C66073D"/>
    <w:rsid w:val="5CB07E68"/>
    <w:rsid w:val="5CE50185"/>
    <w:rsid w:val="5CF333A4"/>
    <w:rsid w:val="5D0B7780"/>
    <w:rsid w:val="5D0D57DA"/>
    <w:rsid w:val="5D2C2B51"/>
    <w:rsid w:val="5D690A2B"/>
    <w:rsid w:val="5D7A7717"/>
    <w:rsid w:val="5DDC5CDC"/>
    <w:rsid w:val="5E1436C8"/>
    <w:rsid w:val="5E31508D"/>
    <w:rsid w:val="5E433E61"/>
    <w:rsid w:val="5E8B1EE1"/>
    <w:rsid w:val="5E9D1280"/>
    <w:rsid w:val="5EA205D2"/>
    <w:rsid w:val="5EC008DE"/>
    <w:rsid w:val="5ECA467A"/>
    <w:rsid w:val="5F0707E8"/>
    <w:rsid w:val="5F1020E1"/>
    <w:rsid w:val="5F3F1D34"/>
    <w:rsid w:val="5F8F6DD3"/>
    <w:rsid w:val="5F9920D6"/>
    <w:rsid w:val="5FDC0AAF"/>
    <w:rsid w:val="5FF13AA7"/>
    <w:rsid w:val="5FF57720"/>
    <w:rsid w:val="5FF803EF"/>
    <w:rsid w:val="6016117F"/>
    <w:rsid w:val="604364E6"/>
    <w:rsid w:val="606F2E37"/>
    <w:rsid w:val="60893C59"/>
    <w:rsid w:val="6093042E"/>
    <w:rsid w:val="609F63E4"/>
    <w:rsid w:val="60A83E1E"/>
    <w:rsid w:val="60C07B37"/>
    <w:rsid w:val="60E63A8A"/>
    <w:rsid w:val="60F9034D"/>
    <w:rsid w:val="61105928"/>
    <w:rsid w:val="612260BC"/>
    <w:rsid w:val="612C2C69"/>
    <w:rsid w:val="61931E63"/>
    <w:rsid w:val="61A44D62"/>
    <w:rsid w:val="61C3343B"/>
    <w:rsid w:val="61C60EA4"/>
    <w:rsid w:val="61F555BE"/>
    <w:rsid w:val="61F93300"/>
    <w:rsid w:val="62057D23"/>
    <w:rsid w:val="62117DA6"/>
    <w:rsid w:val="62210075"/>
    <w:rsid w:val="62901E8A"/>
    <w:rsid w:val="62940395"/>
    <w:rsid w:val="629422C9"/>
    <w:rsid w:val="62B154A9"/>
    <w:rsid w:val="62B80AC5"/>
    <w:rsid w:val="630E4B89"/>
    <w:rsid w:val="630F216B"/>
    <w:rsid w:val="6332378A"/>
    <w:rsid w:val="63A96660"/>
    <w:rsid w:val="63B64883"/>
    <w:rsid w:val="63C11BFC"/>
    <w:rsid w:val="64047D3A"/>
    <w:rsid w:val="64287ECD"/>
    <w:rsid w:val="642E6B65"/>
    <w:rsid w:val="643A0090"/>
    <w:rsid w:val="645D6FAD"/>
    <w:rsid w:val="646C16C7"/>
    <w:rsid w:val="646D1D84"/>
    <w:rsid w:val="64815700"/>
    <w:rsid w:val="64874BF3"/>
    <w:rsid w:val="64970BAF"/>
    <w:rsid w:val="64B40F94"/>
    <w:rsid w:val="64BD6867"/>
    <w:rsid w:val="64DC3505"/>
    <w:rsid w:val="64EA7346"/>
    <w:rsid w:val="64FA7712"/>
    <w:rsid w:val="65020CAA"/>
    <w:rsid w:val="65104107"/>
    <w:rsid w:val="651D7715"/>
    <w:rsid w:val="652950EE"/>
    <w:rsid w:val="658A5521"/>
    <w:rsid w:val="6598491D"/>
    <w:rsid w:val="661262D7"/>
    <w:rsid w:val="66200675"/>
    <w:rsid w:val="66431937"/>
    <w:rsid w:val="66590644"/>
    <w:rsid w:val="6671351E"/>
    <w:rsid w:val="669E1959"/>
    <w:rsid w:val="66A45306"/>
    <w:rsid w:val="66AB2A17"/>
    <w:rsid w:val="66D64E75"/>
    <w:rsid w:val="67575DC9"/>
    <w:rsid w:val="675C250A"/>
    <w:rsid w:val="676C7036"/>
    <w:rsid w:val="67965059"/>
    <w:rsid w:val="679756A0"/>
    <w:rsid w:val="67B51A77"/>
    <w:rsid w:val="67CC0C9E"/>
    <w:rsid w:val="68092D5B"/>
    <w:rsid w:val="68266C28"/>
    <w:rsid w:val="683E1A6D"/>
    <w:rsid w:val="684B449E"/>
    <w:rsid w:val="68776D2D"/>
    <w:rsid w:val="68C06926"/>
    <w:rsid w:val="68CD542A"/>
    <w:rsid w:val="68D91796"/>
    <w:rsid w:val="68F465CF"/>
    <w:rsid w:val="69010FA9"/>
    <w:rsid w:val="69071167"/>
    <w:rsid w:val="696B6C9C"/>
    <w:rsid w:val="697B45FB"/>
    <w:rsid w:val="69A26B59"/>
    <w:rsid w:val="69A86563"/>
    <w:rsid w:val="69CB5582"/>
    <w:rsid w:val="69D81A4D"/>
    <w:rsid w:val="6A234EB3"/>
    <w:rsid w:val="6A467E3F"/>
    <w:rsid w:val="6A76256F"/>
    <w:rsid w:val="6AFE7CBB"/>
    <w:rsid w:val="6B1B6095"/>
    <w:rsid w:val="6B315BC6"/>
    <w:rsid w:val="6B8A321B"/>
    <w:rsid w:val="6B904C0D"/>
    <w:rsid w:val="6BBC5515"/>
    <w:rsid w:val="6BDC192A"/>
    <w:rsid w:val="6BFE392F"/>
    <w:rsid w:val="6C2C42D2"/>
    <w:rsid w:val="6C4E5FF7"/>
    <w:rsid w:val="6C5162BF"/>
    <w:rsid w:val="6C5A17EE"/>
    <w:rsid w:val="6C6E3E23"/>
    <w:rsid w:val="6C8133BD"/>
    <w:rsid w:val="6CB77015"/>
    <w:rsid w:val="6CC62031"/>
    <w:rsid w:val="6CD369D6"/>
    <w:rsid w:val="6CDF1345"/>
    <w:rsid w:val="6CF856AF"/>
    <w:rsid w:val="6D237483"/>
    <w:rsid w:val="6D3002FB"/>
    <w:rsid w:val="6D34343E"/>
    <w:rsid w:val="6D8C5028"/>
    <w:rsid w:val="6D8D28E8"/>
    <w:rsid w:val="6D9A561C"/>
    <w:rsid w:val="6DF82677"/>
    <w:rsid w:val="6DFB5650"/>
    <w:rsid w:val="6E1164ED"/>
    <w:rsid w:val="6E793B33"/>
    <w:rsid w:val="6E845B44"/>
    <w:rsid w:val="6EA7373F"/>
    <w:rsid w:val="6EC20224"/>
    <w:rsid w:val="6ECC1229"/>
    <w:rsid w:val="6F1B3E03"/>
    <w:rsid w:val="6F297CFA"/>
    <w:rsid w:val="6F3F1AEF"/>
    <w:rsid w:val="6F4B2CC1"/>
    <w:rsid w:val="6F597734"/>
    <w:rsid w:val="6FA53D5D"/>
    <w:rsid w:val="6FAA79E8"/>
    <w:rsid w:val="6FAC4083"/>
    <w:rsid w:val="6FE25DC9"/>
    <w:rsid w:val="700679A5"/>
    <w:rsid w:val="70716758"/>
    <w:rsid w:val="708E5E31"/>
    <w:rsid w:val="7093130C"/>
    <w:rsid w:val="70953C43"/>
    <w:rsid w:val="70B278F0"/>
    <w:rsid w:val="70E46F2A"/>
    <w:rsid w:val="717E7CB2"/>
    <w:rsid w:val="718A5D23"/>
    <w:rsid w:val="719B0D67"/>
    <w:rsid w:val="71B92164"/>
    <w:rsid w:val="71B96608"/>
    <w:rsid w:val="71FC6C9E"/>
    <w:rsid w:val="72345C8F"/>
    <w:rsid w:val="724E661D"/>
    <w:rsid w:val="7265260E"/>
    <w:rsid w:val="728269FA"/>
    <w:rsid w:val="72EF051A"/>
    <w:rsid w:val="730A0AAB"/>
    <w:rsid w:val="733749E1"/>
    <w:rsid w:val="73523443"/>
    <w:rsid w:val="735F307F"/>
    <w:rsid w:val="736B0A01"/>
    <w:rsid w:val="737C67C2"/>
    <w:rsid w:val="738432AB"/>
    <w:rsid w:val="738A7ADE"/>
    <w:rsid w:val="73B47087"/>
    <w:rsid w:val="73BF1556"/>
    <w:rsid w:val="73D70FC8"/>
    <w:rsid w:val="73DF7EA7"/>
    <w:rsid w:val="741A3458"/>
    <w:rsid w:val="747A64AD"/>
    <w:rsid w:val="74805DD6"/>
    <w:rsid w:val="74A561A2"/>
    <w:rsid w:val="74F82FA3"/>
    <w:rsid w:val="751844E8"/>
    <w:rsid w:val="7542447A"/>
    <w:rsid w:val="75444626"/>
    <w:rsid w:val="756A04AB"/>
    <w:rsid w:val="756E2DF8"/>
    <w:rsid w:val="75CE117B"/>
    <w:rsid w:val="75E35A02"/>
    <w:rsid w:val="75EC4801"/>
    <w:rsid w:val="762304F4"/>
    <w:rsid w:val="76342701"/>
    <w:rsid w:val="7645046A"/>
    <w:rsid w:val="767E0964"/>
    <w:rsid w:val="76B15B00"/>
    <w:rsid w:val="76C11CFF"/>
    <w:rsid w:val="76FA1255"/>
    <w:rsid w:val="7702750E"/>
    <w:rsid w:val="772E7150"/>
    <w:rsid w:val="775158D6"/>
    <w:rsid w:val="77613082"/>
    <w:rsid w:val="77A016F8"/>
    <w:rsid w:val="77AD2281"/>
    <w:rsid w:val="77FD7E9C"/>
    <w:rsid w:val="780F6F82"/>
    <w:rsid w:val="783E1615"/>
    <w:rsid w:val="788543C8"/>
    <w:rsid w:val="78874D6A"/>
    <w:rsid w:val="78AF4B9E"/>
    <w:rsid w:val="78C22246"/>
    <w:rsid w:val="78E82B31"/>
    <w:rsid w:val="790A4252"/>
    <w:rsid w:val="79155EB5"/>
    <w:rsid w:val="792B13AD"/>
    <w:rsid w:val="7999228B"/>
    <w:rsid w:val="79C773E8"/>
    <w:rsid w:val="7A376B89"/>
    <w:rsid w:val="7A436BA9"/>
    <w:rsid w:val="7A4F3744"/>
    <w:rsid w:val="7A790E6E"/>
    <w:rsid w:val="7A884DCA"/>
    <w:rsid w:val="7AF34939"/>
    <w:rsid w:val="7B1D4806"/>
    <w:rsid w:val="7B206F3D"/>
    <w:rsid w:val="7B272834"/>
    <w:rsid w:val="7B2F16E9"/>
    <w:rsid w:val="7B53325D"/>
    <w:rsid w:val="7B663F6E"/>
    <w:rsid w:val="7B7667F0"/>
    <w:rsid w:val="7B7B66DC"/>
    <w:rsid w:val="7BA31302"/>
    <w:rsid w:val="7BA50A03"/>
    <w:rsid w:val="7BB831D2"/>
    <w:rsid w:val="7BF1008A"/>
    <w:rsid w:val="7BFC72BA"/>
    <w:rsid w:val="7C0E57A2"/>
    <w:rsid w:val="7C393C90"/>
    <w:rsid w:val="7C943EB4"/>
    <w:rsid w:val="7C9932BE"/>
    <w:rsid w:val="7CE763EC"/>
    <w:rsid w:val="7CF86E0F"/>
    <w:rsid w:val="7D106A3B"/>
    <w:rsid w:val="7D141FF5"/>
    <w:rsid w:val="7D16490F"/>
    <w:rsid w:val="7D341239"/>
    <w:rsid w:val="7D4937F0"/>
    <w:rsid w:val="7D681FF0"/>
    <w:rsid w:val="7E1846B6"/>
    <w:rsid w:val="7E236328"/>
    <w:rsid w:val="7E6274FE"/>
    <w:rsid w:val="7E953F59"/>
    <w:rsid w:val="7EC24A99"/>
    <w:rsid w:val="7EC37BA3"/>
    <w:rsid w:val="7ED20D09"/>
    <w:rsid w:val="7F3E1EFB"/>
    <w:rsid w:val="7F4D7141"/>
    <w:rsid w:val="7F54171E"/>
    <w:rsid w:val="7F574B82"/>
    <w:rsid w:val="7F5C4377"/>
    <w:rsid w:val="7FB34697"/>
    <w:rsid w:val="7FB34784"/>
    <w:rsid w:val="7FF400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600" w:firstLineChars="200"/>
      <w:jc w:val="both"/>
    </w:pPr>
    <w:rPr>
      <w:rFonts w:ascii="Times New Roman" w:hAnsi="Times New Roman" w:eastAsia="宋体" w:cstheme="minorBidi"/>
      <w:kern w:val="2"/>
      <w:sz w:val="24"/>
      <w:szCs w:val="24"/>
      <w:lang w:val="en-US" w:eastAsia="zh-CN" w:bidi="ar-SA"/>
    </w:rPr>
  </w:style>
  <w:style w:type="paragraph" w:styleId="2">
    <w:name w:val="heading 1"/>
    <w:basedOn w:val="1"/>
    <w:next w:val="1"/>
    <w:link w:val="42"/>
    <w:qFormat/>
    <w:uiPriority w:val="0"/>
    <w:pPr>
      <w:keepNext/>
      <w:keepLines/>
      <w:pageBreakBefore/>
      <w:spacing w:beforeLines="0" w:beforeAutospacing="0" w:after="30" w:afterLines="30" w:afterAutospacing="0" w:line="360" w:lineRule="auto"/>
      <w:ind w:firstLine="0" w:firstLineChars="0"/>
      <w:jc w:val="center"/>
      <w:outlineLvl w:val="0"/>
    </w:pPr>
    <w:rPr>
      <w:rFonts w:ascii="Times New Roman" w:hAnsi="Times New Roman" w:eastAsia="黑体"/>
      <w:bCs/>
      <w:kern w:val="44"/>
      <w:sz w:val="30"/>
      <w:szCs w:val="30"/>
    </w:rPr>
  </w:style>
  <w:style w:type="paragraph" w:styleId="3">
    <w:name w:val="heading 2"/>
    <w:basedOn w:val="1"/>
    <w:next w:val="1"/>
    <w:link w:val="29"/>
    <w:unhideWhenUsed/>
    <w:qFormat/>
    <w:uiPriority w:val="0"/>
    <w:pPr>
      <w:keepNext/>
      <w:keepLines/>
      <w:spacing w:beforeAutospacing="0" w:afterLines="0" w:afterAutospacing="0" w:line="360" w:lineRule="auto"/>
      <w:ind w:left="0" w:leftChars="0" w:firstLine="600" w:firstLineChars="200"/>
      <w:jc w:val="left"/>
      <w:outlineLvl w:val="1"/>
    </w:pPr>
    <w:rPr>
      <w:rFonts w:ascii="Times New Roman" w:hAnsi="Times New Roman" w:eastAsia="宋体"/>
      <w:b/>
    </w:rPr>
  </w:style>
  <w:style w:type="paragraph" w:styleId="4">
    <w:name w:val="heading 3"/>
    <w:basedOn w:val="1"/>
    <w:next w:val="1"/>
    <w:link w:val="30"/>
    <w:unhideWhenUsed/>
    <w:qFormat/>
    <w:uiPriority w:val="0"/>
    <w:pPr>
      <w:keepNext/>
      <w:keepLines/>
      <w:spacing w:before="30" w:beforeLines="30" w:beforeAutospacing="0" w:afterLines="0" w:afterAutospacing="0" w:line="360" w:lineRule="auto"/>
      <w:ind w:firstLine="480" w:firstLineChars="150"/>
      <w:jc w:val="left"/>
      <w:outlineLvl w:val="2"/>
    </w:pPr>
    <w:rPr>
      <w:rFonts w:ascii="Times New Roman" w:hAnsi="Times New Roman" w:eastAsia="宋体"/>
    </w:rPr>
  </w:style>
  <w:style w:type="paragraph" w:styleId="5">
    <w:name w:val="heading 4"/>
    <w:basedOn w:val="1"/>
    <w:next w:val="1"/>
    <w:unhideWhenUsed/>
    <w:qFormat/>
    <w:uiPriority w:val="0"/>
    <w:pPr>
      <w:keepNext/>
      <w:keepLines/>
      <w:spacing w:line="360" w:lineRule="auto"/>
      <w:ind w:firstLine="0" w:firstLineChars="0"/>
      <w:jc w:val="center"/>
      <w:outlineLvl w:val="3"/>
    </w:pPr>
    <w:rPr>
      <w:rFonts w:ascii="Times New Roman" w:hAnsi="Times New Roman" w:eastAsia="宋体"/>
      <w:b/>
      <w:bCs/>
      <w:sz w:val="21"/>
      <w:szCs w:val="21"/>
    </w:rPr>
  </w:style>
  <w:style w:type="paragraph" w:styleId="6">
    <w:name w:val="heading 5"/>
    <w:basedOn w:val="1"/>
    <w:next w:val="1"/>
    <w:unhideWhenUsed/>
    <w:qFormat/>
    <w:uiPriority w:val="0"/>
    <w:pPr>
      <w:keepNext/>
      <w:keepLines/>
      <w:spacing w:beforeLines="0" w:beforeAutospacing="0" w:afterLines="0" w:afterAutospacing="0" w:line="360" w:lineRule="auto"/>
      <w:ind w:firstLine="160" w:firstLineChars="50"/>
      <w:outlineLvl w:val="4"/>
    </w:pPr>
    <w:rPr>
      <w:rFonts w:ascii="Times New Roman" w:hAnsi="Times New Roman" w:eastAsia="宋体" w:cs="Times New Roman"/>
      <w:b/>
    </w:rPr>
  </w:style>
  <w:style w:type="character" w:default="1" w:styleId="25">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7">
    <w:name w:val="Normal Indent"/>
    <w:basedOn w:val="1"/>
    <w:qFormat/>
    <w:uiPriority w:val="0"/>
    <w:pPr>
      <w:adjustRightInd w:val="0"/>
      <w:spacing w:line="312" w:lineRule="atLeast"/>
      <w:ind w:firstLine="425"/>
    </w:pPr>
    <w:rPr>
      <w:rFonts w:ascii="宋体" w:hAnsi="宋体"/>
      <w:szCs w:val="20"/>
    </w:rPr>
  </w:style>
  <w:style w:type="paragraph" w:styleId="8">
    <w:name w:val="toa heading"/>
    <w:basedOn w:val="1"/>
    <w:next w:val="1"/>
    <w:unhideWhenUsed/>
    <w:qFormat/>
    <w:uiPriority w:val="99"/>
    <w:pPr>
      <w:spacing w:before="120"/>
    </w:pPr>
    <w:rPr>
      <w:rFonts w:ascii="Cambria" w:hAnsi="Cambria" w:eastAsia="宋体" w:cs="Times New Roman"/>
      <w:sz w:val="24"/>
      <w:szCs w:val="24"/>
    </w:rPr>
  </w:style>
  <w:style w:type="paragraph" w:styleId="9">
    <w:name w:val="annotation text"/>
    <w:basedOn w:val="1"/>
    <w:qFormat/>
    <w:uiPriority w:val="0"/>
  </w:style>
  <w:style w:type="paragraph" w:styleId="10">
    <w:name w:val="Body Text"/>
    <w:basedOn w:val="1"/>
    <w:qFormat/>
    <w:uiPriority w:val="0"/>
    <w:pPr>
      <w:widowControl/>
      <w:snapToGrid w:val="0"/>
      <w:spacing w:before="60" w:after="160" w:line="259" w:lineRule="auto"/>
      <w:ind w:right="113"/>
    </w:pPr>
    <w:rPr>
      <w:kern w:val="0"/>
      <w:sz w:val="18"/>
      <w:szCs w:val="20"/>
    </w:rPr>
  </w:style>
  <w:style w:type="paragraph" w:styleId="11">
    <w:name w:val="Body Text Indent"/>
    <w:basedOn w:val="1"/>
    <w:next w:val="12"/>
    <w:qFormat/>
    <w:uiPriority w:val="0"/>
    <w:pPr>
      <w:spacing w:after="120" w:afterLines="0" w:afterAutospacing="0"/>
      <w:ind w:left="420" w:leftChars="200"/>
    </w:pPr>
  </w:style>
  <w:style w:type="paragraph" w:customStyle="1" w:styleId="12">
    <w:name w:val="样式 正文文本缩进 + 宋体 小四 居中 行距: 固定值 23 磅1"/>
    <w:basedOn w:val="1"/>
    <w:qFormat/>
    <w:uiPriority w:val="0"/>
    <w:pPr>
      <w:spacing w:line="460" w:lineRule="exact"/>
      <w:ind w:left="-181" w:leftChars="-86"/>
    </w:pPr>
    <w:rPr>
      <w:rFonts w:ascii="宋体" w:hAnsi="宋体" w:eastAsia="宋体" w:cs="宋体"/>
      <w:color w:val="000000"/>
    </w:rPr>
  </w:style>
  <w:style w:type="paragraph" w:styleId="13">
    <w:name w:val="Plain Text"/>
    <w:basedOn w:val="1"/>
    <w:next w:val="1"/>
    <w:qFormat/>
    <w:uiPriority w:val="0"/>
    <w:rPr>
      <w:rFonts w:ascii="宋体" w:hAnsi="Courier New" w:cs="Courier New"/>
      <w:szCs w:val="21"/>
    </w:r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qFormat/>
    <w:uiPriority w:val="39"/>
  </w:style>
  <w:style w:type="paragraph" w:styleId="17">
    <w:name w:val="List"/>
    <w:basedOn w:val="1"/>
    <w:qFormat/>
    <w:uiPriority w:val="0"/>
    <w:pPr>
      <w:ind w:left="200" w:hanging="200" w:hangingChars="200"/>
    </w:pPr>
  </w:style>
  <w:style w:type="paragraph" w:styleId="18">
    <w:name w:val="footnote text"/>
    <w:basedOn w:val="1"/>
    <w:semiHidden/>
    <w:qFormat/>
    <w:uiPriority w:val="0"/>
    <w:pPr>
      <w:snapToGrid w:val="0"/>
      <w:jc w:val="left"/>
    </w:pPr>
    <w:rPr>
      <w:sz w:val="18"/>
      <w:szCs w:val="18"/>
    </w:rPr>
  </w:style>
  <w:style w:type="paragraph" w:styleId="19">
    <w:name w:val="Body Text 2"/>
    <w:basedOn w:val="1"/>
    <w:qFormat/>
    <w:uiPriority w:val="0"/>
    <w:pPr>
      <w:spacing w:after="120" w:line="480" w:lineRule="auto"/>
    </w:pPr>
  </w:style>
  <w:style w:type="paragraph" w:styleId="20">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1">
    <w:name w:val="Body Text First Indent"/>
    <w:basedOn w:val="10"/>
    <w:next w:val="1"/>
    <w:qFormat/>
    <w:uiPriority w:val="0"/>
    <w:pPr>
      <w:ind w:firstLine="420" w:firstLineChars="100"/>
    </w:pPr>
  </w:style>
  <w:style w:type="paragraph" w:styleId="22">
    <w:name w:val="Body Text First Indent 2"/>
    <w:basedOn w:val="11"/>
    <w:next w:val="21"/>
    <w:qFormat/>
    <w:uiPriority w:val="0"/>
    <w:pPr>
      <w:ind w:firstLine="420" w:firstLineChars="200"/>
    </w:p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0"/>
    <w:rPr>
      <w:b/>
    </w:rPr>
  </w:style>
  <w:style w:type="character" w:styleId="27">
    <w:name w:val="Hyperlink"/>
    <w:basedOn w:val="25"/>
    <w:qFormat/>
    <w:uiPriority w:val="0"/>
    <w:rPr>
      <w:color w:val="0000FF"/>
      <w:u w:val="single"/>
    </w:rPr>
  </w:style>
  <w:style w:type="character" w:styleId="28">
    <w:name w:val="annotation reference"/>
    <w:semiHidden/>
    <w:qFormat/>
    <w:uiPriority w:val="0"/>
    <w:rPr>
      <w:sz w:val="21"/>
    </w:rPr>
  </w:style>
  <w:style w:type="character" w:customStyle="1" w:styleId="29">
    <w:name w:val="标题 2 Char"/>
    <w:link w:val="3"/>
    <w:qFormat/>
    <w:uiPriority w:val="0"/>
    <w:rPr>
      <w:rFonts w:ascii="Times New Roman" w:hAnsi="Times New Roman" w:eastAsia="宋体"/>
      <w:b/>
      <w:sz w:val="24"/>
    </w:rPr>
  </w:style>
  <w:style w:type="character" w:customStyle="1" w:styleId="30">
    <w:name w:val="标题 3 Char"/>
    <w:link w:val="4"/>
    <w:qFormat/>
    <w:uiPriority w:val="0"/>
    <w:rPr>
      <w:rFonts w:ascii="Times New Roman" w:hAnsi="Times New Roman" w:eastAsia="宋体"/>
    </w:rPr>
  </w:style>
  <w:style w:type="paragraph" w:customStyle="1" w:styleId="31">
    <w:name w:val="正文修改"/>
    <w:basedOn w:val="1"/>
    <w:link w:val="32"/>
    <w:qFormat/>
    <w:uiPriority w:val="0"/>
    <w:pPr>
      <w:autoSpaceDE w:val="0"/>
      <w:autoSpaceDN w:val="0"/>
      <w:adjustRightInd w:val="0"/>
      <w:spacing w:beforeLines="0" w:afterLines="0" w:line="360" w:lineRule="auto"/>
      <w:ind w:firstLine="560" w:firstLineChars="200"/>
    </w:pPr>
    <w:rPr>
      <w:rFonts w:hint="eastAsia"/>
      <w:color w:val="000000" w:themeColor="text1"/>
      <w:kern w:val="0"/>
      <w:sz w:val="24"/>
      <w:szCs w:val="24"/>
      <w14:textFill>
        <w14:solidFill>
          <w14:schemeClr w14:val="tx1"/>
        </w14:solidFill>
      </w14:textFill>
    </w:rPr>
  </w:style>
  <w:style w:type="character" w:customStyle="1" w:styleId="32">
    <w:name w:val="正文修改 Char"/>
    <w:link w:val="31"/>
    <w:qFormat/>
    <w:uiPriority w:val="0"/>
    <w:rPr>
      <w:rFonts w:hint="eastAsia"/>
      <w:color w:val="000000" w:themeColor="text1"/>
      <w:kern w:val="0"/>
      <w:sz w:val="24"/>
      <w:szCs w:val="24"/>
      <w14:textFill>
        <w14:solidFill>
          <w14:schemeClr w14:val="tx1"/>
        </w14:solidFill>
      </w14:textFill>
    </w:rPr>
  </w:style>
  <w:style w:type="paragraph" w:customStyle="1" w:styleId="33">
    <w:name w:val="表头、图号"/>
    <w:basedOn w:val="1"/>
    <w:next w:val="1"/>
    <w:qFormat/>
    <w:uiPriority w:val="0"/>
    <w:pPr>
      <w:spacing w:line="360" w:lineRule="auto"/>
      <w:ind w:firstLine="0" w:firstLineChars="0"/>
      <w:jc w:val="center"/>
    </w:pPr>
    <w:rPr>
      <w:rFonts w:ascii="Times New Roman" w:hAnsi="Times New Roman" w:cs="Times New Roman"/>
      <w:b/>
      <w:bCs/>
      <w:color w:val="auto"/>
      <w:sz w:val="24"/>
      <w:szCs w:val="24"/>
    </w:rPr>
  </w:style>
  <w:style w:type="paragraph" w:customStyle="1" w:styleId="34">
    <w:name w:val="表格格式"/>
    <w:basedOn w:val="1"/>
    <w:semiHidden/>
    <w:qFormat/>
    <w:uiPriority w:val="0"/>
    <w:pPr>
      <w:kinsoku/>
      <w:overflowPunct w:val="0"/>
      <w:autoSpaceDE/>
      <w:autoSpaceDN/>
      <w:spacing w:line="320" w:lineRule="exact"/>
      <w:ind w:left="0" w:leftChars="0" w:firstLine="0" w:firstLineChars="0"/>
      <w:jc w:val="center"/>
    </w:pPr>
    <w:rPr>
      <w:rFonts w:hint="eastAsia" w:ascii="Times New Roman" w:hAnsi="Times New Roman" w:eastAsia="宋体"/>
      <w:sz w:val="18"/>
      <w:szCs w:val="18"/>
    </w:rPr>
  </w:style>
  <w:style w:type="paragraph" w:customStyle="1" w:styleId="35">
    <w:name w:val="表头图号"/>
    <w:basedOn w:val="1"/>
    <w:link w:val="50"/>
    <w:qFormat/>
    <w:uiPriority w:val="0"/>
    <w:pPr>
      <w:spacing w:line="300" w:lineRule="auto"/>
      <w:ind w:firstLine="0" w:firstLineChars="0"/>
      <w:jc w:val="center"/>
    </w:pPr>
    <w:rPr>
      <w:rFonts w:ascii="黑体" w:hAnsi="黑体" w:eastAsia="黑体" w:cs="黑体"/>
      <w:color w:val="000000"/>
      <w:kern w:val="2"/>
      <w:sz w:val="21"/>
      <w:szCs w:val="21"/>
      <w:lang w:val="en-US" w:eastAsia="en-US" w:bidi="ar-SA"/>
    </w:rPr>
  </w:style>
  <w:style w:type="paragraph" w:customStyle="1" w:styleId="36">
    <w:name w:val="表头"/>
    <w:basedOn w:val="1"/>
    <w:next w:val="37"/>
    <w:qFormat/>
    <w:uiPriority w:val="0"/>
    <w:pPr>
      <w:adjustRightInd w:val="0"/>
      <w:snapToGrid w:val="0"/>
      <w:spacing w:line="300" w:lineRule="auto"/>
      <w:ind w:firstLine="0" w:firstLineChars="0"/>
      <w:jc w:val="center"/>
    </w:pPr>
    <w:rPr>
      <w:rFonts w:hint="eastAsia" w:ascii="黑体" w:hAnsi="黑体" w:eastAsia="黑体" w:cs="黑体"/>
      <w:color w:val="000000"/>
      <w:kern w:val="21"/>
      <w:sz w:val="21"/>
      <w:szCs w:val="21"/>
    </w:rPr>
  </w:style>
  <w:style w:type="paragraph" w:customStyle="1" w:styleId="37">
    <w:name w:val="表格小五"/>
    <w:basedOn w:val="1"/>
    <w:qFormat/>
    <w:uiPriority w:val="0"/>
    <w:pPr>
      <w:adjustRightInd w:val="0"/>
      <w:snapToGrid w:val="0"/>
      <w:spacing w:line="240" w:lineRule="auto"/>
      <w:ind w:firstLine="0" w:firstLineChars="0"/>
      <w:jc w:val="center"/>
    </w:pPr>
    <w:rPr>
      <w:sz w:val="18"/>
    </w:rPr>
  </w:style>
  <w:style w:type="paragraph" w:customStyle="1" w:styleId="38">
    <w:name w:val="表格文字"/>
    <w:basedOn w:val="39"/>
    <w:qFormat/>
    <w:uiPriority w:val="0"/>
    <w:pPr>
      <w:adjustRightInd w:val="0"/>
      <w:spacing w:line="320" w:lineRule="exact"/>
      <w:ind w:firstLine="0" w:firstLineChars="0"/>
      <w:jc w:val="center"/>
    </w:pPr>
    <w:rPr>
      <w:rFonts w:ascii="Times New Roman" w:hAnsi="Times New Roman" w:eastAsia="宋体"/>
      <w:kern w:val="0"/>
      <w:sz w:val="18"/>
      <w:szCs w:val="18"/>
    </w:rPr>
  </w:style>
  <w:style w:type="paragraph" w:customStyle="1" w:styleId="39">
    <w:name w:val="样式1"/>
    <w:basedOn w:val="19"/>
    <w:qFormat/>
    <w:uiPriority w:val="0"/>
    <w:pPr>
      <w:spacing w:after="40" w:line="300" w:lineRule="atLeast"/>
      <w:ind w:firstLine="600" w:firstLineChars="200"/>
      <w:jc w:val="center"/>
      <w:outlineLvl w:val="2"/>
    </w:pPr>
    <w:rPr>
      <w:rFonts w:ascii="Times New Roman" w:hAnsi="Times New Roman" w:eastAsia="楷体_GB2312"/>
      <w:sz w:val="24"/>
      <w:szCs w:val="20"/>
    </w:rPr>
  </w:style>
  <w:style w:type="paragraph" w:customStyle="1" w:styleId="40">
    <w:name w:val="正文1"/>
    <w:basedOn w:val="1"/>
    <w:link w:val="43"/>
    <w:qFormat/>
    <w:uiPriority w:val="0"/>
    <w:pPr>
      <w:ind w:firstLine="0" w:firstLineChars="0"/>
      <w:jc w:val="left"/>
    </w:pPr>
    <w:rPr>
      <w:rFonts w:ascii="黑体" w:hAnsi="黑体" w:eastAsia="黑体" w:cs="黑体"/>
    </w:rPr>
  </w:style>
  <w:style w:type="paragraph" w:customStyle="1" w:styleId="41">
    <w:name w:val="正文2"/>
    <w:basedOn w:val="1"/>
    <w:qFormat/>
    <w:uiPriority w:val="0"/>
    <w:pPr>
      <w:autoSpaceDE/>
      <w:autoSpaceDN/>
      <w:spacing w:line="400" w:lineRule="exact"/>
      <w:ind w:firstLine="0" w:firstLineChars="0"/>
      <w:jc w:val="center"/>
    </w:pPr>
    <w:rPr>
      <w:rFonts w:hint="eastAsia" w:ascii="黑体" w:hAnsi="黑体" w:eastAsia="黑体" w:cs="黑体"/>
      <w:color w:val="000000"/>
      <w:sz w:val="24"/>
      <w:szCs w:val="24"/>
    </w:rPr>
  </w:style>
  <w:style w:type="character" w:customStyle="1" w:styleId="42">
    <w:name w:val="标题 1 Char1"/>
    <w:link w:val="2"/>
    <w:qFormat/>
    <w:uiPriority w:val="0"/>
    <w:rPr>
      <w:rFonts w:ascii="Times New Roman" w:hAnsi="Times New Roman" w:eastAsia="黑体"/>
      <w:bCs/>
      <w:kern w:val="44"/>
      <w:sz w:val="30"/>
      <w:szCs w:val="30"/>
    </w:rPr>
  </w:style>
  <w:style w:type="character" w:customStyle="1" w:styleId="43">
    <w:name w:val="正文1 Char"/>
    <w:link w:val="40"/>
    <w:qFormat/>
    <w:uiPriority w:val="0"/>
    <w:rPr>
      <w:rFonts w:ascii="黑体" w:hAnsi="黑体" w:eastAsia="黑体" w:cs="黑体"/>
    </w:rPr>
  </w:style>
  <w:style w:type="paragraph" w:customStyle="1" w:styleId="44">
    <w:name w:val="表格修改"/>
    <w:basedOn w:val="1"/>
    <w:qFormat/>
    <w:uiPriority w:val="0"/>
    <w:pPr>
      <w:spacing w:line="240" w:lineRule="auto"/>
      <w:ind w:firstLine="0" w:firstLineChars="0"/>
      <w:jc w:val="center"/>
    </w:pPr>
    <w:rPr>
      <w:rFonts w:hint="eastAsia" w:ascii="Times New Roman" w:hAnsi="Times New Roman" w:eastAsia="宋体"/>
      <w:color w:val="0000FF"/>
      <w:sz w:val="18"/>
      <w:szCs w:val="28"/>
    </w:rPr>
  </w:style>
  <w:style w:type="paragraph" w:customStyle="1" w:styleId="45">
    <w:name w:val="表体格式，中冶节能"/>
    <w:basedOn w:val="46"/>
    <w:qFormat/>
    <w:uiPriority w:val="0"/>
    <w:pPr>
      <w:ind w:firstLine="0" w:firstLineChars="0"/>
    </w:pPr>
    <w:rPr>
      <w:sz w:val="21"/>
    </w:rPr>
  </w:style>
  <w:style w:type="paragraph" w:customStyle="1" w:styleId="46">
    <w:name w:val="ENFI表体"/>
    <w:basedOn w:val="1"/>
    <w:qFormat/>
    <w:uiPriority w:val="0"/>
    <w:pPr>
      <w:widowControl/>
      <w:adjustRightInd w:val="0"/>
      <w:snapToGrid w:val="0"/>
      <w:spacing w:line="240" w:lineRule="atLeast"/>
      <w:jc w:val="center"/>
    </w:pPr>
    <w:rPr>
      <w:kern w:val="0"/>
    </w:rPr>
  </w:style>
  <w:style w:type="paragraph" w:customStyle="1" w:styleId="47">
    <w:name w:val="CM52"/>
    <w:basedOn w:val="48"/>
    <w:next w:val="48"/>
    <w:unhideWhenUsed/>
    <w:qFormat/>
    <w:uiPriority w:val="99"/>
    <w:rPr>
      <w:rFonts w:hint="default"/>
    </w:rPr>
  </w:style>
  <w:style w:type="paragraph" w:customStyle="1" w:styleId="48">
    <w:name w:val="Default"/>
    <w:unhideWhenUsed/>
    <w:qFormat/>
    <w:uiPriority w:val="99"/>
    <w:pPr>
      <w:widowControl w:val="0"/>
      <w:autoSpaceDE w:val="0"/>
      <w:autoSpaceDN w:val="0"/>
    </w:pPr>
    <w:rPr>
      <w:rFonts w:hint="eastAsia" w:ascii="宋体" w:hAnsi="宋体" w:eastAsia="宋体" w:cs="Times New Roman"/>
      <w:color w:val="000000"/>
      <w:sz w:val="24"/>
      <w:lang w:val="en-US" w:eastAsia="zh-CN" w:bidi="ar-SA"/>
    </w:rPr>
  </w:style>
  <w:style w:type="paragraph" w:customStyle="1" w:styleId="49">
    <w:name w:val="我的正文"/>
    <w:basedOn w:val="7"/>
    <w:qFormat/>
    <w:uiPriority w:val="99"/>
    <w:pPr>
      <w:snapToGrid w:val="0"/>
      <w:spacing w:before="120" w:line="360" w:lineRule="auto"/>
      <w:ind w:firstLine="200"/>
      <w:jc w:val="left"/>
    </w:pPr>
    <w:rPr>
      <w:rFonts w:ascii="Times New Roman" w:hAnsi="Times New Roman"/>
      <w:kern w:val="24"/>
      <w:sz w:val="24"/>
    </w:rPr>
  </w:style>
  <w:style w:type="character" w:customStyle="1" w:styleId="50">
    <w:name w:val="表头图号 Char1"/>
    <w:link w:val="35"/>
    <w:qFormat/>
    <w:uiPriority w:val="0"/>
    <w:rPr>
      <w:rFonts w:ascii="黑体" w:hAnsi="黑体" w:eastAsia="黑体" w:cs="黑体"/>
      <w:color w:val="000000"/>
      <w:kern w:val="2"/>
      <w:sz w:val="21"/>
      <w:szCs w:val="21"/>
      <w:lang w:val="en-US" w:eastAsia="en-US" w:bidi="ar-SA"/>
    </w:rPr>
  </w:style>
  <w:style w:type="paragraph" w:customStyle="1" w:styleId="51">
    <w:name w:val="页脚，中冶节能"/>
    <w:basedOn w:val="1"/>
    <w:qFormat/>
    <w:uiPriority w:val="0"/>
    <w:pPr>
      <w:pBdr>
        <w:top w:val="single" w:color="auto" w:sz="4" w:space="1"/>
      </w:pBdr>
      <w:wordWrap w:val="0"/>
      <w:spacing w:line="240" w:lineRule="auto"/>
      <w:ind w:firstLine="5760" w:firstLineChars="3200"/>
    </w:pPr>
    <w:rPr>
      <w:rFonts w:eastAsia="宋体"/>
      <w:sz w:val="18"/>
    </w:rPr>
  </w:style>
  <w:style w:type="paragraph" w:customStyle="1" w:styleId="52">
    <w:name w:val="图表标题，中冶节能"/>
    <w:basedOn w:val="1"/>
    <w:qFormat/>
    <w:uiPriority w:val="0"/>
    <w:pPr>
      <w:widowControl/>
      <w:adjustRightInd w:val="0"/>
      <w:snapToGrid w:val="0"/>
      <w:spacing w:line="240" w:lineRule="auto"/>
      <w:ind w:firstLine="0" w:firstLineChars="0"/>
      <w:jc w:val="center"/>
    </w:pPr>
    <w:rPr>
      <w:kern w:val="0"/>
    </w:rPr>
  </w:style>
  <w:style w:type="character" w:customStyle="1" w:styleId="53">
    <w:name w:val="font31"/>
    <w:qFormat/>
    <w:uiPriority w:val="0"/>
    <w:rPr>
      <w:rFonts w:hint="eastAsia" w:ascii="宋体" w:hAnsi="宋体" w:eastAsia="宋体" w:cs="宋体"/>
      <w:b/>
      <w:color w:val="FF0000"/>
      <w:sz w:val="18"/>
      <w:szCs w:val="18"/>
      <w:u w:val="none"/>
    </w:rPr>
  </w:style>
  <w:style w:type="character" w:customStyle="1" w:styleId="54">
    <w:name w:val="font11"/>
    <w:basedOn w:val="25"/>
    <w:qFormat/>
    <w:uiPriority w:val="0"/>
    <w:rPr>
      <w:rFonts w:hint="eastAsia" w:ascii="宋体" w:hAnsi="宋体" w:eastAsia="宋体" w:cs="宋体"/>
      <w:color w:val="7030A0"/>
      <w:sz w:val="18"/>
      <w:szCs w:val="18"/>
      <w:u w:val="none"/>
    </w:rPr>
  </w:style>
  <w:style w:type="character" w:customStyle="1" w:styleId="55">
    <w:name w:val="font21"/>
    <w:qFormat/>
    <w:uiPriority w:val="0"/>
    <w:rPr>
      <w:rFonts w:hint="default" w:ascii="Times New Roman" w:hAnsi="Times New Roman" w:cs="Times New Roman"/>
      <w:color w:val="000000"/>
      <w:sz w:val="18"/>
      <w:szCs w:val="18"/>
      <w:u w:val="none"/>
      <w:vertAlign w:val="subscript"/>
    </w:rPr>
  </w:style>
  <w:style w:type="character" w:customStyle="1" w:styleId="56">
    <w:name w:val="font51"/>
    <w:qFormat/>
    <w:uiPriority w:val="0"/>
    <w:rPr>
      <w:rFonts w:hint="default" w:ascii="Times New Roman" w:hAnsi="Times New Roman" w:cs="Times New Roman"/>
      <w:color w:val="000000"/>
      <w:sz w:val="24"/>
      <w:szCs w:val="24"/>
      <w:u w:val="none"/>
    </w:rPr>
  </w:style>
  <w:style w:type="character" w:customStyle="1" w:styleId="57">
    <w:name w:val="font41"/>
    <w:qFormat/>
    <w:uiPriority w:val="0"/>
    <w:rPr>
      <w:rFonts w:hint="eastAsia" w:ascii="宋体" w:hAnsi="宋体" w:eastAsia="宋体" w:cs="宋体"/>
      <w:color w:val="000000"/>
      <w:sz w:val="21"/>
      <w:szCs w:val="21"/>
      <w:u w:val="none"/>
    </w:rPr>
  </w:style>
  <w:style w:type="table" w:customStyle="1" w:styleId="58">
    <w:name w:val="Table Normal"/>
    <w:unhideWhenUsed/>
    <w:qFormat/>
    <w:uiPriority w:val="0"/>
    <w:tblPr>
      <w:tblCellMar>
        <w:top w:w="0" w:type="dxa"/>
        <w:left w:w="0" w:type="dxa"/>
        <w:bottom w:w="0" w:type="dxa"/>
        <w:right w:w="0" w:type="dxa"/>
      </w:tblCellMar>
    </w:tblPr>
  </w:style>
  <w:style w:type="paragraph" w:customStyle="1" w:styleId="59">
    <w:name w:val="正文yuan"/>
    <w:basedOn w:val="1"/>
    <w:next w:val="1"/>
    <w:qFormat/>
    <w:uiPriority w:val="0"/>
    <w:pPr>
      <w:tabs>
        <w:tab w:val="left" w:pos="180"/>
      </w:tabs>
      <w:spacing w:line="360" w:lineRule="auto"/>
      <w:ind w:firstLine="723" w:firstLineChars="200"/>
    </w:pPr>
    <w:rPr>
      <w:rFonts w:ascii="Times New Roman" w:hAnsi="Times New Roman" w:eastAsia="宋体" w:cs="Times New Roman"/>
      <w:color w:val="FF0000"/>
      <w:sz w:val="24"/>
    </w:rPr>
  </w:style>
  <w:style w:type="paragraph" w:customStyle="1" w:styleId="60">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customXml" Target="../customXml/item1.xml"/><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emf"/><Relationship Id="rId18" Type="http://schemas.openxmlformats.org/officeDocument/2006/relationships/oleObject" Target="embeddings/oleObject3.bin"/><Relationship Id="rId17" Type="http://schemas.openxmlformats.org/officeDocument/2006/relationships/image" Target="media/image3.emf"/><Relationship Id="rId16" Type="http://schemas.openxmlformats.org/officeDocument/2006/relationships/oleObject" Target="embeddings/oleObject2.bin"/><Relationship Id="rId15" Type="http://schemas.openxmlformats.org/officeDocument/2006/relationships/image" Target="media/image2.emf"/><Relationship Id="rId14" Type="http://schemas.openxmlformats.org/officeDocument/2006/relationships/oleObject" Target="embeddings/oleObject1.bin"/><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fc8ec09a-4191-4719-88fe-cb6822818b86</errorID>
      <errorWord>-</errorWord>
      <group>L1_Format</group>
      <groupName>格式问题</groupName>
      <ability>L2_HalfPunc</ability>
      <abilityName>全半角检查</abilityName>
      <candidateList>
        <item>－</item>
      </candidateList>
      <explain>文本全半角错误。</explain>
      <paraID>30598201</paraID>
      <start>25</start>
      <end>26</end>
      <status>unmodified</status>
      <modifiedWord/>
      <trackRevisions>false</trackRevisions>
    </reviewItem>
    <reviewItem>
      <errorID>fc012d5e-481e-488a-967b-7fb768bf9d8a</errorID>
      <errorWord>-</errorWord>
      <group>L1_Format</group>
      <groupName>格式问题</groupName>
      <ability>L2_HalfPunc</ability>
      <abilityName>全半角检查</abilityName>
      <candidateList>
        <item>－</item>
      </candidateList>
      <explain>文本全半角错误。</explain>
      <paraID>1E4ACB1F</paraID>
      <start>25</start>
      <end>26</end>
      <status>unmodified</status>
      <modifiedWord/>
      <trackRevisions>false</trackRevisions>
    </reviewItem>
    <reviewItem>
      <errorID>b979c86e-4b3e-40de-a514-873b30cdad55</errorID>
      <errorWord>》（试行）</errorWord>
      <group>L1_Word</group>
      <groupName>字词问题</groupName>
      <ability>L2_Typo</ability>
      <abilityName>字词错误</abilityName>
      <candidateList>
        <item>（试行）》</item>
      </candidateList>
      <explain/>
      <paraID>67E73157</paraID>
      <start>27</start>
      <end>32</end>
      <status>unmodified</status>
      <modifiedWord/>
      <trackRevisions>false</trackRevisions>
    </reviewItem>
    <reviewItem>
      <errorID>838e7e99-e245-49d1-9d51-df6cd4055686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6B9A77F5</paraID>
      <start>0</start>
      <end>2</end>
      <status>unmodified</status>
      <modifiedWord/>
      <trackRevisions>false</trackRevisions>
    </reviewItem>
    <reviewItem>
      <errorID>50fc4ec3-dae2-45e8-b4d6-669f764e5028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51C9BF8B</paraID>
      <start>0</start>
      <end>2</end>
      <status>unmodified</status>
      <modifiedWord/>
      <trackRevisions>false</trackRevisions>
    </reviewItem>
    <reviewItem>
      <errorID>cac620da-62c1-411a-b1fd-8980f2cafeca</errorID>
      <errorWord>无需设置</errorWord>
      <group>L1_Word</group>
      <groupName>字词问题</groupName>
      <ability>L2_Alias</ability>
      <abilityName>也作/曾用词</abilityName>
      <candidateList>
        <item>无须设置</item>
      </candidateList>
      <explain>词汇[无需设置]为不规范表述或旧称，其规范书面表述为[无须设置]。</explain>
      <paraID>32E9C7AA</paraID>
      <start>12</start>
      <end>16</end>
      <status>modified</status>
      <modifiedWord>无须设置</modifiedWord>
      <trackRevisions>false</trackRevisions>
    </reviewItem>
    <reviewItem>
      <errorID>f4c15961-0caf-4362-8254-d267f9382265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1C490A20</paraID>
      <start>0</start>
      <end>2</end>
      <status>unmodified</status>
      <modifiedWord/>
      <trackRevisions>false</trackRevisions>
    </reviewItem>
    <reviewItem>
      <errorID>13ab85b0-8f1a-410a-bbb0-179390bec1b4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725DAFA6</paraID>
      <start>0</start>
      <end>2</end>
      <status>unmodified</status>
      <modifiedWord/>
      <trackRevisions>false</trackRevisions>
    </reviewItem>
    <reviewItem>
      <errorID>7ce42a69-9eff-48ae-a61e-293d33f10ce0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685E1299</paraID>
      <start>0</start>
      <end>2</end>
      <status>unmodified</status>
      <modifiedWord/>
      <trackRevisions>false</trackRevisions>
    </reviewItem>
    <reviewItem>
      <errorID>1a7ca8f7-efc8-4473-a9c9-45e7cdaad206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7C8B3574</paraID>
      <start>0</start>
      <end>2</end>
      <status>unmodified</status>
      <modifiedWord/>
      <trackRevisions>false</trackRevisions>
    </reviewItem>
    <reviewItem>
      <errorID>170fcc1b-7851-47ba-a349-d51eeb467a31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1DFF991C</paraID>
      <start>0</start>
      <end>2</end>
      <status>unmodified</status>
      <modifiedWord/>
      <trackRevisions>false</trackRevisions>
    </reviewItem>
    <reviewItem>
      <errorID>39b3a216-6ae1-44c3-a20b-1663565b4cc6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1C115C4</paraID>
      <start>0</start>
      <end>2</end>
      <status>unmodified</status>
      <modifiedWord/>
      <trackRevisions>false</trackRevisions>
    </reviewItem>
    <reviewItem>
      <errorID>d5b97fa2-1810-431d-8d04-aff413a5d060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41F78F9C</paraID>
      <start>0</start>
      <end>2</end>
      <status>unmodified</status>
      <modifiedWord/>
      <trackRevisions>false</trackRevisions>
    </reviewItem>
    <reviewItem>
      <errorID>f24f94d0-7b05-421c-a62d-074128960b3e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59EA26C2</paraID>
      <start>0</start>
      <end>2</end>
      <status>unmodified</status>
      <modifiedWord/>
      <trackRevisions>false</trackRevisions>
    </reviewItem>
    <reviewItem>
      <errorID>cc7e341b-caef-405c-88e7-0fc3fe3f7e17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27FA8BB1</paraID>
      <start>0</start>
      <end>2</end>
      <status>unmodified</status>
      <modifiedWord/>
      <trackRevisions>false</trackRevisions>
    </reviewItem>
    <reviewItem>
      <errorID>4d7fc92d-2dd0-4dfc-80ce-26414460c196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61B4B5</paraID>
      <start>41</start>
      <end>42</end>
      <status>unmodified</status>
      <modifiedWord/>
      <trackRevisions>false</trackRevisions>
    </reviewItem>
    <reviewItem>
      <errorID>2579f3ec-894c-461e-b183-7fefbda2ba34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4D60F465</paraID>
      <start>0</start>
      <end>2</end>
      <status>unmodified</status>
      <modifiedWord/>
      <trackRevisions>false</trackRevisions>
    </reviewItem>
    <reviewItem>
      <errorID>5e2d2faa-2643-45ea-8f2c-2709428e937b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7E9AE7F9</paraID>
      <start>26</start>
      <end>27</end>
      <status>unmodified</status>
      <modifiedWord/>
      <trackRevisions>false</trackRevisions>
    </reviewItem>
    <reviewItem>
      <errorID>a00996a1-34b6-4601-9f8a-cc62c89daad8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20C17B39</paraID>
      <start>26</start>
      <end>27</end>
      <status>unmodified</status>
      <modifiedWord/>
      <trackRevisions>false</trackRevisions>
    </reviewItem>
    <reviewItem>
      <errorID>1025cd14-7c2b-4c6c-8eda-2dfadc48fa9c</errorID>
      <errorWord>置</errorWord>
      <group>L1_Word</group>
      <groupName>字词问题</groupName>
      <ability>L2_Typo</ability>
      <abilityName>字词错误</abilityName>
      <candidateList>
        <item>置和</item>
      </candidateList>
      <explain/>
      <paraID>4E82D4DE</paraID>
      <start>95</start>
      <end>96</end>
      <status>unmodified</status>
      <modifiedWord/>
      <trackRevisions>false</trackRevisions>
    </reviewItem>
    <reviewItem>
      <errorID>6a2e86c9-876d-4d61-ac39-202525473469</errorID>
      <errorWord>(</errorWord>
      <group>L1_Format</group>
      <groupName>格式问题</groupName>
      <ability>L2_HalfPunc</ability>
      <abilityName>全半角检查</abilityName>
      <candidateList>
        <item>（</item>
      </candidateList>
      <explain>文本全半角错误。</explain>
      <paraID>24B7CBE0</paraID>
      <start>109</start>
      <end>110</end>
      <status>unmodified</status>
      <modifiedWord/>
      <trackRevisions>false</trackRevisions>
    </reviewItem>
    <reviewItem>
      <errorID>ff4aaa32-a101-47fc-b736-95aa0ba85d97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139F1CAD</paraID>
      <start>37</start>
      <end>38</end>
      <status>unmodified</status>
      <modifiedWord/>
      <trackRevisions>false</trackRevisions>
    </reviewItem>
    <reviewItem>
      <errorID>05e1ec9f-9658-4918-8ad0-61cb61fa47b5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2BC215CB</paraID>
      <start>37</start>
      <end>38</end>
      <status>unmodified</status>
      <modifiedWord/>
      <trackRevisions>false</trackRevisions>
    </reviewItem>
    <reviewItem>
      <errorID>eee97e0a-27ce-4eaf-8b14-00a3b1b14558</errorID>
      <errorWord>，</errorWord>
      <group>L1_Word</group>
      <groupName>字词问题</groupName>
      <ability>L2_Typo</ability>
      <abilityName>字词错误</abilityName>
      <candidateList>
        <item>，在</item>
      </candidateList>
      <explain/>
      <paraID> 7047D51</paraID>
      <start>77</start>
      <end>78</end>
      <status>unmodified</status>
      <modifiedWord/>
      <trackRevisions>false</trackRevisions>
    </reviewItem>
    <reviewItem>
      <errorID>8f6372b2-3906-4b83-a0c7-573d3ad21a1f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754A1B92</paraID>
      <start>45</start>
      <end>46</end>
      <status>unmodified</status>
      <modifiedWord/>
      <trackRevisions>false</trackRevisions>
    </reviewItem>
    <reviewItem>
      <errorID>427b9545-1d92-4d0c-9615-d6cae65f25e6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184CEA72</paraID>
      <start>0</start>
      <end>2</end>
      <status>unmodified</status>
      <modifiedWord/>
      <trackRevisions>false</trackRevisions>
    </reviewItem>
    <reviewItem>
      <errorID>c75721b9-a9d7-48f9-96d5-3f96a122583c</errorID>
      <errorWord>《产业结构调整指导目录》（2024年本）</errorWord>
      <group>L1_Knowledge</group>
      <groupName>知识性问题</groupName>
      <ability>L2_Knowledge</ability>
      <abilityName>其他知识</abilityName>
      <candidateList>
        <item>《产业结构调整指导目录（2024年本）》</item>
      </candidateList>
      <explain>疑似政策文件、法律法规名称等书写不规范，请注意检查。</explain>
      <paraID>50A07577</paraID>
      <start>15</start>
      <end>35</end>
      <status>unmodified</status>
      <modifiedWord/>
      <trackRevisions>false</trackRevisions>
    </reviewItem>
    <reviewItem>
      <errorID>1f17fac2-6213-42f4-ba35-acff4c9be108</errorID>
      <errorWord>-</errorWord>
      <group>L1_Format</group>
      <groupName>格式问题</groupName>
      <ability>L2_HalfPunc</ability>
      <abilityName>全半角检查</abilityName>
      <candidateList>
        <item>－</item>
      </candidateList>
      <explain>文本全半角错误。</explain>
      <paraID>50A07577</paraID>
      <start>119</start>
      <end>120</end>
      <status>unmodified</status>
      <modifiedWord/>
      <trackRevisions>false</trackRevisions>
    </reviewItem>
    <reviewItem>
      <errorID>e6589c3a-b495-4d02-9204-cad1d82406f8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47C0A405</paraID>
      <start>0</start>
      <end>2</end>
      <status>unmodified</status>
      <modifiedWord/>
      <trackRevisions>false</trackRevisions>
    </reviewItem>
    <reviewItem>
      <errorID>1ae6c8a1-d505-44a2-8fc2-2975183c532f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47C0A405</paraID>
      <start>20</start>
      <end>21</end>
      <status>unmodified</status>
      <modifiedWord/>
      <trackRevisions>false</trackRevisions>
    </reviewItem>
    <reviewItem>
      <errorID>d2d6ba1e-fcf9-4330-9e87-8eead1a2c0fa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47C0A405</paraID>
      <start>46</start>
      <end>47</end>
      <status>unmodified</status>
      <modifiedWord/>
      <trackRevisions>false</trackRevisions>
    </reviewItem>
    <reviewItem>
      <errorID>7a692f57-af8c-4708-89e8-3aace44e7683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39DC67E1</paraID>
      <start>22</start>
      <end>23</end>
      <status>unmodified</status>
      <modifiedWord/>
      <trackRevisions>false</trackRevisions>
    </reviewItem>
    <reviewItem>
      <errorID>e43567a1-887e-44ec-82c9-c082f0f021ae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24484EBB</paraID>
      <start>18</start>
      <end>19</end>
      <status>unmodified</status>
      <modifiedWord/>
      <trackRevisions>false</trackRevisions>
    </reviewItem>
    <reviewItem>
      <errorID>c52d2a7f-a266-4943-8ace-589304686a21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21D6F8AE</paraID>
      <start>20</start>
      <end>21</end>
      <status>unmodified</status>
      <modifiedWord/>
      <trackRevisions>false</trackRevisions>
    </reviewItem>
    <reviewItem>
      <errorID>0e3e0e7e-53fe-4796-9ccb-06f596192a4a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408C74B8</paraID>
      <start>25</start>
      <end>26</end>
      <status>unmodified</status>
      <modifiedWord/>
      <trackRevisions>false</trackRevisions>
    </reviewItem>
    <reviewItem>
      <errorID>cbba3016-6bbf-4fbf-84ed-8af9c3aa4237</errorID>
      <errorWord>以县城为载体的城镇化建设</errorWord>
      <group>L1_Political</group>
      <groupName>政治性问题</groupName>
      <ability>L2_Keyword</ability>
      <abilityName>固定表述</abilityName>
      <candidateList>
        <item>以县城为重要载体的城镇化建设</item>
      </candidateList>
      <explain>词汇“以县城为重要载体的城镇化建设”在特定场景下为固定表述形式，请确认此处的“以县城为载体的城镇化建设”是否存在不当。</explain>
      <paraID>77E46B91</paraID>
      <start>28</start>
      <end>40</end>
      <status>unmodified</status>
      <modifiedWord/>
      <trackRevisions>false</trackRevisions>
    </reviewItem>
    <reviewItem>
      <errorID>10b88426-df03-4f7d-bfc0-5d54f92b43ff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63D52620</paraID>
      <start>114</start>
      <end>115</end>
      <status>unmodified</status>
      <modifiedWord/>
      <trackRevisions>false</trackRevisions>
    </reviewItem>
    <reviewItem>
      <errorID>34da359f-c316-414a-b5e7-0f13bf4b2ea3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63D52620</paraID>
      <start>238</start>
      <end>239</end>
      <status>unmodified</status>
      <modifiedWord/>
      <trackRevisions>false</trackRevisions>
    </reviewItem>
    <reviewItem>
      <errorID>41f5a689-9185-4d32-926f-1a28a5f22a0c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6E8401D3</paraID>
      <start>23</start>
      <end>24</end>
      <status>unmodified</status>
      <modifiedWord/>
      <trackRevisions>false</trackRevisions>
    </reviewItem>
    <reviewItem>
      <errorID>ac67cedd-7cf3-4ef7-89f6-8b59a4b5e381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510BB887</paraID>
      <start>19</start>
      <end>20</end>
      <status>unmodified</status>
      <modifiedWord/>
      <trackRevisions>false</trackRevisions>
    </reviewItem>
    <reviewItem>
      <errorID>4698e2f9-5264-493a-a553-402b91b7a721</errorID>
      <errorWord>位</errorWord>
      <group>L1_Knowledge</group>
      <groupName>知识性问题</groupName>
      <ability>L2_Knowledge</ability>
      <abilityName>其他知识</abilityName>
      <candidateList>
        <item>步</item>
      </candidateList>
      <explain/>
      <paraID>510BB887</paraID>
      <start>183</start>
      <end>184</end>
      <status>unmodified</status>
      <modifiedWord/>
      <trackRevisions>false</trackRevisions>
    </reviewItem>
    <reviewItem>
      <errorID>d049e3a9-8c90-4ede-bd41-002bf55977fe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74FF7D67</paraID>
      <start>17</start>
      <end>18</end>
      <status>unmodified</status>
      <modifiedWord/>
      <trackRevisions>false</trackRevisions>
    </reviewItem>
    <reviewItem>
      <errorID>e6c25c09-96a1-445b-bdb7-b56ece01b59c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DFAD780</paraID>
      <start>26</start>
      <end>27</end>
      <status>unmodified</status>
      <modifiedWord/>
      <trackRevisions>false</trackRevisions>
    </reviewItem>
    <reviewItem>
      <errorID>43a880e2-279a-48ee-8378-a1bb8710f72e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5E155A02</paraID>
      <start>0</start>
      <end>2</end>
      <status>unmodified</status>
      <modifiedWord/>
      <trackRevisions>false</trackRevisions>
    </reviewItem>
    <reviewItem>
      <errorID>8911956a-f09f-4eaf-98f5-3b6c804abd3d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36AFD6FE</paraID>
      <start>0</start>
      <end>2</end>
      <status>unmodified</status>
      <modifiedWord/>
      <trackRevisions>false</trackRevisions>
    </reviewItem>
    <reviewItem>
      <errorID>eeaffc59-af57-4489-a44d-a8b7dba8a1ae</errorID>
      <errorWord>水利流失</errorWord>
      <group>L1_Knowledge</group>
      <groupName>知识性问题</groupName>
      <ability>L2_Term</ability>
      <abilityName>专业术语</abilityName>
      <candidateList>
        <item>水土流失</item>
      </candidateList>
      <explain/>
      <paraID>6789F8BF</paraID>
      <start>45</start>
      <end>49</end>
      <status>unmodified</status>
      <modifiedWord/>
      <trackRevisions>false</trackRevisions>
    </reviewItem>
    <reviewItem>
      <errorID>7f6bd2fa-85c4-40a7-8277-16194e08235b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328556B1</paraID>
      <start>0</start>
      <end>2</end>
      <status>unmodified</status>
      <modifiedWord/>
      <trackRevisions>false</trackRevisions>
    </reviewItem>
    <reviewItem>
      <errorID>27db08ea-b734-4a52-97ce-2abea4447296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43C82AA6</paraID>
      <start>28</start>
      <end>29</end>
      <status>unmodified</status>
      <modifiedWord/>
      <trackRevisions>false</trackRevisions>
    </reviewItem>
    <reviewItem>
      <errorID>40ca081c-3b26-4e40-a18b-565fa2ad079a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43C82AA6</paraID>
      <start>69</start>
      <end>70</end>
      <status>unmodified</status>
      <modifiedWord/>
      <trackRevisions>false</trackRevisions>
    </reviewItem>
    <reviewItem>
      <errorID>ebfe8630-6d71-467b-bfe2-a535dc4893b3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4DA768C0</paraID>
      <start>0</start>
      <end>2</end>
      <status>unmodified</status>
      <modifiedWord/>
      <trackRevisions>false</trackRevisions>
    </reviewItem>
    <reviewItem>
      <errorID>3bc50400-7f7d-4989-be7a-0ef9872b9c8a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90B0378</paraID>
      <start>130</start>
      <end>131</end>
      <status>unmodified</status>
      <modifiedWord/>
      <trackRevisions>false</trackRevisions>
    </reviewItem>
    <reviewItem>
      <errorID>b3bb2cb6-0cbc-4efd-b570-b13560ce2a78</errorID>
      <errorWord>,</errorWord>
      <group>L1_Format</group>
      <groupName>格式问题</groupName>
      <ability>L2_HalfPunc</ability>
      <abilityName>全半角检查</abilityName>
      <candidateList>
        <item>，</item>
      </candidateList>
      <explain>文本全半角错误。</explain>
      <paraID> 90B0378</paraID>
      <start>137</start>
      <end>138</end>
      <status>unmodified</status>
      <modifiedWord/>
      <trackRevisions>false</trackRevisions>
    </reviewItem>
    <reviewItem>
      <errorID>0d5c7e96-82ca-451b-a2d7-8911af34d40a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1F371D6C</paraID>
      <start>0</start>
      <end>2</end>
      <status>unmodified</status>
      <modifiedWord/>
      <trackRevisions>false</trackRevisions>
    </reviewItem>
    <reviewItem>
      <errorID>2febf135-c2f2-490b-97a2-fdabc38c0e9d</errorID>
      <errorWord>《中共中央、国务院</errorWord>
      <group>L1_Political</group>
      <groupName>政治性问题</groupName>
      <ability>L2_Unpolitical</ability>
      <abilityName>政治敏感错误</abilityName>
      <candidateList>
        <item>《中共中央 国务院</item>
      </candidateList>
      <explain/>
      <paraID>34410533</paraID>
      <start>7</start>
      <end>16</end>
      <status>unmodified</status>
      <modifiedWord/>
      <trackRevisions>false</trackRevisions>
    </reviewItem>
    <reviewItem>
      <errorID>bf3a05cc-feae-4835-ab4e-7758c93d408a</errorID>
      <errorWord>前</errorWord>
      <group>L1_Word</group>
      <groupName>字词问题</groupName>
      <ability>L2_Typo</ability>
      <abilityName>字词错误</abilityName>
      <candidateList>
        <item>前尚</item>
      </candidateList>
      <explain/>
      <paraID>75185623</paraID>
      <start>63</start>
      <end>64</end>
      <status>unmodified</status>
      <modifiedWord/>
      <trackRevisions>false</trackRevisions>
    </reviewItem>
    <reviewItem>
      <errorID>de35fd27-9dcc-48d0-b49f-68863e3c64cc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478CEC23</paraID>
      <start>0</start>
      <end>2</end>
      <status>unmodified</status>
      <modifiedWord/>
      <trackRevisions>false</trackRevisions>
    </reviewItem>
    <reviewItem>
      <errorID>2023282e-fcb5-45db-9de6-392003d78cf6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382437B8</paraID>
      <start>0</start>
      <end>2</end>
      <status>unmodified</status>
      <modifiedWord/>
      <trackRevisions>false</trackRevisions>
    </reviewItem>
    <reviewItem>
      <errorID>df17a10e-6f21-41c4-84cb-4865b2979739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39A39967</paraID>
      <start>0</start>
      <end>2</end>
      <status>unmodified</status>
      <modifiedWord/>
      <trackRevisions>false</trackRevisions>
    </reviewItem>
    <reviewItem>
      <errorID>c8f34623-6abf-4f98-9853-45bc833960de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2D8CF62B</paraID>
      <start>0</start>
      <end>2</end>
      <status>unmodified</status>
      <modifiedWord/>
      <trackRevisions>false</trackRevisions>
    </reviewItem>
    <reviewItem>
      <errorID>fa86bc4f-4b02-4d61-922d-c5f5725f4093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4898BEFE</paraID>
      <start>0</start>
      <end>2</end>
      <status>unmodified</status>
      <modifiedWord/>
      <trackRevisions>false</trackRevisions>
    </reviewItem>
    <reviewItem>
      <errorID>9bbf9220-576d-49b8-8faf-1044345585df</errorID>
      <errorWord>，</errorWord>
      <group>L1_Word</group>
      <groupName>字词问题</groupName>
      <ability>L2_Typo</ability>
      <abilityName>字词错误</abilityName>
      <candidateList>
        <item>，在</item>
      </candidateList>
      <explain/>
      <paraID> 9CF9B95</paraID>
      <start>398</start>
      <end>399</end>
      <status>unmodified</status>
      <modifiedWord/>
      <trackRevisions>false</trackRevisions>
    </reviewItem>
    <reviewItem>
      <errorID>9821ce7b-4498-4a84-9741-4fdd27d506f2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5A5F2273</paraID>
      <start>0</start>
      <end>2</end>
      <status>unmodified</status>
      <modifiedWord/>
      <trackRevisions>false</trackRevisions>
    </reviewItem>
    <reviewItem>
      <errorID>8503eaf8-c62a-42c0-a1a4-f7e31326fbc1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6C6EA9E9</paraID>
      <start>0</start>
      <end>2</end>
      <status>unmodified</status>
      <modifiedWord/>
      <trackRevisions>false</trackRevisions>
    </reviewItem>
    <reviewItem>
      <errorID>a79072a0-3f0a-4c58-abe1-6dfd17a34eb7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1468C24</paraID>
      <start>0</start>
      <end>2</end>
      <status>unmodified</status>
      <modifiedWord/>
      <trackRevisions>false</trackRevisions>
    </reviewItem>
    <reviewItem>
      <errorID>4ea8d139-b7c2-4e57-b223-7da6c7615b55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5A863E42</paraID>
      <start>0</start>
      <end>2</end>
      <status>unmodified</status>
      <modifiedWord/>
      <trackRevisions>false</trackRevisions>
    </reviewItem>
    <reviewItem>
      <errorID>b219fe2f-f4b2-4754-9442-4940eeeeef2a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5922FD9D</paraID>
      <start>0</start>
      <end>2</end>
      <status>unmodified</status>
      <modifiedWord/>
      <trackRevisions>false</trackRevisions>
    </reviewItem>
    <reviewItem>
      <errorID>094881d4-d45a-4142-96d1-ca55ff462e56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36588E0B</paraID>
      <start>0</start>
      <end>2</end>
      <status>unmodified</status>
      <modifiedWord/>
      <trackRevisions>false</trackRevisions>
    </reviewItem>
    <reviewItem>
      <errorID>11c088c6-9355-4e9e-86d1-db250e20fa06</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1C7116BC</paraID>
      <start>0</start>
      <end>2</end>
      <status>unmodified</status>
      <modifiedWord/>
      <trackRevisions>false</trackRevisions>
    </reviewItem>
    <reviewItem>
      <errorID>33de8ada-cb0c-4dc3-ad0d-25f9dbdd424f</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12EF1693</paraID>
      <start>0</start>
      <end>2</end>
      <status>unmodified</status>
      <modifiedWord/>
      <trackRevisions>false</trackRevisions>
    </reviewItem>
    <reviewItem>
      <errorID>6cdae556-d6ec-402d-b1bc-7edb20e66658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42693145</paraID>
      <start>0</start>
      <end>2</end>
      <status>unmodified</status>
      <modifiedWord/>
      <trackRevisions>false</trackRevisions>
    </reviewItem>
    <reviewItem>
      <errorID>9cdce0a5-065e-4929-b3de-0366691715f2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3029C959</paraID>
      <start>0</start>
      <end>2</end>
      <status>unmodified</status>
      <modifiedWord/>
      <trackRevisions>false</trackRevisions>
    </reviewItem>
    <reviewItem>
      <errorID>10ff2c6e-5210-4834-a095-30efafe212f3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59B6FFE7</paraID>
      <start>0</start>
      <end>2</end>
      <status>unmodified</status>
      <modifiedWord/>
      <trackRevisions>false</trackRevisions>
    </reviewItem>
    <reviewItem>
      <errorID>ae56300f-3c73-4603-976c-121f2d2d4424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489C1CBC</paraID>
      <start>0</start>
      <end>2</end>
      <status>unmodified</status>
      <modifiedWord/>
      <trackRevisions>false</trackRevisions>
    </reviewItem>
    <reviewItem>
      <errorID>71eaf021-0e27-4b68-8509-32e6cbef928b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6A8CC000</paraID>
      <start>0</start>
      <end>2</end>
      <status>unmodified</status>
      <modifiedWord/>
      <trackRevisions>false</trackRevisions>
    </reviewItem>
    <reviewItem>
      <errorID>4ac32ef0-52ad-49dd-a25b-321ba6928403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5B5661F1</paraID>
      <start>0</start>
      <end>2</end>
      <status>unmodified</status>
      <modifiedWord/>
      <trackRevisions>false</trackRevisions>
    </reviewItem>
    <reviewItem>
      <errorID>f1fa5d61-3bba-46fd-b380-465d0caee33c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4752E233</paraID>
      <start>0</start>
      <end>2</end>
      <status>unmodified</status>
      <modifiedWord/>
      <trackRevisions>false</trackRevisions>
    </reviewItem>
    <reviewItem>
      <errorID>bda576fd-facd-4ede-a111-47af5ff9fc1b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63AC9A7B</paraID>
      <start>0</start>
      <end>2</end>
      <status>unmodified</status>
      <modifiedWord/>
      <trackRevisions>false</trackRevisions>
    </reviewItem>
    <reviewItem>
      <errorID>c125ba81-b835-4b08-b5b4-bacfda8636d4</errorID>
      <errorWord>瓷</errorWord>
      <group>L1_Word</group>
      <groupName>字词问题</groupName>
      <ability>L2_Typo</ability>
      <abilityName>字词错误</abilityName>
      <candidateList>
        <item>瓷产</item>
      </candidateList>
      <explain/>
      <paraID>228609FB</paraID>
      <start>12</start>
      <end>13</end>
      <status>unmodified</status>
      <modifiedWord/>
      <trackRevisions>false</trackRevisions>
    </reviewItem>
    <reviewItem>
      <errorID>c808d8d8-5814-4793-af8d-e8db71e8bfc7</errorID>
      <errorWord>达</errorWord>
      <group>L1_Word</group>
      <groupName>字词问题</groupName>
      <ability>L2_Typo</ability>
      <abilityName>字词错误</abilityName>
      <candidateList>
        <item>达到</item>
      </candidateList>
      <explain>〈动〉到（多指抽象事物或程度）：达得到｜达不到｜目的没有～｜～国际水平。</explain>
      <paraID>6A675B53</paraID>
      <start>40</start>
      <end>41</end>
      <status>unmodified</status>
      <modifiedWord/>
      <trackRevisions>false</trackRevisions>
    </reviewItem>
    <reviewItem>
      <errorID>ce7a9637-105b-41dc-80c8-2f8106fa90d0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281B504C</paraID>
      <start>0</start>
      <end>2</end>
      <status>unmodified</status>
      <modifiedWord/>
      <trackRevisions>false</trackRevisions>
    </reviewItem>
    <reviewItem>
      <errorID>43fc8ef9-1244-41b0-9cd5-05c285ba215b</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4AD16B4F</paraID>
      <start>162</start>
      <end>169</end>
      <status>unmodified</status>
      <modifiedWord/>
      <trackRevisions>false</trackRevisions>
    </reviewItem>
    <reviewItem>
      <errorID>b7814d8b-ba65-4106-abff-f0fb309362eb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456934D4</paraID>
      <start>0</start>
      <end>2</end>
      <status>unmodified</status>
      <modifiedWord/>
      <trackRevisions>false</trackRevisions>
    </reviewItem>
    <reviewItem>
      <errorID>6bd22a3c-c50f-4b34-8a2c-89241dbfb10d</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4A7A8A3F</paraID>
      <start>0</start>
      <end>2</end>
      <status>unmodified</status>
      <modifiedWord/>
      <trackRevisions>false</trackRevisions>
    </reviewItem>
    <reviewItem>
      <errorID>bf80f416-54f9-4335-8882-f750aa410ca1</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68852CF4</paraID>
      <start>0</start>
      <end>2</end>
      <status>unmodified</status>
      <modifiedWord/>
      <trackRevisions>false</trackRevisions>
    </reviewItem>
    <reviewItem>
      <errorID>1bc146a7-ffd8-453b-8533-2c79ed451a1d</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73221370</paraID>
      <start>0</start>
      <end>2</end>
      <status>unmodified</status>
      <modifiedWord/>
      <trackRevisions>false</trackRevisions>
    </reviewItem>
    <reviewItem>
      <errorID>28266d87-ec76-4d97-802d-02ea70b18588</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11BA90A7</paraID>
      <start>0</start>
      <end>3</end>
      <status>unmodified</status>
      <modifiedWord/>
      <trackRevisions>false</trackRevisions>
    </reviewItem>
    <reviewItem>
      <errorID>f640ca49-6132-4131-80d8-2d16aae81e37</errorID>
      <errorWord>胶粘剂</errorWord>
      <group>L1_Word</group>
      <groupName>字词问题</groupName>
      <ability>L2_Typo</ability>
      <abilityName>字词错误</abilityName>
      <candidateList>
        <item>胶黏剂</item>
      </candidateList>
      <explain/>
      <paraID>49283492</paraID>
      <start>42</start>
      <end>45</end>
      <status>unmodified</status>
      <modifiedWord/>
      <trackRevisions>false</trackRevisions>
    </reviewItem>
    <reviewItem>
      <errorID>4957f605-6d76-4953-a373-9f14b97ebf34</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1FC459A9</paraID>
      <start>0</start>
      <end>3</end>
      <status>unmodified</status>
      <modifiedWord/>
      <trackRevisions>false</trackRevisions>
    </reviewItem>
    <reviewItem>
      <errorID>b5f6f6c4-064d-4fe5-bd46-b756dead6c0d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7FDA54D2</paraID>
      <start>53</start>
      <end>54</end>
      <status>unmodified</status>
      <modifiedWord/>
      <trackRevisions>false</trackRevisions>
    </reviewItem>
    <reviewItem>
      <errorID>8cb5b111-a2bf-4731-b0df-8cc6c35fa05d</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138C7477</paraID>
      <start>0</start>
      <end>3</end>
      <status>unmodified</status>
      <modifiedWord/>
      <trackRevisions>false</trackRevisions>
    </reviewItem>
    <reviewItem>
      <errorID>58d512b8-73a4-466c-bccb-b635fcbb2817</errorID>
      <errorWord>补链延链强链</errorWord>
      <group>L1_Word</group>
      <groupName>字词问题</groupName>
      <ability>L2_Typo</ability>
      <abilityName>字词错误</abilityName>
      <candidateList>
        <item>延链补链强链</item>
      </candidateList>
      <explain/>
      <paraID>10A73AA9</paraID>
      <start>48</start>
      <end>54</end>
      <status>unmodified</status>
      <modifiedWord/>
      <trackRevisions>false</trackRevisions>
    </reviewItem>
    <reviewItem>
      <errorID>c0260672-81b4-4586-b708-eccc3bbb469e</errorID>
      <errorWord>污染治理攻坚战</errorWord>
      <group>L1_Political</group>
      <groupName>政治性问题</groupName>
      <ability>L2_Keyword</ability>
      <abilityName>固定表述</abilityName>
      <candidateList>
        <item>污染防治攻坚战</item>
      </candidateList>
      <explain>词汇“污染防治攻坚战”在特定场景下为固定表述形式，请确认此处的“污染治理攻坚战”是否存在不当。</explain>
      <paraID>48123DAA</paraID>
      <start>12</start>
      <end>19</end>
      <status>unmodified</status>
      <modifiedWord/>
      <trackRevisions>false</trackRevisions>
    </reviewItem>
    <reviewItem>
      <errorID>890bed1f-bb62-41ea-856d-3516b6eb64d9</errorID>
      <errorWord>历史遗留矿山生态修复</errorWord>
      <group>L1_Political</group>
      <groupName>政治性问题</groupName>
      <ability>L2_Keyword</ability>
      <abilityName>固定表述</abilityName>
      <candidateList>
        <item>历史遗留废弃矿山生态修复</item>
      </candidateList>
      <explain>词汇“历史遗留废弃矿山生态修复”在特定场景下为固定表述形式，请确认此处的“历史遗留矿山生态修复”是否存在不当。</explain>
      <paraID>485D9538</paraID>
      <start>43</start>
      <end>53</end>
      <status>unmodified</status>
      <modifiedWord/>
      <trackRevisions>false</trackRevisions>
    </reviewItem>
    <reviewItem>
      <errorID>21038983-5f03-446c-8acf-126b3b96a13c</errorID>
      <errorWord>建立健全的</errorWord>
      <group>L1_Word</group>
      <groupName>字词问题</groupName>
      <ability>L2_Typo</ability>
      <abilityName>字词错误</abilityName>
      <candidateList>
        <item>建立健全</item>
      </candidateList>
      <explain/>
      <paraID>623A0BE1</paraID>
      <start>37</start>
      <end>42</end>
      <status>unmodified</status>
      <modifiedWord/>
      <trackRevisions>false</trackRevisions>
    </reviewItem>
    <reviewItem>
      <errorID>5b043ad3-fba8-4591-b8ed-71959f4ccd63</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4E691A6B</paraID>
      <start>0</start>
      <end>3</end>
      <status>unmodified</status>
      <modifiedWord/>
      <trackRevisions>false</trackRevisions>
    </reviewItem>
    <reviewItem>
      <errorID>e74ab2e9-9cef-4bc2-9ce4-711f6277e40f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4E691A6B</paraID>
      <start>30</start>
      <end>31</end>
      <status>unmodified</status>
      <modifiedWord/>
      <trackRevisions>false</trackRevisions>
    </reviewItem>
    <reviewItem>
      <errorID>e4493fe2-7cb6-4604-868e-02b5b0c105a4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6A2BFAD4</paraID>
      <start>47</start>
      <end>48</end>
      <status>unmodified</status>
      <modifiedWord/>
      <trackRevisions>false</trackRevisions>
    </reviewItem>
    <reviewItem>
      <errorID>01935ccc-d794-4f49-bcb6-4a80ffc307e3</errorID>
      <errorWord>新平县</errorWord>
      <group>L1_Knowledge</group>
      <groupName>知识性问题</groupName>
      <ability>L2_Location</ability>
      <abilityName>地名检查</abilityName>
      <candidateList>
        <item>新平彝族傣族自治县</item>
      </candidateList>
      <explain>自治区州县缩写不规范。《地名管理条例》第十八条规定，标识牌、公共平台发布的信息、各类公文证件、学习类公开出版物、地图、法律法规规定等场景范围内必须使用标准地名。</explain>
      <paraID>19BC8695</paraID>
      <start>12</start>
      <end>15</end>
      <status>unmodified</status>
      <modifiedWord/>
      <trackRevisions>false</trackRevisions>
    </reviewItem>
    <reviewItem>
      <errorID>d673cf22-718e-42ca-9162-5aac0ba983f8</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19BC8695</paraID>
      <start>16</start>
      <end>19</end>
      <status>unmodified</status>
      <modifiedWord/>
      <trackRevisions>false</trackRevisions>
    </reviewItem>
    <reviewItem>
      <errorID>ff74a3e0-3a97-4fbc-8b6d-b46966624f7d</errorID>
      <errorWord>建</errorWord>
      <group>L1_Word</group>
      <groupName>字词问题</groupName>
      <ability>L2_Typo</ability>
      <abilityName>字词错误</abilityName>
      <candidateList>
        <item>建以</item>
      </candidateList>
      <explain/>
      <paraID>156A92AB</paraID>
      <start>35</start>
      <end>36</end>
      <status>unmodified</status>
      <modifiedWord/>
      <trackRevisions>false</trackRevisions>
    </reviewItem>
    <reviewItem>
      <errorID>7035f5a2-8e81-40b1-9efb-5311267f3015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7F37182</paraID>
      <start>39</start>
      <end>40</end>
      <status>unmodified</status>
      <modifiedWord/>
      <trackRevisions>false</trackRevisions>
    </reviewItem>
    <reviewItem>
      <errorID>b83f0944-25a8-4afb-8952-75fa26d7ddc9</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DA6857A</paraID>
      <start>0</start>
      <end>3</end>
      <status>unmodified</status>
      <modifiedWord/>
      <trackRevisions>false</trackRevisions>
    </reviewItem>
    <reviewItem>
      <errorID>63b6623f-a930-4c97-996c-ce1c03432d91</errorID>
      <errorWord>住房城乡建设厅</errorWord>
      <group>L1_Political</group>
      <groupName>政治性问题</groupName>
      <ability>L2_Keyword</ability>
      <abilityName>固定表述</abilityName>
      <candidateList>
        <item>住房和城乡建设厅</item>
      </candidateList>
      <explain>词汇“住房和城乡建设厅”在特定场景下为固定表述形式，请确认此处的“住房城乡建设厅”是否存在不当。</explain>
      <paraID>61303B60</paraID>
      <start>59</start>
      <end>66</end>
      <status>unmodified</status>
      <modifiedWord/>
      <trackRevisions>false</trackRevisions>
    </reviewItem>
    <reviewItem>
      <errorID>8659327c-8ed9-445f-bff9-703af39ca68e</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32C94E93</paraID>
      <start>0</start>
      <end>3</end>
      <status>unmodified</status>
      <modifiedWord/>
      <trackRevisions>false</trackRevisions>
    </reviewItem>
    <reviewItem>
      <errorID>5b920379-e695-4b15-a164-b0039a713737</errorID>
      <errorWord>,</errorWord>
      <group>L1_Format</group>
      <groupName>格式问题</groupName>
      <ability>L2_HalfPunc</ability>
      <abilityName>全半角检查</abilityName>
      <candidateList>
        <item>，</item>
      </candidateList>
      <explain>文本全半角错误。</explain>
      <paraID>7CE618FF</paraID>
      <start>131</start>
      <end>132</end>
      <status>unmodified</status>
      <modifiedWord/>
      <trackRevisions>false</trackRevisions>
    </reviewItem>
    <reviewItem>
      <errorID>b551a88f-9383-4b98-9837-7e265d9119f1</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77E750AA</paraID>
      <start>0</start>
      <end>3</end>
      <status>unmodified</status>
      <modifiedWord/>
      <trackRevisions>false</trackRevisions>
    </reviewItem>
    <reviewItem>
      <errorID>b8684930-7ff6-4e92-9f68-35af561e2295</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56EE58E</paraID>
      <start>0</start>
      <end>3</end>
      <status>unmodified</status>
      <modifiedWord/>
      <trackRevisions>false</trackRevisions>
    </reviewItem>
    <reviewItem>
      <errorID>b70356e4-4e40-4994-8f68-ff2043076901</errorID>
      <errorWord>法律、法规</errorWord>
      <group>L1_Word</group>
      <groupName>字词问题</groupName>
      <ability>L2_Typo</ability>
      <abilityName>字词错误</abilityName>
      <candidateList>
        <item>法律法规</item>
      </candidateList>
      <explain/>
      <paraID>1DD3494E</paraID>
      <start>250</start>
      <end>255</end>
      <status>unmodified</status>
      <modifiedWord/>
      <trackRevisions>false</trackRevisions>
    </reviewItem>
    <reviewItem>
      <errorID>23a3d7d7-7a27-4a22-9c03-ebb65536f572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36892671</paraID>
      <start>15</start>
      <end>18</end>
      <status>unmodified</status>
      <modifiedWord/>
      <trackRevisions>false</trackRevisions>
    </reviewItem>
    <reviewItem>
      <errorID>8330da0e-fd1b-41ed-bf7e-c67a789f8e4d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5F1586B</paraID>
      <start>0</start>
      <end>2</end>
      <status>unmodified</status>
      <modifiedWord/>
      <trackRevisions>false</trackRevisions>
    </reviewItem>
    <reviewItem>
      <errorID>b2ba7f77-44d5-4286-a00b-206227ae87d7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3B782C9E</paraID>
      <start>0</start>
      <end>2</end>
      <status>unmodified</status>
      <modifiedWord/>
      <trackRevisions>false</trackRevisions>
    </reviewItem>
    <reviewItem>
      <errorID>115685bf-bc95-407d-83eb-42cd20bb2be7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6DAB2067</paraID>
      <start>0</start>
      <end>2</end>
      <status>unmodified</status>
      <modifiedWord/>
      <trackRevisions>false</trackRevisions>
    </reviewItem>
    <reviewItem>
      <errorID>2b30e747-95d2-4b90-8f24-214ae737c22c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53470884</paraID>
      <start>0</start>
      <end>2</end>
      <status>unmodified</status>
      <modifiedWord/>
      <trackRevisions>false</trackRevisions>
    </reviewItem>
    <reviewItem>
      <errorID>081a1160-be96-4235-a86d-9b1e0eaac059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50DF9D89</paraID>
      <start>0</start>
      <end>2</end>
      <status>unmodified</status>
      <modifiedWord/>
      <trackRevisions>false</trackRevisions>
    </reviewItem>
    <reviewItem>
      <errorID>20e5cfad-27b1-4c17-82b3-d76b39b4b266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6B6F2496</paraID>
      <start>0</start>
      <end>2</end>
      <status>unmodified</status>
      <modifiedWord/>
      <trackRevisions>false</trackRevisions>
    </reviewItem>
    <reviewItem>
      <errorID>e290e9d1-b18c-460d-bbed-2f33a6ec4898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586B7411</paraID>
      <start>0</start>
      <end>2</end>
      <status>unmodified</status>
      <modifiedWord/>
      <trackRevisions>false</trackRevisions>
    </reviewItem>
    <reviewItem>
      <errorID>59178bab-ff54-4b31-ad5d-6a49bba00e5d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55D0320A</paraID>
      <start>0</start>
      <end>2</end>
      <status>unmodified</status>
      <modifiedWord/>
      <trackRevisions>false</trackRevisions>
    </reviewItem>
    <reviewItem>
      <errorID>801bcfa3-38e6-46d5-bd4f-0636e7d3a479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1979917</paraID>
      <start>0</start>
      <end>2</end>
      <status>unmodified</status>
      <modifiedWord/>
      <trackRevisions>false</trackRevisions>
    </reviewItem>
    <reviewItem>
      <errorID>c85a7f79-1b98-4d25-81b4-1ea15084cb56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7CF63B20</paraID>
      <start>0</start>
      <end>2</end>
      <status>unmodified</status>
      <modifiedWord/>
      <trackRevisions>false</trackRevisions>
    </reviewItem>
    <reviewItem>
      <errorID>720abfdd-c684-43e4-b67c-90ddcf7de94c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4BB1D79B</paraID>
      <start>0</start>
      <end>2</end>
      <status>unmodified</status>
      <modifiedWord/>
      <trackRevisions>false</trackRevisions>
    </reviewItem>
    <reviewItem>
      <errorID>7a8fcc90-5833-4492-9420-4458b3130667</errorID>
      <errorWord>，</errorWord>
      <group>L1_Format</group>
      <groupName>格式问题</groupName>
      <ability>L2_HalfPunc</ability>
      <abilityName>全半角检查</abilityName>
      <candidateList>
        <item>, </item>
      </candidateList>
      <explain>文本全半角错误。</explain>
      <paraID> 6EA3915</paraID>
      <start>7</start>
      <end>8</end>
      <status>unmodified</status>
      <modifiedWord/>
      <trackRevisions>false</trackRevisions>
    </reviewItem>
    <reviewItem>
      <errorID>30fca141-6bfe-4d6f-bea2-7f152dc34c09</errorID>
      <errorWord>，</errorWord>
      <group>L1_Format</group>
      <groupName>格式问题</groupName>
      <ability>L2_HalfPunc</ability>
      <abilityName>全半角检查</abilityName>
      <candidateList>
        <item>, </item>
      </candidateList>
      <explain>文本全半角错误。</explain>
      <paraID>4FFC680D</paraID>
      <start>8</start>
      <end>9</end>
      <status>unmodified</status>
      <modifiedWord/>
      <trackRevisions>false</trackRevisions>
    </reviewItem>
    <reviewItem>
      <errorID>3edb1bc9-9a5e-40cd-ba97-50da28a02fb7</errorID>
      <errorWord>；</errorWord>
      <group>L1_Format</group>
      <groupName>格式问题</groupName>
      <ability>L2_HalfPunc</ability>
      <abilityName>全半角检查</abilityName>
      <candidateList>
        <item>; </item>
      </candidateList>
      <explain>文本全半角错误。</explain>
      <paraID>3A44B013</paraID>
      <start>7</start>
      <end>8</end>
      <status>unmodified</status>
      <modifiedWord/>
      <trackRevisions>false</trackRevisions>
    </reviewItem>
    <reviewItem>
      <errorID>34eacd2d-c545-4243-90d9-2bbb1bc2169c</errorID>
      <errorWord>~</errorWord>
      <group>L1_Format</group>
      <groupName>格式问题</groupName>
      <ability>L2_HalfPunc</ability>
      <abilityName>全半角检查</abilityName>
      <candidateList>
        <item>～</item>
      </candidateList>
      <explain>文本全半角错误。</explain>
      <paraID>26AFA110</paraID>
      <start>11</start>
      <end>12</end>
      <status>unmodified</status>
      <modifiedWord/>
      <trackRevisions>false</trackRevisions>
    </reviewItem>
    <reviewItem>
      <errorID>702e11c4-063b-4b44-96c9-d25ea3931d0a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3579071D</paraID>
      <start>0</start>
      <end>2</end>
      <status>unmodified</status>
      <modifiedWord/>
      <trackRevisions>false</trackRevisions>
    </reviewItem>
    <reviewItem>
      <errorID>a64d3eca-ff45-4a02-a83d-a217fbe4e523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F9600BD</paraID>
      <start>0</start>
      <end>2</end>
      <status>unmodified</status>
      <modifiedWord/>
      <trackRevisions>false</trackRevisions>
    </reviewItem>
    <reviewItem>
      <errorID>acc74dba-0e69-4981-a99a-5d54d6499c01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1D7AECCA</paraID>
      <start>0</start>
      <end>2</end>
      <status>unmodified</status>
      <modifiedWord/>
      <trackRevisions>false</trackRevisions>
    </reviewItem>
    <reviewItem>
      <errorID>55c1e583-8e63-4aa9-b1f9-38dd82ff1de3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654A4731</paraID>
      <start>0</start>
      <end>2</end>
      <status>unmodified</status>
      <modifiedWord/>
      <trackRevisions>false</trackRevisions>
    </reviewItem>
    <reviewItem>
      <errorID>c59ebd6b-ca88-41f4-bdba-6ea992a54759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57B167BD</paraID>
      <start>0</start>
      <end>2</end>
      <status>unmodified</status>
      <modifiedWord/>
      <trackRevisions>false</trackRevisions>
    </reviewItem>
    <reviewItem>
      <errorID>723e5b0e-a165-4f9b-8765-2d4adcd70585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765A6675</paraID>
      <start>0</start>
      <end>2</end>
      <status>unmodified</status>
      <modifiedWord/>
      <trackRevisions>false</trackRevisions>
    </reviewItem>
    <reviewItem>
      <errorID>d824107a-46af-4379-8615-0450731ffd86</errorID>
      <errorWord>~</errorWord>
      <group>L1_Format</group>
      <groupName>格式问题</groupName>
      <ability>L2_HalfPunc</ability>
      <abilityName>全半角检查</abilityName>
      <candidateList>
        <item>～</item>
      </candidateList>
      <explain>文本全半角错误。</explain>
      <paraID>5BBBEA80</paraID>
      <start>58</start>
      <end>59</end>
      <status>unmodified</status>
      <modifiedWord/>
      <trackRevisions>false</trackRevisions>
    </reviewItem>
    <reviewItem>
      <errorID>21d44160-a36f-4eb8-8014-e36ee8fc2fe4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59D56B26</paraID>
      <start>0</start>
      <end>2</end>
      <status>unmodified</status>
      <modifiedWord/>
      <trackRevisions>false</trackRevisions>
    </reviewItem>
    <reviewItem>
      <errorID>b13ee163-f659-4444-b1f9-6714290e14d0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6A5F9D7E</paraID>
      <start>0</start>
      <end>2</end>
      <status>unmodified</status>
      <modifiedWord/>
      <trackRevisions>false</trackRevisions>
    </reviewItem>
    <reviewItem>
      <errorID>5ae4dd53-ff83-4c0f-a0c4-1e77ce4e5114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461E19AF</paraID>
      <start>0</start>
      <end>2</end>
      <status>unmodified</status>
      <modifiedWord/>
      <trackRevisions>false</trackRevisions>
    </reviewItem>
    <reviewItem>
      <errorID>65e3bda0-9417-4051-a57a-c6e8894b50ab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56683C17</paraID>
      <start>0</start>
      <end>2</end>
      <status>unmodified</status>
      <modifiedWord/>
      <trackRevisions>false</trackRevisions>
    </reviewItem>
    <reviewItem>
      <errorID>7a34fa18-1b55-4edb-a041-59604d6adf6d</errorID>
      <errorWord>:</errorWord>
      <group>L1_Format</group>
      <groupName>格式问题</groupName>
      <ability>L2_HalfPunc</ability>
      <abilityName>全半角检查</abilityName>
      <candidateList>
        <item>：</item>
      </candidateList>
      <explain>文本全半角错误。</explain>
      <paraID>2C38D534</paraID>
      <start>15</start>
      <end>16</end>
      <status>unmodified</status>
      <modifiedWord/>
      <trackRevisions>false</trackRevisions>
    </reviewItem>
    <reviewItem>
      <errorID>5ce835a8-f581-458e-bd39-e34b10584c67</errorID>
      <errorWord>-</errorWord>
      <group>L1_Format</group>
      <groupName>格式问题</groupName>
      <ability>L2_HalfPunc</ability>
      <abilityName>全半角检查</abilityName>
      <candidateList>
        <item>－</item>
      </candidateList>
      <explain>文本全半角错误。</explain>
      <paraID>3A33D116</paraID>
      <start>188</start>
      <end>189</end>
      <status>unmodified</status>
      <modifiedWord/>
      <trackRevisions>false</trackRevisions>
    </reviewItem>
    <reviewItem>
      <errorID>137a203b-ad21-4537-a91f-a9ff7f2f5988</errorID>
      <errorWord>30~75%</errorWord>
      <group>L1_Knowledge</group>
      <groupName>知识性问题</groupName>
      <ability>L2_Knowledge</ability>
      <abilityName>其他知识</abilityName>
      <candidateList>
        <item>30%～75%</item>
      </candidateList>
      <explain>1. “30~75%”中的单位“%”仅出现在后一个数字上，容易引起歧义；根据《现代汉语标点符号数字用法规范手册》，数字表示范围两边需要使用统一的格式。2. 根据标点国标 4.13 中的规则，数字、时间或地域连接符应使用（视觉上更长的）“—”或“～”。</explain>
      <paraID>6823EFF9</paraID>
      <start>12</start>
      <end>18</end>
      <status>unmodified</status>
      <modifiedWord/>
      <trackRevisions>false</trackRevisions>
    </reviewItem>
    <reviewItem>
      <errorID>8bbd6bf0-eab3-4aec-aa4c-9c0a5f7e4d32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3DE26251</paraID>
      <start>0</start>
      <end>2</end>
      <status>unmodified</status>
      <modifiedWord/>
      <trackRevisions>false</trackRevisions>
    </reviewItem>
    <reviewItem>
      <errorID>531116b3-a990-42af-ab08-64e68963113c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5935B3B1</paraID>
      <start>0</start>
      <end>2</end>
      <status>unmodified</status>
      <modifiedWord/>
      <trackRevisions>false</trackRevisions>
    </reviewItem>
    <reviewItem>
      <errorID>942d1a9d-6cf4-4492-8c9e-b8d205d1ab95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4A9512EA</paraID>
      <start>0</start>
      <end>2</end>
      <status>unmodified</status>
      <modifiedWord/>
      <trackRevisions>false</trackRevisions>
    </reviewItem>
    <reviewItem>
      <errorID>f2a1bffa-17bb-4da0-b076-10efbf18491a</errorID>
      <errorWord>对于</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4A9512EA</paraID>
      <start>33</start>
      <end>35</end>
      <status>unmodified</status>
      <modifiedWord/>
      <trackRevisions>false</trackRevisions>
    </reviewItem>
    <reviewItem>
      <errorID>6a30cd58-374a-4a11-b349-c28e50508d59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13405B1A</paraID>
      <start>0</start>
      <end>2</end>
      <status>unmodified</status>
      <modifiedWord/>
      <trackRevisions>false</trackRevisions>
    </reviewItem>
    <reviewItem>
      <errorID>53a3aaa3-3c0c-4c36-9b51-fe2f0b2cc3b1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150F8D9</paraID>
      <start>0</start>
      <end>2</end>
      <status>unmodified</status>
      <modifiedWord/>
      <trackRevisions>false</trackRevisions>
    </reviewItem>
    <reviewItem>
      <errorID>d8e04a3c-bdd6-4103-821d-58a51d459996</errorID>
      <errorWord>2018年06月08日</errorWord>
      <group>L1_Knowledge</group>
      <groupName>知识性问题</groupName>
      <ability>L2_Time</ability>
      <abilityName>日期时间</abilityName>
      <candidateList>
        <item>2018年6月8日</item>
      </candidateList>
      <explain>根据日常书写习惯，月份和日期一般会省略前导零。</explain>
      <paraID>7FFC6BF9</paraID>
      <start>0</start>
      <end>11</end>
      <status>unmodified</status>
      <modifiedWord/>
      <trackRevisions>false</trackRevisions>
    </reviewItem>
    <reviewItem>
      <errorID>0c8acb33-8ed5-4204-989f-e443623c2e01</errorID>
      <errorWord>2019年04月06日</errorWord>
      <group>L1_Knowledge</group>
      <groupName>知识性问题</groupName>
      <ability>L2_Time</ability>
      <abilityName>日期时间</abilityName>
      <candidateList>
        <item>2019年4月6日</item>
      </candidateList>
      <explain>根据日常书写习惯，月份和日期一般会省略前导零。</explain>
      <paraID>75ED1BD3</paraID>
      <start>0</start>
      <end>11</end>
      <status>unmodified</status>
      <modifiedWord/>
      <trackRevisions>false</trackRevisions>
    </reviewItem>
    <reviewItem>
      <errorID>30183d85-2521-4b07-82c9-ac79910a521d</errorID>
      <errorWord>2020年08月25日</errorWord>
      <group>L1_Knowledge</group>
      <groupName>知识性问题</groupName>
      <ability>L2_Time</ability>
      <abilityName>日期时间</abilityName>
      <candidateList>
        <item>2020年8月25日</item>
      </candidateList>
      <explain>根据日常书写习惯，月份一般会省略前导零。</explain>
      <paraID>359C41E8</paraID>
      <start>0</start>
      <end>11</end>
      <status>unmodified</status>
      <modifiedWord/>
      <trackRevisions>false</trackRevisions>
    </reviewItem>
    <reviewItem>
      <errorID>811b1359-bd3a-4635-9870-e4dba6e5284a</errorID>
      <errorWord>2020年08月25日</errorWord>
      <group>L1_Knowledge</group>
      <groupName>知识性问题</groupName>
      <ability>L2_Time</ability>
      <abilityName>日期时间</abilityName>
      <candidateList>
        <item>2020年8月25日</item>
      </candidateList>
      <explain>根据日常书写习惯，月份一般会省略前导零。</explain>
      <paraID>2F6881AB</paraID>
      <start>0</start>
      <end>11</end>
      <status>unmodified</status>
      <modifiedWord/>
      <trackRevisions>false</trackRevisions>
    </reviewItem>
    <reviewItem>
      <errorID>584ab8de-4539-4ea1-9c28-1b60c1a35a63</errorID>
      <errorWord>2021年06月23日</errorWord>
      <group>L1_Knowledge</group>
      <groupName>知识性问题</groupName>
      <ability>L2_Time</ability>
      <abilityName>日期时间</abilityName>
      <candidateList>
        <item>2021年6月23日</item>
      </candidateList>
      <explain>根据日常书写习惯，月份一般会省略前导零。</explain>
      <paraID>440FE0F9</paraID>
      <start>0</start>
      <end>11</end>
      <status>unmodified</status>
      <modifiedWord/>
      <trackRevisions>false</trackRevisions>
    </reviewItem>
    <reviewItem>
      <errorID>7025dde0-33d8-42ac-b3a0-687b2234a07a</errorID>
      <errorWord>2021年06月09日</errorWord>
      <group>L1_Knowledge</group>
      <groupName>知识性问题</groupName>
      <ability>L2_Time</ability>
      <abilityName>日期时间</abilityName>
      <candidateList>
        <item>2021年6月9日</item>
      </candidateList>
      <explain>根据日常书写习惯，月份和日期一般会省略前导零。</explain>
      <paraID>363CA484</paraID>
      <start>0</start>
      <end>11</end>
      <status>unmodified</status>
      <modifiedWord/>
      <trackRevisions>false</trackRevisions>
    </reviewItem>
    <reviewItem>
      <errorID>c7595c50-57a5-400c-a38d-76f75016f6cc</errorID>
      <errorWord>2023年02月28日</errorWord>
      <group>L1_Knowledge</group>
      <groupName>知识性问题</groupName>
      <ability>L2_Time</ability>
      <abilityName>日期时间</abilityName>
      <candidateList>
        <item>2023年2月28日</item>
      </candidateList>
      <explain>根据日常书写习惯，月份一般会省略前导零。</explain>
      <paraID>729CE86F</paraID>
      <start>0</start>
      <end>11</end>
      <status>unmodified</status>
      <modifiedWord/>
      <trackRevisions>false</trackRevisions>
    </reviewItem>
    <reviewItem>
      <errorID>af8feac3-cc72-400b-97a8-d35a7ea9ad66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CA9839C</paraID>
      <start>0</start>
      <end>2</end>
      <status>unmodified</status>
      <modifiedWord/>
      <trackRevisions>false</trackRevisions>
    </reviewItem>
    <reviewItem>
      <errorID>3da15881-f88a-4d83-9ac3-01923cc1790c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3B90285</paraID>
      <start>0</start>
      <end>2</end>
      <status>unmodified</status>
      <modifiedWord/>
      <trackRevisions>false</trackRevisions>
    </reviewItem>
    <reviewItem>
      <errorID>4426d3fd-f7b1-4d0e-b196-d094e004b769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22DA1A6A</paraID>
      <start>0</start>
      <end>2</end>
      <status>unmodified</status>
      <modifiedWord/>
      <trackRevisions>false</trackRevisions>
    </reviewItem>
    <reviewItem>
      <errorID>6a1f35fd-520f-4db5-bff9-29bf6ba5c4d1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4F2AF2B7</paraID>
      <start>0</start>
      <end>2</end>
      <status>unmodified</status>
      <modifiedWord/>
      <trackRevisions>false</trackRevisions>
    </reviewItem>
    <reviewItem>
      <errorID>ae9d25b5-eb34-4d35-9dee-2b4138e7ffd5</errorID>
      <errorWord>)</errorWord>
      <group>L1_Format</group>
      <groupName>格式问题</groupName>
      <ability>L2_HalfPunc</ability>
      <abilityName>全半角检查</abilityName>
      <candidateList>
        <item>）</item>
      </candidateList>
      <explain>文本全半角错误。</explain>
      <paraID>4180E8A8</paraID>
      <start>60</start>
      <end>61</end>
      <status>unmodified</status>
      <modifiedWord/>
      <trackRevisions>false</trackRevisions>
    </reviewItem>
    <reviewItem>
      <errorID>5a874f5b-240c-489d-92c9-034062500938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4C6CDF3F</paraID>
      <start>0</start>
      <end>2</end>
      <status>unmodified</status>
      <modifiedWord/>
      <trackRevisions>false</trackRevisions>
    </reviewItem>
    <reviewItem>
      <errorID>8bb4daef-a9ed-4c61-9827-8cc63c742060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3EC2B3BF</paraID>
      <start>0</start>
      <end>2</end>
      <status>unmodified</status>
      <modifiedWord/>
      <trackRevisions>false</trackRevisions>
    </reviewItem>
    <reviewItem>
      <errorID>de1251ec-2343-43f0-aecc-61564972c267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2151F44A</paraID>
      <start>0</start>
      <end>2</end>
      <status>unmodified</status>
      <modifiedWord/>
      <trackRevisions>false</trackRevisions>
    </reviewItem>
    <reviewItem>
      <errorID>acbe29d4-c8da-4b9e-bb0e-9e8688e031a2</errorID>
      <errorWord>峨山县</errorWord>
      <group>L1_Knowledge</group>
      <groupName>知识性问题</groupName>
      <ability>L2_Location</ability>
      <abilityName>地名检查</abilityName>
      <candidateList>
        <item>峨山彝族自治县</item>
      </candidateList>
      <explain>自治区州县缩写不规范。《地名管理条例》第十八条规定，标识牌、公共平台发布的信息、各类公文证件、学习类公开出版物、地图、法律法规规定等场景范围内必须使用标准地名。</explain>
      <paraID>21FC5817</paraID>
      <start>183</start>
      <end>186</end>
      <status>unmodified</status>
      <modifiedWord/>
      <trackRevisions>false</trackRevisions>
    </reviewItem>
    <reviewItem>
      <errorID>d4a612f2-7043-422e-bbd0-eb79efc05dc6</errorID>
      <errorWord>新平县</errorWord>
      <group>L1_Knowledge</group>
      <groupName>知识性问题</groupName>
      <ability>L2_Location</ability>
      <abilityName>地名检查</abilityName>
      <candidateList>
        <item>新平彝族傣族自治县</item>
      </candidateList>
      <explain>自治区州县缩写不规范。《地名管理条例》第十八条规定，标识牌、公共平台发布的信息、各类公文证件、学习类公开出版物、地图、法律法规规定等场景范围内必须使用标准地名。</explain>
      <paraID>21FC5817</paraID>
      <start>187</start>
      <end>190</end>
      <status>unmodified</status>
      <modifiedWord/>
      <trackRevisions>false</trackRevisions>
    </reviewItem>
    <reviewItem>
      <errorID>d9d722e4-354e-46fe-bcc2-c48b3cc808e5</errorID>
      <errorWord>元江县</errorWord>
      <group>L1_Knowledge</group>
      <groupName>知识性问题</groupName>
      <ability>L2_Location</ability>
      <abilityName>地名检查</abilityName>
      <candidateList>
        <item>元江哈尼族彝族傣族自治县</item>
      </candidateList>
      <explain>自治区州县缩写不规范。《地名管理条例》第十八条规定，标识牌、公共平台发布的信息、各类公文证件、学习类公开出版物、地图、法律法规规定等场景范围内必须使用标准地名。</explain>
      <paraID>21FC5817</paraID>
      <start>191</start>
      <end>194</end>
      <status>unmodified</status>
      <modifiedWord/>
      <trackRevisions>false</trackRevisions>
    </reviewItem>
    <reviewItem>
      <errorID>6dc6cecc-b5aa-452f-ae1b-12127d3e83f5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409D540F</paraID>
      <start>0</start>
      <end>2</end>
      <status>unmodified</status>
      <modifiedWord/>
      <trackRevisions>false</trackRevisions>
    </reviewItem>
    <reviewItem>
      <errorID>19fbdb4a-1fec-4992-8de7-7caeebe0d13e</errorID>
      <errorWord>前</errorWord>
      <group>L1_Word</group>
      <groupName>字词问题</groupName>
      <ability>L2_Typo</ability>
      <abilityName>字词错误</abilityName>
      <candidateList>
        <item>前尚</item>
      </candidateList>
      <explain/>
      <paraID>3B479EAD</paraID>
      <start>225</start>
      <end>226</end>
      <status>unmodified</status>
      <modifiedWord/>
      <trackRevisions>false</trackRevisions>
    </reviewItem>
    <reviewItem>
      <errorID>60955ed5-d92b-4bf5-ba9f-dd046fa9d1fc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1C77304A</paraID>
      <start>0</start>
      <end>2</end>
      <status>unmodified</status>
      <modifiedWord/>
      <trackRevisions>false</trackRevisions>
    </reviewItem>
    <reviewItem>
      <errorID>57c7b566-ef3d-4e04-86c8-0f0702301151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2DC2C0C9</paraID>
      <start>0</start>
      <end>2</end>
      <status>unmodified</status>
      <modifiedWord/>
      <trackRevisions>false</trackRevisions>
    </reviewItem>
    <reviewItem>
      <errorID>383ef499-3e3c-422a-9fe5-142e855aa7e9</errorID>
      <errorWord>（</errorWord>
      <group>L1_Punc</group>
      <groupName>标点问题</groupName>
      <ability>L2_Punc</ability>
      <abilityName>标点符号检查</abilityName>
      <candidateList/>
      <explain>同一形式括号套用。</explain>
      <paraID>4066A26C</paraID>
      <start>71</start>
      <end>72</end>
      <status>unmodified</status>
      <modifiedWord/>
      <trackRevisions>false</trackRevisions>
    </reviewItem>
    <reviewItem>
      <errorID>7e921b16-8036-4f85-9901-4e82592f3c85</errorID>
      <errorWord>）</errorWord>
      <group>L1_Punc</group>
      <groupName>标点问题</groupName>
      <ability>L2_Punc</ability>
      <abilityName>标点符号检查</abilityName>
      <candidateList/>
      <explain>同一形式括号套用。</explain>
      <paraID>4066A26C</paraID>
      <start>73</start>
      <end>74</end>
      <status>unmodified</status>
      <modifiedWord/>
      <trackRevisions>false</trackRevisions>
    </reviewItem>
    <reviewItem>
      <errorID>6ee4f363-2aad-4ddc-a995-1b49f7e464a9</errorID>
      <errorWord>（</errorWord>
      <group>L1_Punc</group>
      <groupName>标点问题</groupName>
      <ability>L2_Punc</ability>
      <abilityName>标点符号检查</abilityName>
      <candidateList/>
      <explain>同一形式括号套用。</explain>
      <paraID>4066A26C</paraID>
      <start>82</start>
      <end>83</end>
      <status>unmodified</status>
      <modifiedWord/>
      <trackRevisions>false</trackRevisions>
    </reviewItem>
    <reviewItem>
      <errorID>2ee2b2f0-bd2a-45bb-9a75-531c98f4399e</errorID>
      <errorWord>）</errorWord>
      <group>L1_Punc</group>
      <groupName>标点问题</groupName>
      <ability>L2_Punc</ability>
      <abilityName>标点符号检查</abilityName>
      <candidateList/>
      <explain>同一形式括号套用。</explain>
      <paraID>4066A26C</paraID>
      <start>84</start>
      <end>85</end>
      <status>unmodified</status>
      <modifiedWord/>
      <trackRevisions>false</trackRevisions>
    </reviewItem>
    <reviewItem>
      <errorID>76354110-3a95-4a8a-a02b-fb47d4f5489c</errorID>
      <errorWord>（</errorWord>
      <group>L1_Punc</group>
      <groupName>标点问题</groupName>
      <ability>L2_Punc</ability>
      <abilityName>标点符号检查</abilityName>
      <candidateList/>
      <explain>同一形式括号套用。</explain>
      <paraID>1D932129</paraID>
      <start>7</start>
      <end>8</end>
      <status>unmodified</status>
      <modifiedWord/>
      <trackRevisions>false</trackRevisions>
    </reviewItem>
    <reviewItem>
      <errorID>1e7b2e42-9719-4eaf-8f49-6efee9ef899e</errorID>
      <errorWord>）</errorWord>
      <group>L1_Punc</group>
      <groupName>标点问题</groupName>
      <ability>L2_Punc</ability>
      <abilityName>标点符号检查</abilityName>
      <candidateList/>
      <explain>同一形式括号套用。</explain>
      <paraID>1D932129</paraID>
      <start>9</start>
      <end>10</end>
      <status>unmodified</status>
      <modifiedWord/>
      <trackRevisions>false</trackRevisions>
    </reviewItem>
    <reviewItem>
      <errorID>807c33f6-a9cc-497f-8809-bce517c9d328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6FC5F9D4</paraID>
      <start>0</start>
      <end>2</end>
      <status>unmodified</status>
      <modifiedWord/>
      <trackRevisions>false</trackRevisions>
    </reviewItem>
    <reviewItem>
      <errorID>9609d1e4-ad0a-4f1c-b528-4a79f5e3fc92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2559FB9F</paraID>
      <start>0</start>
      <end>2</end>
      <status>unmodified</status>
      <modifiedWord/>
      <trackRevisions>false</trackRevisions>
    </reviewItem>
    <reviewItem>
      <errorID>8032ed7e-9835-49b8-b50d-5b8b2ddf65b0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154CB0E4</paraID>
      <start>0</start>
      <end>2</end>
      <status>unmodified</status>
      <modifiedWord/>
      <trackRevisions>false</trackRevisions>
    </reviewItem>
    <reviewItem>
      <errorID>a4dbdb92-08ba-4418-b5cc-d1008952fc16</errorID>
      <errorWord>期</errorWord>
      <group>L1_Word</group>
      <groupName>字词问题</groupName>
      <ability>L2_Typo</ability>
      <abilityName>字词错误</abilityName>
      <candidateList>
        <item>期间</item>
      </candidateList>
      <explain>〈名〉某个时期里面：农忙～｜春节～｜抗战～。</explain>
      <paraID> A3E2FA9</paraID>
      <start>4</start>
      <end>5</end>
      <status>unmodified</status>
      <modifiedWord/>
      <trackRevisions>false</trackRevisions>
    </reviewItem>
    <reviewItem>
      <errorID>ab119315-c2e2-4c22-9977-5602e0b5cfb3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7D6A8B5F</paraID>
      <start>0</start>
      <end>2</end>
      <status>unmodified</status>
      <modifiedWord/>
      <trackRevisions>false</trackRevisions>
    </reviewItem>
    <reviewItem>
      <errorID>75caa266-9db8-4480-83c6-116c06110e3a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421476D</paraID>
      <start>0</start>
      <end>2</end>
      <status>unmodified</status>
      <modifiedWord/>
      <trackRevisions>false</trackRevisions>
    </reviewItem>
    <reviewItem>
      <errorID>058cb95b-bb05-4357-aeda-857400962119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30BDA8B2</paraID>
      <start>0</start>
      <end>2</end>
      <status>unmodified</status>
      <modifiedWord/>
      <trackRevisions>false</trackRevisions>
    </reviewItem>
    <reviewItem>
      <errorID>903fbe54-7ba1-4961-ab2c-69ee35988485</errorID>
      <errorWord>（</errorWord>
      <group>L1_Format</group>
      <groupName>格式问题</groupName>
      <ability>L2_HalfPunc</ability>
      <abilityName>全半角检查</abilityName>
      <candidateList>
        <item>(</item>
      </candidateList>
      <explain>文本全半角错误。</explain>
      <paraID>5141024C</paraID>
      <start>4</start>
      <end>5</end>
      <status>unmodified</status>
      <modifiedWord/>
      <trackRevisions>false</trackRevisions>
    </reviewItem>
    <reviewItem>
      <errorID>1a4eace1-a3fc-4a60-9313-4be59871e443</errorID>
      <errorWord>）</errorWord>
      <group>L1_Format</group>
      <groupName>格式问题</groupName>
      <ability>L2_HalfPunc</ability>
      <abilityName>全半角检查</abilityName>
      <candidateList>
        <item>)</item>
      </candidateList>
      <explain>文本全半角错误。</explain>
      <paraID>5141024C</paraID>
      <start>9</start>
      <end>10</end>
      <status>unmodified</status>
      <modifiedWord/>
      <trackRevisions>false</trackRevisions>
    </reviewItem>
    <reviewItem>
      <errorID>d73342ed-8a7c-4a2c-bc4e-ce911ba9e161</errorID>
      <errorWord>（</errorWord>
      <group>L1_Format</group>
      <groupName>格式问题</groupName>
      <ability>L2_HalfPunc</ability>
      <abilityName>全半角检查</abilityName>
      <candidateList>
        <item>(</item>
      </candidateList>
      <explain>文本全半角错误。</explain>
      <paraID> 2144157</paraID>
      <start>4</start>
      <end>5</end>
      <status>unmodified</status>
      <modifiedWord/>
      <trackRevisions>false</trackRevisions>
    </reviewItem>
    <reviewItem>
      <errorID>2309d7e1-90fa-4d6b-af54-bdde0bc84d73</errorID>
      <errorWord>）</errorWord>
      <group>L1_Format</group>
      <groupName>格式问题</groupName>
      <ability>L2_HalfPunc</ability>
      <abilityName>全半角检查</abilityName>
      <candidateList>
        <item>)</item>
      </candidateList>
      <explain>文本全半角错误。</explain>
      <paraID> 2144157</paraID>
      <start>9</start>
      <end>10</end>
      <status>unmodified</status>
      <modifiedWord/>
      <trackRevisions>false</trackRevisions>
    </reviewItem>
    <reviewItem>
      <errorID>f6a842f1-f75b-4f35-996c-06290b0e0f7a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6990705F</paraID>
      <start>0</start>
      <end>2</end>
      <status>unmodified</status>
      <modifiedWord/>
      <trackRevisions>false</trackRevisions>
    </reviewItem>
    <reviewItem>
      <errorID>0b00b32c-fdac-4f5e-b8d9-f56d5c9a3112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266755CC</paraID>
      <start>0</start>
      <end>2</end>
      <status>unmodified</status>
      <modifiedWord/>
      <trackRevisions>false</trackRevisions>
    </reviewItem>
    <reviewItem>
      <errorID>a0dde14a-696e-4681-8e82-4a8e4883e442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3F654AF4</paraID>
      <start>0</start>
      <end>2</end>
      <status>unmodified</status>
      <modifiedWord/>
      <trackRevisions>false</trackRevisions>
    </reviewItem>
    <reviewItem>
      <errorID>ae202104-b329-4fbc-9b43-a42c45826b06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26F0A525</paraID>
      <start>0</start>
      <end>2</end>
      <status>unmodified</status>
      <modifiedWord/>
      <trackRevisions>false</trackRevisions>
    </reviewItem>
    <reviewItem>
      <errorID>5ba21294-c862-40f1-b4fc-9a65a63da963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632610BA</paraID>
      <start>0</start>
      <end>2</end>
      <status>unmodified</status>
      <modifiedWord/>
      <trackRevisions>false</trackRevisions>
    </reviewItem>
    <reviewItem>
      <errorID>e4b7c1d5-b56d-46a7-860d-5124789fa89a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28F0BF5C</paraID>
      <start>0</start>
      <end>2</end>
      <status>unmodified</status>
      <modifiedWord/>
      <trackRevisions>false</trackRevisions>
    </reviewItem>
    <reviewItem>
      <errorID>7951ef13-3631-4776-b79f-b9752092ff4f</errorID>
      <errorWord>期</errorWord>
      <group>L1_Word</group>
      <groupName>字词问题</groupName>
      <ability>L2_Typo</ability>
      <abilityName>字词错误</abilityName>
      <candidateList>
        <item>期间</item>
      </candidateList>
      <explain>〈名〉某个时期里面：农忙～｜春节～｜抗战～。</explain>
      <paraID>25DF2B38</paraID>
      <start>32</start>
      <end>33</end>
      <status>unmodified</status>
      <modifiedWord/>
      <trackRevisions>false</trackRevisions>
    </reviewItem>
    <reviewItem>
      <errorID>71f36d12-7522-4091-bf79-2930e1354976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450B5082</paraID>
      <start>0</start>
      <end>2</end>
      <status>unmodified</status>
      <modifiedWord/>
      <trackRevisions>false</trackRevisions>
    </reviewItem>
    <reviewItem>
      <errorID>aea6cd00-a79c-427f-94e3-77d997ae9c66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328F4048</paraID>
      <start>0</start>
      <end>2</end>
      <status>unmodified</status>
      <modifiedWord/>
      <trackRevisions>false</trackRevisions>
    </reviewItem>
    <reviewItem>
      <errorID>6ecbdceb-26bd-4117-b445-27e40bb921b0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6484E75F</paraID>
      <start>0</start>
      <end>2</end>
      <status>unmodified</status>
      <modifiedWord/>
      <trackRevisions>false</trackRevisions>
    </reviewItem>
    <reviewItem>
      <errorID>69122b15-b0fc-47b7-a750-2f7b25dab8da</errorID>
      <errorWord>&lt;</errorWord>
      <group>L1_Format</group>
      <groupName>格式问题</groupName>
      <ability>L2_HalfPunc</ability>
      <abilityName>全半角检查</abilityName>
      <candidateList>
        <item>〈</item>
      </candidateList>
      <explain>文本全半角错误。</explain>
      <paraID>7C9FA135</paraID>
      <start>24</start>
      <end>25</end>
      <status>unmodified</status>
      <modifiedWord/>
      <trackRevisions>false</trackRevisions>
    </reviewItem>
    <reviewItem>
      <errorID>15513f07-a352-497b-9c4d-476cbead7503</errorID>
      <errorWord>&lt;</errorWord>
      <group>L1_Format</group>
      <groupName>格式问题</groupName>
      <ability>L2_HalfPunc</ability>
      <abilityName>全半角检查</abilityName>
      <candidateList>
        <item>〈</item>
      </candidateList>
      <explain>文本全半角错误。</explain>
      <paraID>4625674A</paraID>
      <start>24</start>
      <end>25</end>
      <status>unmodified</status>
      <modifiedWord/>
      <trackRevisions>false</trackRevisions>
    </reviewItem>
    <reviewItem>
      <errorID>cdaa8b49-cb28-4fbb-97ca-6266542cc385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388D8D14</paraID>
      <start>0</start>
      <end>2</end>
      <status>unmodified</status>
      <modifiedWord/>
      <trackRevisions>false</trackRevisions>
    </reviewItem>
    <reviewItem>
      <errorID>7ee3dfb7-3ff4-4fdb-b218-732e954c8f18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6625D87C</paraID>
      <start>0</start>
      <end>2</end>
      <status>unmodified</status>
      <modifiedWord/>
      <trackRevisions>false</trackRevisions>
    </reviewItem>
    <reviewItem>
      <errorID>b20b45d7-dc51-49a5-86c4-c1d817d5c323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34FFE991</paraID>
      <start>0</start>
      <end>2</end>
      <status>unmodified</status>
      <modifiedWord/>
      <trackRevisions>false</trackRevisions>
    </reviewItem>
    <reviewItem>
      <errorID>8958c30a-d5db-4cf5-ac9a-259780688054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2AEE3CB9</paraID>
      <start>0</start>
      <end>2</end>
      <status>unmodified</status>
      <modifiedWord/>
      <trackRevisions>false</trackRevisions>
    </reviewItem>
    <reviewItem>
      <errorID>62d1da9f-5786-4f17-9eb7-3b73b384d837</errorID>
      <errorWord>（</errorWord>
      <group>L1_Punc</group>
      <groupName>标点问题</groupName>
      <ability>L2_Punc</ability>
      <abilityName>标点符号检查</abilityName>
      <candidateList/>
      <explain>同一形式括号套用。</explain>
      <paraID>26627B5A</paraID>
      <start>12</start>
      <end>13</end>
      <status>unmodified</status>
      <modifiedWord/>
      <trackRevisions>false</trackRevisions>
    </reviewItem>
    <reviewItem>
      <errorID>9bf94dee-ee14-4732-bf9d-e5ac254e240c</errorID>
      <errorWord>(</errorWord>
      <group>L1_Punc</group>
      <groupName>标点问题</groupName>
      <ability>L2_Punc</ability>
      <abilityName>标点符号检查</abilityName>
      <candidateList/>
      <explain>同一形式括号套用。</explain>
      <paraID>26627B5A</paraID>
      <start>15</start>
      <end>16</end>
      <status>unmodified</status>
      <modifiedWord/>
      <trackRevisions>false</trackRevisions>
    </reviewItem>
    <reviewItem>
      <errorID>992473ff-a234-4696-96e4-75bf6675e717</errorID>
      <errorWord>)</errorWord>
      <group>L1_Punc</group>
      <groupName>标点问题</groupName>
      <ability>L2_Punc</ability>
      <abilityName>标点符号检查</abilityName>
      <candidateList/>
      <explain>同一形式括号套用。</explain>
      <paraID>26627B5A</paraID>
      <start>17</start>
      <end>18</end>
      <status>unmodified</status>
      <modifiedWord/>
      <trackRevisions>false</trackRevisions>
    </reviewItem>
    <reviewItem>
      <errorID>29faaf56-ed37-42a7-b3bb-bae3ac082861</errorID>
      <errorWord>）</errorWord>
      <group>L1_Punc</group>
      <groupName>标点问题</groupName>
      <ability>L2_Punc</ability>
      <abilityName>标点符号检查</abilityName>
      <candidateList/>
      <explain>同一形式括号套用。</explain>
      <paraID>26627B5A</paraID>
      <start>20</start>
      <end>21</end>
      <status>unmodified</status>
      <modifiedWord/>
      <trackRevisions>false</trackRevisions>
    </reviewItem>
    <reviewItem>
      <errorID>169e51ed-6e75-4efa-bcdb-77801845b4f1</errorID>
      <errorWord>（</errorWord>
      <group>L1_Punc</group>
      <groupName>标点问题</groupName>
      <ability>L2_Punc</ability>
      <abilityName>标点符号检查</abilityName>
      <candidateList/>
      <explain>同一形式括号套用。</explain>
      <paraID>38B2983C</paraID>
      <start>7</start>
      <end>8</end>
      <status>unmodified</status>
      <modifiedWord/>
      <trackRevisions>false</trackRevisions>
    </reviewItem>
    <reviewItem>
      <errorID>0e8e1913-107a-42ab-a945-a33365bc4875</errorID>
      <errorWord>）</errorWord>
      <group>L1_Punc</group>
      <groupName>标点问题</groupName>
      <ability>L2_Punc</ability>
      <abilityName>标点符号检查</abilityName>
      <candidateList/>
      <explain>同一形式括号套用。</explain>
      <paraID>38B2983C</paraID>
      <start>9</start>
      <end>10</end>
      <status>unmodified</status>
      <modifiedWord/>
      <trackRevisions>false</trackRevisions>
    </reviewItem>
    <reviewItem>
      <errorID>1b1d917a-6861-47a2-8e0a-c86b82de56da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2B22A089</paraID>
      <start>0</start>
      <end>2</end>
      <status>unmodified</status>
      <modifiedWord/>
      <trackRevisions>false</trackRevisions>
    </reviewItem>
    <reviewItem>
      <errorID>8cb32323-9595-47d7-9858-5a563dec831b</errorID>
      <errorWord>（</errorWord>
      <group>L1_Format</group>
      <groupName>格式问题</groupName>
      <ability>L2_HalfPunc</ability>
      <abilityName>全半角检查</abilityName>
      <candidateList>
        <item>(</item>
      </candidateList>
      <explain>文本全半角错误。</explain>
      <paraID>6DFB023A</paraID>
      <start>2</start>
      <end>3</end>
      <status>unmodified</status>
      <modifiedWord/>
      <trackRevisions>false</trackRevisions>
    </reviewItem>
    <reviewItem>
      <errorID>25cdcc39-0538-4cfc-ace3-1a6c2fe2d6a6</errorID>
      <errorWord>）</errorWord>
      <group>L1_Format</group>
      <groupName>格式问题</groupName>
      <ability>L2_HalfPunc</ability>
      <abilityName>全半角检查</abilityName>
      <candidateList>
        <item>)</item>
      </candidateList>
      <explain>文本全半角错误。</explain>
      <paraID>6DFB023A</paraID>
      <start>4</start>
      <end>5</end>
      <status>unmodified</status>
      <modifiedWord/>
      <trackRevisions>false</trackRevisions>
    </reviewItem>
    <reviewItem>
      <errorID>c4913da4-88c4-488e-90b3-7294c07a2517</errorID>
      <errorWord>（</errorWord>
      <group>L1_Format</group>
      <groupName>格式问题</groupName>
      <ability>L2_HalfPunc</ability>
      <abilityName>全半角检查</abilityName>
      <candidateList>
        <item>(</item>
      </candidateList>
      <explain>文本全半角错误。</explain>
      <paraID>6D48ACCD</paraID>
      <start>2</start>
      <end>3</end>
      <status>unmodified</status>
      <modifiedWord/>
      <trackRevisions>false</trackRevisions>
    </reviewItem>
    <reviewItem>
      <errorID>c1f0743e-d37f-4efd-b55e-1f08aed244e1</errorID>
      <errorWord>）</errorWord>
      <group>L1_Format</group>
      <groupName>格式问题</groupName>
      <ability>L2_HalfPunc</ability>
      <abilityName>全半角检查</abilityName>
      <candidateList>
        <item>)</item>
      </candidateList>
      <explain>文本全半角错误。</explain>
      <paraID>6D48ACCD</paraID>
      <start>4</start>
      <end>5</end>
      <status>unmodified</status>
      <modifiedWord/>
      <trackRevisions>false</trackRevisions>
    </reviewItem>
    <reviewItem>
      <errorID>8d5fc27c-57dd-47f8-8e05-1c1465e13cd2</errorID>
      <errorWord>（</errorWord>
      <group>L1_Format</group>
      <groupName>格式问题</groupName>
      <ability>L2_HalfPunc</ability>
      <abilityName>全半角检查</abilityName>
      <candidateList>
        <item>(</item>
      </candidateList>
      <explain>文本全半角错误。</explain>
      <paraID>28DD2091</paraID>
      <start>2</start>
      <end>3</end>
      <status>unmodified</status>
      <modifiedWord/>
      <trackRevisions>false</trackRevisions>
    </reviewItem>
    <reviewItem>
      <errorID>181926cd-e0ce-4956-bed1-a3c809c645ae</errorID>
      <errorWord>）</errorWord>
      <group>L1_Format</group>
      <groupName>格式问题</groupName>
      <ability>L2_HalfPunc</ability>
      <abilityName>全半角检查</abilityName>
      <candidateList>
        <item>)</item>
      </candidateList>
      <explain>文本全半角错误。</explain>
      <paraID>28DD2091</paraID>
      <start>4</start>
      <end>5</end>
      <status>unmodified</status>
      <modifiedWord/>
      <trackRevisions>false</trackRevisions>
    </reviewItem>
    <reviewItem>
      <errorID>2e745a85-07e0-41fa-81a4-b669618718c2</errorID>
      <errorWord>（</errorWord>
      <group>L1_Format</group>
      <groupName>格式问题</groupName>
      <ability>L2_HalfPunc</ability>
      <abilityName>全半角检查</abilityName>
      <candidateList>
        <item>(</item>
      </candidateList>
      <explain>文本全半角错误。</explain>
      <paraID> CD450E2</paraID>
      <start>3</start>
      <end>4</end>
      <status>unmodified</status>
      <modifiedWord/>
      <trackRevisions>false</trackRevisions>
    </reviewItem>
    <reviewItem>
      <errorID>47a30eed-44b9-42f4-b01c-45b15f34e17c</errorID>
      <errorWord>）</errorWord>
      <group>L1_Format</group>
      <groupName>格式问题</groupName>
      <ability>L2_HalfPunc</ability>
      <abilityName>全半角检查</abilityName>
      <candidateList>
        <item>)</item>
      </candidateList>
      <explain>文本全半角错误。</explain>
      <paraID> CD450E2</paraID>
      <start>5</start>
      <end>6</end>
      <status>unmodified</status>
      <modifiedWord/>
      <trackRevisions>false</trackRevisions>
    </reviewItem>
    <reviewItem>
      <errorID>8c7373fe-8ab7-4b9f-8afc-bd630b9a76e3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7BB822C1</paraID>
      <start>0</start>
      <end>2</end>
      <status>unmodified</status>
      <modifiedWord/>
      <trackRevisions>false</trackRevisions>
    </reviewItem>
    <reviewItem>
      <errorID>b30be15d-6e67-46fb-be6a-42fe187c0df5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747696FD</paraID>
      <start>0</start>
      <end>2</end>
      <status>unmodified</status>
      <modifiedWord/>
      <trackRevisions>false</trackRevisions>
    </reviewItem>
    <reviewItem>
      <errorID>c32d2a86-aa60-48ad-8fa0-12d57a4589d6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5E72766F</paraID>
      <start>0</start>
      <end>2</end>
      <status>unmodified</status>
      <modifiedWord/>
      <trackRevisions>false</trackRevisions>
    </reviewItem>
    <reviewItem>
      <errorID>f116c0c2-148d-4abe-847b-c578e595530e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1693105</paraID>
      <start>0</start>
      <end>2</end>
      <status>unmodified</status>
      <modifiedWord/>
      <trackRevisions>false</trackRevisions>
    </reviewItem>
    <reviewItem>
      <errorID>b1796813-4431-43a9-b373-5a0a95c96ce4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71456877</paraID>
      <start>0</start>
      <end>2</end>
      <status>unmodified</status>
      <modifiedWord/>
      <trackRevisions>false</trackRevisions>
    </reviewItem>
    <reviewItem>
      <errorID>badf3e52-a118-4cf7-96a8-eac511e3ffd2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71AD32AD</paraID>
      <start>0</start>
      <end>2</end>
      <status>unmodified</status>
      <modifiedWord/>
      <trackRevisions>false</trackRevisions>
    </reviewItem>
    <reviewItem>
      <errorID>c717843e-e1d6-4a86-a88d-a516fbdcec16</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1B6B8C28</paraID>
      <start>44</start>
      <end>45</end>
      <status>unmodified</status>
      <modifiedWord/>
      <trackRevisions>false</trackRevisions>
    </reviewItem>
    <reviewItem>
      <errorID>98fe31ed-0279-46af-a27b-c73084597cfd</errorID>
      <errorWord>司</errorWord>
      <group>L1_Word</group>
      <groupName>字词问题</groupName>
      <ability>L2_Typo</ability>
      <abilityName>字词错误</abilityName>
      <candidateList>
        <item>司在</item>
      </candidateList>
      <explain/>
      <paraID>49CCA697</paraID>
      <start>23</start>
      <end>24</end>
      <status>unmodified</status>
      <modifiedWord/>
      <trackRevisions>false</trackRevisions>
    </reviewItem>
    <reviewItem>
      <errorID>587124b0-58ad-4c13-8b39-4e2b16cfee60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5121EFEE</paraID>
      <start>0</start>
      <end>2</end>
      <status>unmodified</status>
      <modifiedWord/>
      <trackRevisions>false</trackRevisions>
    </reviewItem>
    <reviewItem>
      <errorID>b514d173-603c-43f7-adee-302d3706e228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2A31BABA</paraID>
      <start>22</start>
      <end>23</end>
      <status>unmodified</status>
      <modifiedWord/>
      <trackRevisions>false</trackRevisions>
    </reviewItem>
    <reviewItem>
      <errorID>3e05045b-75ea-4c96-a660-0b611457ace6</errorID>
      <errorWord>~</errorWord>
      <group>L1_Format</group>
      <groupName>格式问题</groupName>
      <ability>L2_HalfPunc</ability>
      <abilityName>全半角检查</abilityName>
      <candidateList>
        <item>～</item>
      </candidateList>
      <explain>文本全半角错误。</explain>
      <paraID>3EA66F66</paraID>
      <start>16</start>
      <end>17</end>
      <status>unmodified</status>
      <modifiedWord/>
      <trackRevisions>false</trackRevisions>
    </reviewItem>
    <reviewItem>
      <errorID>754e9e2a-8b41-4ff9-9903-5f7379cef65a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751BA6EE</paraID>
      <start>48</start>
      <end>49</end>
      <status>unmodified</status>
      <modifiedWord/>
      <trackRevisions>false</trackRevisions>
    </reviewItem>
    <reviewItem>
      <errorID>8e7c2071-cd70-47a5-99c1-fe09bd0e739e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70F40BEC</paraID>
      <start>0</start>
      <end>2</end>
      <status>unmodified</status>
      <modifiedWord/>
      <trackRevisions>false</trackRevisions>
    </reviewItem>
    <reviewItem>
      <errorID>6604cccf-d6be-4fe7-80a8-d392bebd68f0</errorID>
      <errorWord>；</errorWord>
      <group>L1_Format</group>
      <groupName>格式问题</groupName>
      <ability>L2_HalfPunc</ability>
      <abilityName>全半角检查</abilityName>
      <candidateList>
        <item>; </item>
      </candidateList>
      <explain>文本全半角错误。</explain>
      <paraID>135C6471</paraID>
      <start>15</start>
      <end>16</end>
      <status>unmodified</status>
      <modifiedWord/>
      <trackRevisions>false</trackRevisions>
    </reviewItem>
    <reviewItem>
      <errorID>d4ac7b34-5faa-4ee4-965c-636dc2d72519</errorID>
      <errorWord>～</errorWord>
      <group>L1_Format</group>
      <groupName>格式问题</groupName>
      <ability>L2_HalfPunc</ability>
      <abilityName>全半角检查</abilityName>
      <candidateList>
        <item>~</item>
      </candidateList>
      <explain>文本全半角错误。</explain>
      <paraID>5F0B98E4</paraID>
      <start>3</start>
      <end>4</end>
      <status>unmodified</status>
      <modifiedWord/>
      <trackRevisions>false</trackRevisions>
    </reviewItem>
    <reviewItem>
      <errorID>e724630a-9f56-4c6b-92d7-5803c13c4b48</errorID>
      <errorWord>＜</errorWord>
      <group>L1_Format</group>
      <groupName>格式问题</groupName>
      <ability>L2_HalfPunc</ability>
      <abilityName>全半角检查</abilityName>
      <candidateList>
        <item>&lt;</item>
      </candidateList>
      <explain>文本全半角错误。</explain>
      <paraID>76A5B7DD</paraID>
      <start>0</start>
      <end>1</end>
      <status>unmodified</status>
      <modifiedWord/>
      <trackRevisions>false</trackRevisions>
    </reviewItem>
    <reviewItem>
      <errorID>59145b2e-4b80-4708-908f-158bc83da467</errorID>
      <errorWord>（</errorWord>
      <group>L1_Format</group>
      <groupName>格式问题</groupName>
      <ability>L2_HalfPunc</ability>
      <abilityName>全半角检查</abilityName>
      <candidateList>
        <item>(</item>
      </candidateList>
      <explain>文本全半角错误。</explain>
      <paraID>56187892</paraID>
      <start>4</start>
      <end>5</end>
      <status>unmodified</status>
      <modifiedWord/>
      <trackRevisions>false</trackRevisions>
    </reviewItem>
    <reviewItem>
      <errorID>702fb1ae-a541-4d2f-9e3c-eaa8ae94e360</errorID>
      <errorWord>）</errorWord>
      <group>L1_Format</group>
      <groupName>格式问题</groupName>
      <ability>L2_HalfPunc</ability>
      <abilityName>全半角检查</abilityName>
      <candidateList>
        <item>)</item>
      </candidateList>
      <explain>文本全半角错误。</explain>
      <paraID>56187892</paraID>
      <start>10</start>
      <end>11</end>
      <status>unmodified</status>
      <modifiedWord/>
      <trackRevisions>false</trackRevisions>
    </reviewItem>
    <reviewItem>
      <errorID>c29fee8b-9f63-49e4-843a-53120cff689a</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26FD45D2</paraID>
      <start>71</start>
      <end>74</end>
      <status>unmodified</status>
      <modifiedWord/>
      <trackRevisions>false</trackRevisions>
    </reviewItem>
    <reviewItem>
      <errorID>1193d370-bd30-4bfb-a0e0-13829a8bde47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14C39FCC</paraID>
      <start>0</start>
      <end>2</end>
      <status>unmodified</status>
      <modifiedWord/>
      <trackRevisions>false</trackRevisions>
    </reviewItem>
    <reviewItem>
      <errorID>4cc5d59b-1e83-49aa-be39-dcc49a2b51c8</errorID>
      <errorWord>来自于</errorWord>
      <group>L1_Grammar</group>
      <groupName>语法问题</groupName>
      <ability>L2_Grammar</ability>
      <abilityName>语法错误</abilityName>
      <candidateList>
        <item>来自</item>
      </candidateList>
      <explain>该表达中的“来自于”存在语义重复。【词汇解析】来自：表示“来源于”。包含了“于”的意思。</explain>
      <paraID>150EE4AE</paraID>
      <start>9</start>
      <end>12</end>
      <status>unmodified</status>
      <modifiedWord/>
      <trackRevisions>false</trackRevisions>
    </reviewItem>
    <reviewItem>
      <errorID>e46d7910-3b11-43ea-98ad-e4052c87f480</errorID>
      <errorWord>IV</errorWord>
      <group>L1_Knowledge</group>
      <groupName>知识性问题</groupName>
      <ability>L2_Knowledge</ability>
      <abilityName>其他知识</abilityName>
      <candidateList>
        <item>Ⅳ</item>
      </candidateList>
      <explain>中文环境下罗马数字格式错误。</explain>
      <paraID>41EA119A</paraID>
      <start>99</start>
      <end>101</end>
      <status>unmodified</status>
      <modifiedWord/>
      <trackRevisions>false</trackRevisions>
    </reviewItem>
    <reviewItem>
      <errorID>0322b9dc-b7bf-46bf-9639-27bacbcbf825</errorID>
      <errorWord>III</errorWord>
      <group>L1_Knowledge</group>
      <groupName>知识性问题</groupName>
      <ability>L2_Knowledge</ability>
      <abilityName>其他知识</abilityName>
      <candidateList>
        <item>Ⅲ</item>
      </candidateList>
      <explain>中文环境下罗马数字格式错误。</explain>
      <paraID>41EA119A</paraID>
      <start>117</start>
      <end>120</end>
      <status>unmodified</status>
      <modifiedWord/>
      <trackRevisions>false</trackRevisions>
    </reviewItem>
    <reviewItem>
      <errorID>f87c6778-e232-48c4-afe5-69bf44b055a4</errorID>
      <errorWord>II</errorWord>
      <group>L1_Knowledge</group>
      <groupName>知识性问题</groupName>
      <ability>L2_Knowledge</ability>
      <abilityName>其他知识</abilityName>
      <candidateList>
        <item>Ⅱ</item>
      </candidateList>
      <explain>中文环境下罗马数字格式错误。</explain>
      <paraID>41EA119A</paraID>
      <start>133</start>
      <end>135</end>
      <status>unmodified</status>
      <modifiedWord/>
      <trackRevisions>false</trackRevisions>
    </reviewItem>
    <reviewItem>
      <errorID>b6e3982d-bdc5-43a4-8924-6fca60d168ee</errorID>
      <errorWord>，…，</errorWord>
      <group>L1_Punc</group>
      <groupName>标点问题</groupName>
      <ability>L2_Punc</ability>
      <abilityName>标点符号检查</abilityName>
      <candidateList>
        <item>，</item>
      </candidateList>
      <explain/>
      <paraID>7AA4EADB</paraID>
      <start>8</start>
      <end>11</end>
      <status>unmodified</status>
      <modifiedWord/>
      <trackRevisions>false</trackRevisions>
    </reviewItem>
    <reviewItem>
      <errorID>b726d3ba-d0ee-44ca-99b1-e58f5a17118b</errorID>
      <errorWord>，…，</errorWord>
      <group>L1_Punc</group>
      <groupName>标点问题</groupName>
      <ability>L2_Punc</ability>
      <abilityName>标点符号检查</abilityName>
      <candidateList>
        <item>，</item>
      </candidateList>
      <explain/>
      <paraID>133B7120</paraID>
      <start>5</start>
      <end>8</end>
      <status>unmodified</status>
      <modifiedWord/>
      <trackRevisions>false</trackRevisions>
    </reviewItem>
    <reviewItem>
      <errorID>07fc2636-7124-43d8-9059-49af24109c7f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5D41F1B8</paraID>
      <start>0</start>
      <end>2</end>
      <status>unmodified</status>
      <modifiedWord/>
      <trackRevisions>false</trackRevisions>
    </reviewItem>
    <reviewItem>
      <errorID>f85e8a90-3e9a-4405-acb3-fa30281c2868</errorID>
      <errorWord>）电器设备</errorWord>
      <group>L1_Word</group>
      <groupName>字词问题</groupName>
      <ability>L2_Typo</ability>
      <abilityName>字词错误</abilityName>
      <candidateList>
        <item>）电气设备</item>
      </candidateList>
      <explain/>
      <paraID>2BC9BB5F</paraID>
      <start>1</start>
      <end>6</end>
      <status>unmodified</status>
      <modifiedWord/>
      <trackRevisions>false</trackRevisions>
    </reviewItem>
    <reviewItem>
      <errorID>d09b741b-fe44-49b7-b413-7ae1d3ffabc8</errorID>
      <errorWord>月1日实施</errorWord>
      <group>L1_Word</group>
      <groupName>字词问题</groupName>
      <ability>L2_Typo</ability>
      <abilityName>字词错误</abilityName>
      <candidateList>
        <item>月1日起实施</item>
      </candidateList>
      <explain/>
      <paraID>279C9E16</paraID>
      <start>96</start>
      <end>101</end>
      <status>unmodified</status>
      <modifiedWord/>
      <trackRevisions>false</trackRevisions>
    </reviewItem>
    <reviewItem>
      <errorID>dc43c835-7bc0-4dde-a9a0-745c61f7b017</errorID>
      <errorWord>~</errorWord>
      <group>L1_Format</group>
      <groupName>格式问题</groupName>
      <ability>L2_HalfPunc</ability>
      <abilityName>全半角检查</abilityName>
      <candidateList>
        <item>～</item>
      </candidateList>
      <explain>文本全半角错误。</explain>
      <paraID>7560C3D3</paraID>
      <start>94</start>
      <end>95</end>
      <status>unmodified</status>
      <modifiedWord/>
      <trackRevisions>false</trackRevisions>
    </reviewItem>
    <reviewItem>
      <errorID>a49342a7-a46c-4fc4-8f97-f94c0134aef7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3F477A6F</paraID>
      <start>0</start>
      <end>2</end>
      <status>unmodified</status>
      <modifiedWord/>
      <trackRevisions>false</trackRevisions>
    </reviewItem>
    <reviewItem>
      <errorID>8eac591b-5f97-4a9c-b9c1-37588c06066f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6B942384</paraID>
      <start>0</start>
      <end>2</end>
      <status>unmodified</status>
      <modifiedWord/>
      <trackRevisions>false</trackRevisions>
    </reviewItem>
    <reviewItem>
      <errorID>b7b0384f-185f-4118-a2fb-17e226374cd0</errorID>
      <errorWord>）电器设备</errorWord>
      <group>L1_Word</group>
      <groupName>字词问题</groupName>
      <ability>L2_Typo</ability>
      <abilityName>字词错误</abilityName>
      <candidateList>
        <item>）电气设备</item>
      </candidateList>
      <explain/>
      <paraID>4AF1E412</paraID>
      <start>1</start>
      <end>6</end>
      <status>unmodified</status>
      <modifiedWord/>
      <trackRevisions>false</trackRevisions>
    </reviewItem>
    <reviewItem>
      <errorID>f507eafb-d8b8-45a4-9b0a-bcecfe2f7f23</errorID>
      <errorWord>月1日实施</errorWord>
      <group>L1_Word</group>
      <groupName>字词问题</groupName>
      <ability>L2_Typo</ability>
      <abilityName>字词错误</abilityName>
      <candidateList>
        <item>月1日起实施</item>
      </candidateList>
      <explain/>
      <paraID>1E789524</paraID>
      <start>96</start>
      <end>101</end>
      <status>unmodified</status>
      <modifiedWord/>
      <trackRevisions>false</trackRevisions>
    </reviewItem>
    <reviewItem>
      <errorID>d5b07049-5346-456a-91f0-552832ca1390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2465FCD6</paraID>
      <start>0</start>
      <end>2</end>
      <status>unmodified</status>
      <modifiedWord/>
      <trackRevisions>false</trackRevisions>
    </reviewItem>
    <reviewItem>
      <errorID>05a91dca-f9d1-4bdb-a978-52087bb9f7e3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296567A2</paraID>
      <start>0</start>
      <end>2</end>
      <status>unmodified</status>
      <modifiedWord/>
      <trackRevisions>false</trackRevisions>
    </reviewItem>
    <reviewItem>
      <errorID>6474f7a9-9fc7-4572-a605-8126d7976d80</errorID>
      <errorWord>）电器设备</errorWord>
      <group>L1_Word</group>
      <groupName>字词问题</groupName>
      <ability>L2_Typo</ability>
      <abilityName>字词错误</abilityName>
      <candidateList>
        <item>）电气设备</item>
      </candidateList>
      <explain/>
      <paraID>3499CCF4</paraID>
      <start>1</start>
      <end>6</end>
      <status>unmodified</status>
      <modifiedWord/>
      <trackRevisions>false</trackRevisions>
    </reviewItem>
    <reviewItem>
      <errorID>3acd4cd5-2e33-4a52-8768-0bf2b0186b7e</errorID>
      <errorWord>月1日实施</errorWord>
      <group>L1_Word</group>
      <groupName>字词问题</groupName>
      <ability>L2_Typo</ability>
      <abilityName>字词错误</abilityName>
      <candidateList>
        <item>月1日起实施</item>
      </candidateList>
      <explain/>
      <paraID>788BE9C9</paraID>
      <start>96</start>
      <end>101</end>
      <status>unmodified</status>
      <modifiedWord/>
      <trackRevisions>false</trackRevisions>
    </reviewItem>
    <reviewItem>
      <errorID>8ce922c6-d1fa-4e4e-9cf2-656522bb284a</errorID>
      <errorWord>~</errorWord>
      <group>L1_Format</group>
      <groupName>格式问题</groupName>
      <ability>L2_HalfPunc</ability>
      <abilityName>全半角检查</abilityName>
      <candidateList>
        <item>～</item>
      </candidateList>
      <explain>文本全半角错误。</explain>
      <paraID>356717F8</paraID>
      <start>94</start>
      <end>95</end>
      <status>unmodified</status>
      <modifiedWord/>
      <trackRevisions>false</trackRevisions>
    </reviewItem>
    <reviewItem>
      <errorID>3e531071-9993-49cf-b8a3-e39373ba724e</errorID>
      <errorWord>选则</errorWord>
      <group>L1_Word</group>
      <groupName>字词问题</groupName>
      <ability>L2_Typo</ability>
      <abilityName>字词错误</abilityName>
      <candidateList>
        <item>选择</item>
      </candidateList>
      <explain>〈动〉挑选：～对象｜～地点。</explain>
      <paraID>46E0D422</paraID>
      <start>20</start>
      <end>22</end>
      <status>modified</status>
      <modifiedWord>选择</modifiedWord>
      <trackRevisions>false</trackRevisions>
    </reviewItem>
    <reviewItem>
      <errorID>fcedefd9-7a0a-43f3-ac77-1e9ac354544b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6B29DF49</paraID>
      <start>0</start>
      <end>2</end>
      <status>unmodified</status>
      <modifiedWord/>
      <trackRevisions>false</trackRevisions>
    </reviewItem>
    <reviewItem>
      <errorID>02ff05c7-0def-4e37-8e05-a819b0fb1693</errorID>
      <errorWord>处于良好地运行</errorWord>
      <group>L1_Word</group>
      <groupName>字词问题</groupName>
      <ability>L2_Typo</ability>
      <abilityName>字词错误</abilityName>
      <candidateList>
        <item>处于良好运行</item>
      </candidateList>
      <explain/>
      <paraID>7BD3CEFF</paraID>
      <start>36</start>
      <end>43</end>
      <status>unmodified</status>
      <modifiedWord/>
      <trackRevisions>false</trackRevisions>
    </reviewItem>
    <reviewItem>
      <errorID>5c5513cd-a46a-4ad8-ac86-9248764bcedb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28FCDBE3</paraID>
      <start>0</start>
      <end>2</end>
      <status>unmodified</status>
      <modifiedWord/>
      <trackRevisions>false</trackRevisions>
    </reviewItem>
    <reviewItem>
      <errorID>0598db79-40df-40f5-9fc3-2e85586d0951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521D39BA</paraID>
      <start>0</start>
      <end>2</end>
      <status>unmodified</status>
      <modifiedWord/>
      <trackRevisions>false</trackRevisions>
    </reviewItem>
    <reviewItem>
      <errorID>ee0226dd-3945-4f1f-a647-76595de46f2d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1E05066B</paraID>
      <start>0</start>
      <end>2</end>
      <status>unmodified</status>
      <modifiedWord/>
      <trackRevisions>false</trackRevisions>
    </reviewItem>
    <reviewItem>
      <errorID>63db9045-5cbc-412e-bdb4-82ffb72b81e4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7BB04A9E</paraID>
      <start>0</start>
      <end>2</end>
      <status>unmodified</status>
      <modifiedWord/>
      <trackRevisions>false</trackRevisions>
    </reviewItem>
    <reviewItem>
      <errorID>19599b78-45ce-4a5d-aef8-a40f6de9c025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95853F7</paraID>
      <start>0</start>
      <end>2</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1c68a0-12d0-4482-a67e-50a68e4a0669}">
  <ds:schemaRefs/>
</ds:datastoreItem>
</file>

<file path=docProps/app.xml><?xml version="1.0" encoding="utf-8"?>
<Properties xmlns="http://schemas.openxmlformats.org/officeDocument/2006/extended-properties" xmlns:vt="http://schemas.openxmlformats.org/officeDocument/2006/docPropsVTypes">
  <Template>Normal.dotm</Template>
  <Pages>109</Pages>
  <Words>36619</Words>
  <Characters>38162</Characters>
  <Lines>0</Lines>
  <Paragraphs>0</Paragraphs>
  <TotalTime>1</TotalTime>
  <ScaleCrop>false</ScaleCrop>
  <LinksUpToDate>false</LinksUpToDate>
  <CharactersWithSpaces>38319</CharactersWithSpaces>
  <Application>WPS Office_11.8.2.10972_F1E327BC-269C-435d-A152-05C5408002CA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2021-07-19T02:20:00Z</dcterms:created>
  <dc:creator>F@D</dc:creator>
  <cp:lastModifiedBy>Administrator</cp:lastModifiedBy>
  <cp:lastPrinted>2023-10-31T07:02:00Z</cp:lastPrinted>
  <dcterms:modified xsi:type="dcterms:W3CDTF">2026-06-10T03:57:09Z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2052-11.8.2.10972</vt:lpwstr>
  </property>
  <property fmtid="{D5CDD505-2E9C-101B-9397-08002B2CF9AE}" pid="3" name="ICV">
    <vt:lpwstr>AC5368C45DB54840AB41E53AB0A58095_13</vt:lpwstr>
  </property>
  <property fmtid="{D5CDD505-2E9C-101B-9397-08002B2CF9AE}" pid="4" name="KSOTemplateDocerSaveRecord">
    <vt:lpwstr>eyJoZGlkIjoiZGNmYjQ0NjQ4ZTVhZDM2NGY0MGZmNDUzYThiYTgxMWMiLCJ1c2VySWQiOiI0MDE3OTgyMzYifQ==</vt:lpwstr>
  </property>
</Properties>
</file>